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Company Report</w:t>
      </w:r>
    </w:p>
    <w:p>
      <w:r>
        <w:t>Request ID: 8ecdeb14-978c-4364-aee6-9fdf437759e6</w:t>
      </w:r>
    </w:p>
    <w:p>
      <w:pPr>
        <w:pStyle w:val="Heading2"/>
      </w:pPr>
      <w:r>
        <w:t>Company Information</w:t>
      </w:r>
    </w:p>
    <w:p>
      <w:r>
        <w:t>Company: Acme AI</w:t>
      </w:r>
    </w:p>
    <w:p>
      <w:r>
        <w:t>Sector: Artificial Intelligence</w:t>
      </w:r>
    </w:p>
    <w:p>
      <w:r>
        <w:t>Revenue: $5M</w:t>
      </w:r>
    </w:p>
    <w:p>
      <w:r>
        <w:t>Employees: 50</w:t>
      </w:r>
    </w:p>
    <w:p>
      <w:r>
        <w:t>Status: active</w:t>
      </w:r>
    </w:p>
    <w:p>
      <w:r>
        <w:t>Summary: Acme AI is an artificial intelligence company with a growing business operation.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