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Company Report</w:t>
      </w:r>
    </w:p>
    <w:p>
      <w:r>
        <w:t>Request ID: abd8f58e-9ca0-442f-a54e-d8236f391cc2</w:t>
      </w:r>
    </w:p>
    <w:p>
      <w:pPr>
        <w:pStyle w:val="Heading2"/>
      </w:pPr>
      <w:r>
        <w:t>Company Information</w:t>
      </w:r>
    </w:p>
    <w:p>
      <w:r>
        <w:t>Company: Acme AI</w:t>
      </w:r>
    </w:p>
    <w:p>
      <w:r>
        <w:t>Sector: Artificial Intelligence</w:t>
      </w:r>
    </w:p>
    <w:p>
      <w:r>
        <w:t>Revenue: $5M</w:t>
      </w:r>
    </w:p>
    <w:p>
      <w:r>
        <w:t>Employees: 50</w:t>
      </w:r>
    </w:p>
    <w:p>
      <w:r>
        <w:t>Status: active</w:t>
      </w:r>
    </w:p>
    <w:p>
      <w:r>
        <w:t>Summary: Acme AI is an artificial intelligence company with a growing business operation.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