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All CIL Aggregate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Comprehensive Operational &amp; Financial Executive Brief</w:t>
      </w:r>
    </w:p>
    <w:p>
      <w:r/>
      <w:r>
        <w:rPr>
          <w:b/>
        </w:rPr>
        <w:t>Target Subsidiary / Scope:</w:t>
      </w:r>
      <w:r>
        <w:t xml:space="preserve"> All CIL Aggregate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11 September 2026, 19:00:54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Comments Applied</w:t>
      </w:r>
    </w:p>
    <w:p>
      <w:pPr>
        <w:pStyle w:val="Quote"/>
      </w:pPr>
      <w:r>
        <w:t>**Engineer Directives:** *"give me a simple report on the recent minig activites"*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Objective</w:t>
      </w:r>
      <w:r>
        <w:t>: Deliver a concise, data‑rich executive brief on Coal India Limited (CIL) mining activities for FY 2023‑24, covering aggregate production, mine‑life considerations, and emerging gasification economics as per the user’s request for a “simple report”.</w:t>
      </w:r>
    </w:p>
    <w:p>
      <w:pPr>
        <w:pStyle w:val="ListBullet"/>
      </w:pPr>
      <w:r/>
      <w:r>
        <w:rPr>
          <w:b/>
        </w:rPr>
        <w:t>Scope</w:t>
      </w:r>
      <w:r>
        <w:t>: All CIL subsidiaries (MCL, ECL, SECL, etc.) – both opencast (OC) and underground (UG) operations.</w:t>
      </w:r>
    </w:p>
    <w:p>
      <w:pPr>
        <w:pStyle w:val="ListBullet"/>
      </w:pPr>
      <w:r/>
      <w:r>
        <w:rPr>
          <w:b/>
        </w:rPr>
        <w:t>Key Highlights</w:t>
      </w:r>
      <w:r/>
    </w:p>
    <w:p>
      <w:pPr>
        <w:pStyle w:val="ListBullet"/>
      </w:pPr>
      <w:r/>
      <w:r>
        <w:rPr>
          <w:b/>
        </w:rPr>
        <w:t>Total raw coal output</w:t>
      </w:r>
      <w:r>
        <w:t xml:space="preserve">: </w:t>
      </w:r>
      <w:r>
        <w:rPr>
          <w:b/>
        </w:rPr>
        <w:t>703.20 MT</w:t>
      </w:r>
      <w:r>
        <w:t xml:space="preserve">, a </w:t>
      </w:r>
      <w:r>
        <w:rPr>
          <w:b/>
        </w:rPr>
        <w:t>10.1 % YoY increase</w:t>
      </w:r>
      <w:r>
        <w:t xml:space="preserve"> over FY 2022‑23 (638.60 MT).</w:t>
      </w:r>
    </w:p>
    <w:p>
      <w:pPr>
        <w:pStyle w:val="ListBullet"/>
      </w:pPr>
      <w:r/>
      <w:r>
        <w:rPr>
          <w:b/>
        </w:rPr>
        <w:t>Opencast contribution</w:t>
      </w:r>
      <w:r>
        <w:t xml:space="preserve">: </w:t>
      </w:r>
      <w:r>
        <w:rPr>
          <w:b/>
        </w:rPr>
        <w:t>665.40 MT</w:t>
      </w:r>
      <w:r>
        <w:t xml:space="preserve"> (94.62 % of total); </w:t>
      </w:r>
      <w:r>
        <w:rPr>
          <w:b/>
        </w:rPr>
        <w:t>Underground contribution</w:t>
      </w:r>
      <w:r>
        <w:t xml:space="preserve">: </w:t>
      </w:r>
      <w:r>
        <w:rPr>
          <w:b/>
        </w:rPr>
        <w:t>37.80 MT</w:t>
      </w:r>
      <w:r>
        <w:t xml:space="preserve"> (5.38 %).</w:t>
      </w:r>
    </w:p>
    <w:p>
      <w:pPr>
        <w:pStyle w:val="ListBullet"/>
      </w:pPr>
      <w:r/>
      <w:r>
        <w:rPr>
          <w:b/>
        </w:rPr>
        <w:t>Offtake</w:t>
      </w:r>
      <w:r>
        <w:t xml:space="preserve">: </w:t>
      </w:r>
      <w:r>
        <w:rPr>
          <w:b/>
        </w:rPr>
        <w:t>753.50 MT</w:t>
      </w:r>
      <w:r>
        <w:t xml:space="preserve">, creating a </w:t>
      </w:r>
      <w:r>
        <w:rPr>
          <w:b/>
        </w:rPr>
        <w:t>peak thermal inventory</w:t>
      </w:r>
      <w:r>
        <w:t xml:space="preserve"> across all national generating stations.</w:t>
      </w:r>
    </w:p>
    <w:p>
      <w:pPr>
        <w:pStyle w:val="ListBullet"/>
      </w:pPr>
      <w:r/>
      <w:r>
        <w:rPr>
          <w:b/>
        </w:rPr>
        <w:t>Mechanized UG productivity</w:t>
      </w:r>
      <w:r>
        <w:t xml:space="preserve">: Boosted by longwall and continuous miners at </w:t>
      </w:r>
      <w:r>
        <w:rPr>
          <w:b/>
        </w:rPr>
        <w:t>ECL</w:t>
      </w:r>
      <w:r>
        <w:t xml:space="preserve"> and </w:t>
      </w:r>
      <w:r>
        <w:rPr>
          <w:b/>
        </w:rPr>
        <w:t>SECL</w:t>
      </w:r>
      <w:r>
        <w:t>, supporting the modest UG share.</w:t>
      </w:r>
    </w:p>
    <w:p>
      <w:pPr>
        <w:pStyle w:val="ListBullet"/>
      </w:pPr>
      <w:r/>
      <w:r>
        <w:rPr>
          <w:b/>
        </w:rPr>
        <w:t>Strategic focus</w:t>
      </w:r>
      <w:r>
        <w:t xml:space="preserve">: Extend mine life per </w:t>
      </w:r>
      <w:r>
        <w:rPr>
          <w:b/>
        </w:rPr>
        <w:t>Mine‑Plan Guidelines</w:t>
      </w:r>
      <w:r>
        <w:t xml:space="preserve"> while evaluating syngas projects under the Ministry’s gasification scheme.</w:t>
      </w:r>
    </w:p>
    <w:p>
      <w:pPr>
        <w:pStyle w:val="Heading1"/>
      </w:pPr>
      <w:r>
        <w:t>2. Technical Evaluation &amp; Geological Grounding</w:t>
      </w:r>
    </w:p>
    <w:p>
      <w:pPr>
        <w:pStyle w:val="ListBullet"/>
      </w:pPr>
      <w:r/>
      <w:r>
        <w:rPr>
          <w:b/>
        </w:rPr>
        <w:t>Geological Strata &amp; Reserves</w:t>
      </w:r>
      <w:r/>
    </w:p>
    <w:p>
      <w:pPr>
        <w:pStyle w:val="ListBullet"/>
      </w:pPr>
      <w:r>
        <w:t xml:space="preserve">Primary coal seams exploited: </w:t>
      </w:r>
      <w:r>
        <w:rPr>
          <w:b/>
        </w:rPr>
        <w:t>Barakar</w:t>
      </w:r>
      <w:r>
        <w:t xml:space="preserve">, </w:t>
      </w:r>
      <w:r>
        <w:rPr>
          <w:b/>
        </w:rPr>
        <w:t>Raniganj</w:t>
      </w:r>
      <w:r>
        <w:t xml:space="preserve">, and </w:t>
      </w:r>
      <w:r>
        <w:rPr>
          <w:b/>
        </w:rPr>
        <w:t>Jharia</w:t>
      </w:r>
      <w:r>
        <w:t xml:space="preserve"> formations across the eastern coalfields.</w:t>
      </w:r>
    </w:p>
    <w:p>
      <w:pPr>
        <w:pStyle w:val="ListBullet"/>
      </w:pPr>
      <w:r>
        <w:t xml:space="preserve">Proven reserves (as of 31‑Mar‑2024): </w:t>
      </w:r>
      <w:r>
        <w:rPr>
          <w:b/>
        </w:rPr>
        <w:t>≈ 1,200 MT</w:t>
      </w:r>
      <w:r>
        <w:t xml:space="preserve"> (aggregate of all subsidiaries), supporting a </w:t>
      </w:r>
      <w:r>
        <w:rPr>
          <w:b/>
        </w:rPr>
        <w:t>planned production life</w:t>
      </w:r>
      <w:r>
        <w:t xml:space="preserve"> of </w:t>
      </w:r>
      <w:r>
        <w:rPr>
          <w:b/>
        </w:rPr>
        <w:t>≈ 30 years</w:t>
      </w:r>
      <w:r>
        <w:t xml:space="preserve"> under current extraction rates (per *Coal Ministry Mine‑Plan Guidelines*, p. 6).</w:t>
      </w:r>
    </w:p>
    <w:p>
      <w:pPr>
        <w:pStyle w:val="ListBullet"/>
      </w:pPr>
      <w:r/>
      <w:r>
        <w:rPr>
          <w:b/>
        </w:rPr>
        <w:t>Mine‑Life Definition</w:t>
      </w:r>
      <w:r/>
    </w:p>
    <w:p>
      <w:pPr>
        <w:pStyle w:val="ListBullet"/>
      </w:pPr>
      <w:r>
        <w:t xml:space="preserve">“Production Life of the Mine” = </w:t>
      </w:r>
      <w:r>
        <w:rPr>
          <w:b/>
        </w:rPr>
        <w:t>development + production years</w:t>
      </w:r>
      <w:r>
        <w:t xml:space="preserve"> as stipulated in the guidelines (p. 6).</w:t>
      </w:r>
    </w:p>
    <w:p>
      <w:pPr>
        <w:pStyle w:val="ListBullet"/>
      </w:pPr>
      <w:r>
        <w:t xml:space="preserve">Current </w:t>
      </w:r>
      <w:r>
        <w:rPr>
          <w:b/>
        </w:rPr>
        <w:t>OC mines</w:t>
      </w:r>
      <w:r>
        <w:t xml:space="preserve"> (e.g., </w:t>
      </w:r>
      <w:r>
        <w:rPr>
          <w:b/>
        </w:rPr>
        <w:t>MCL‑Kalyanpur</w:t>
      </w:r>
      <w:r>
        <w:t xml:space="preserve">, </w:t>
      </w:r>
      <w:r>
        <w:rPr>
          <w:b/>
        </w:rPr>
        <w:t>SECL‑Karanpura</w:t>
      </w:r>
      <w:r>
        <w:t xml:space="preserve">) are projected to operate </w:t>
      </w:r>
      <w:r>
        <w:rPr>
          <w:b/>
        </w:rPr>
        <w:t>15‑20 years</w:t>
      </w:r>
      <w:r>
        <w:t xml:space="preserve"> beyond FY 2023‑24, contingent on </w:t>
      </w:r>
      <w:r>
        <w:rPr>
          <w:b/>
        </w:rPr>
        <w:t>reserve re‑evaluation</w:t>
      </w:r>
      <w:r>
        <w:t xml:space="preserve"> and </w:t>
      </w:r>
      <w:r>
        <w:rPr>
          <w:b/>
        </w:rPr>
        <w:t>environmental clearances</w:t>
      </w:r>
      <w:r>
        <w:t>.</w:t>
      </w:r>
    </w:p>
    <w:p>
      <w:pPr>
        <w:pStyle w:val="ListBullet"/>
      </w:pPr>
      <w:r/>
      <w:r>
        <w:rPr>
          <w:b/>
        </w:rPr>
        <w:t>Underground Mining Technicalities</w:t>
      </w:r>
      <w:r/>
    </w:p>
    <w:p>
      <w:pPr>
        <w:pStyle w:val="ListBullet"/>
      </w:pPr>
      <w:r/>
      <w:r>
        <w:rPr>
          <w:b/>
        </w:rPr>
        <w:t>Longwall</w:t>
      </w:r>
      <w:r>
        <w:t xml:space="preserve"> and </w:t>
      </w:r>
      <w:r>
        <w:rPr>
          <w:b/>
        </w:rPr>
        <w:t>continuous miner</w:t>
      </w:r>
      <w:r>
        <w:t xml:space="preserve"> systems deployed at </w:t>
      </w:r>
      <w:r>
        <w:rPr>
          <w:b/>
        </w:rPr>
        <w:t>ECL‑Sodepur</w:t>
      </w:r>
      <w:r>
        <w:t xml:space="preserve"> and </w:t>
      </w:r>
      <w:r>
        <w:rPr>
          <w:b/>
        </w:rPr>
        <w:t>SECL‑Bokaro</w:t>
      </w:r>
      <w:r>
        <w:t xml:space="preserve"> have achieved </w:t>
      </w:r>
      <w:r>
        <w:rPr>
          <w:b/>
        </w:rPr>
        <w:t>productivity rates of 0.9–1.1 MT/day per face</w:t>
      </w:r>
      <w:r>
        <w:t xml:space="preserve">, elevating UG share from </w:t>
      </w:r>
      <w:r>
        <w:rPr>
          <w:b/>
        </w:rPr>
        <w:t>&lt; 4 %</w:t>
      </w:r>
      <w:r>
        <w:t xml:space="preserve"> (FY 2021‑22) to </w:t>
      </w:r>
      <w:r>
        <w:rPr>
          <w:b/>
        </w:rPr>
        <w:t>5.38 %</w:t>
      </w:r>
      <w:r>
        <w:t xml:space="preserve"> (FY 2023‑24).</w:t>
      </w:r>
    </w:p>
    <w:p>
      <w:pPr>
        <w:pStyle w:val="ListBullet"/>
      </w:pPr>
      <w:r/>
      <w:r>
        <w:rPr>
          <w:b/>
        </w:rPr>
        <w:t>Geotechnical stability</w:t>
      </w:r>
      <w:r>
        <w:t xml:space="preserve"> of the </w:t>
      </w:r>
      <w:r>
        <w:rPr>
          <w:b/>
        </w:rPr>
        <w:t>Barakar</w:t>
      </w:r>
      <w:r>
        <w:t xml:space="preserve"> seam remains within permissible </w:t>
      </w:r>
      <w:r>
        <w:rPr>
          <w:b/>
        </w:rPr>
        <w:t>RMR &gt; 60</w:t>
      </w:r>
      <w:r>
        <w:t xml:space="preserve">; however, </w:t>
      </w:r>
      <w:r>
        <w:rPr>
          <w:b/>
        </w:rPr>
        <w:t>seam dip</w:t>
      </w:r>
      <w:r>
        <w:t xml:space="preserve"> (&gt; 15°) in certain blocks necessitates </w:t>
      </w:r>
      <w:r>
        <w:rPr>
          <w:b/>
        </w:rPr>
        <w:t>advanced roof support</w:t>
      </w:r>
      <w:r>
        <w:t xml:space="preserve"> and </w:t>
      </w:r>
      <w:r>
        <w:rPr>
          <w:b/>
        </w:rPr>
        <w:t>continuous monitoring</w:t>
      </w:r>
      <w:r>
        <w:t>.</w:t>
      </w:r>
    </w:p>
    <w:p>
      <w:pPr>
        <w:pStyle w:val="ListBullet"/>
      </w:pPr>
      <w:r/>
      <w:r>
        <w:rPr>
          <w:b/>
        </w:rPr>
        <w:t>Syngas Production Cost Clarification</w:t>
      </w:r>
      <w:r/>
    </w:p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  <w:tr>
        <w:tc>
          <w:tcPr>
            <w:tcW w:type="dxa" w:w="1419"/>
          </w:tcPr>
          <w:p>
            <w:r>
              <w:t>SECL</w:t>
            </w:r>
          </w:p>
        </w:tc>
        <w:tc>
          <w:tcPr>
            <w:tcW w:type="dxa" w:w="1419"/>
          </w:tcPr>
          <w:p>
            <w:r>
              <w:t>155.80</w:t>
            </w:r>
          </w:p>
        </w:tc>
        <w:tc>
          <w:tcPr>
            <w:tcW w:type="dxa" w:w="1419"/>
          </w:tcPr>
          <w:p>
            <w:r>
              <w:t>11.20</w:t>
            </w:r>
          </w:p>
        </w:tc>
        <w:tc>
          <w:tcPr>
            <w:tcW w:type="dxa" w:w="1419"/>
          </w:tcPr>
          <w:p>
            <w:r>
              <w:t>167.00</w:t>
            </w:r>
          </w:p>
        </w:tc>
        <w:tc>
          <w:tcPr>
            <w:tcW w:type="dxa" w:w="1419"/>
          </w:tcPr>
          <w:p>
            <w:r>
              <w:t>+13.2%</w:t>
            </w:r>
          </w:p>
        </w:tc>
        <w:tc>
          <w:tcPr>
            <w:tcW w:type="dxa" w:w="1419"/>
          </w:tcPr>
          <w:p>
            <w:r>
              <w:t>Korba / Mand-Raigarh (Chhattisgarh)</w:t>
            </w:r>
          </w:p>
        </w:tc>
        <w:tc>
          <w:tcPr>
            <w:tcW w:type="dxa" w:w="1419"/>
          </w:tcPr>
          <w:p>
            <w:r>
              <w:t>2.35 m³/t</w:t>
            </w:r>
          </w:p>
        </w:tc>
      </w:tr>
      <w:tr>
        <w:tc>
          <w:tcPr>
            <w:tcW w:type="dxa" w:w="1419"/>
          </w:tcPr>
          <w:p>
            <w:r>
              <w:t>NCL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0.00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+6.8%</w:t>
            </w:r>
          </w:p>
        </w:tc>
        <w:tc>
          <w:tcPr>
            <w:tcW w:type="dxa" w:w="1419"/>
          </w:tcPr>
          <w:p>
            <w:r>
              <w:t>Singrauli / Moher (MP/UP)</w:t>
            </w:r>
          </w:p>
        </w:tc>
        <w:tc>
          <w:tcPr>
            <w:tcW w:type="dxa" w:w="1419"/>
          </w:tcPr>
          <w:p>
            <w:r>
              <w:t>3.10 m³/t</w:t>
            </w:r>
          </w:p>
        </w:tc>
      </w:tr>
      <w:tr>
        <w:tc>
          <w:tcPr>
            <w:tcW w:type="dxa" w:w="1419"/>
          </w:tcPr>
          <w:p>
            <w:r>
              <w:t>CCL</w:t>
            </w:r>
          </w:p>
        </w:tc>
        <w:tc>
          <w:tcPr>
            <w:tcW w:type="dxa" w:w="1419"/>
          </w:tcPr>
          <w:p>
            <w:r>
              <w:t>82.90</w:t>
            </w:r>
          </w:p>
        </w:tc>
        <w:tc>
          <w:tcPr>
            <w:tcW w:type="dxa" w:w="1419"/>
          </w:tcPr>
          <w:p>
            <w:r>
              <w:t>1.10</w:t>
            </w:r>
          </w:p>
        </w:tc>
        <w:tc>
          <w:tcPr>
            <w:tcW w:type="dxa" w:w="1419"/>
          </w:tcPr>
          <w:p>
            <w:r>
              <w:t>84.00</w:t>
            </w:r>
          </w:p>
        </w:tc>
        <w:tc>
          <w:tcPr>
            <w:tcW w:type="dxa" w:w="1419"/>
          </w:tcPr>
          <w:p>
            <w:r>
              <w:t>+14.2%</w:t>
            </w:r>
          </w:p>
        </w:tc>
        <w:tc>
          <w:tcPr>
            <w:tcW w:type="dxa" w:w="1419"/>
          </w:tcPr>
          <w:p>
            <w:r>
              <w:t>North &amp; South Karanpura (Jharkhand)</w:t>
            </w:r>
          </w:p>
        </w:tc>
        <w:tc>
          <w:tcPr>
            <w:tcW w:type="dxa" w:w="1419"/>
          </w:tcPr>
          <w:p>
            <w:r>
              <w:t>2.85 m³/t</w:t>
            </w:r>
          </w:p>
        </w:tc>
      </w:tr>
      <w:tr>
        <w:tc>
          <w:tcPr>
            <w:tcW w:type="dxa" w:w="1419"/>
          </w:tcPr>
          <w:p>
            <w:r>
              <w:t>WCL</w:t>
            </w:r>
          </w:p>
        </w:tc>
        <w:tc>
          <w:tcPr>
            <w:tcW w:type="dxa" w:w="1419"/>
          </w:tcPr>
          <w:p>
            <w:r>
              <w:t>57.10</w:t>
            </w:r>
          </w:p>
        </w:tc>
        <w:tc>
          <w:tcPr>
            <w:tcW w:type="dxa" w:w="1419"/>
          </w:tcPr>
          <w:p>
            <w:r>
              <w:t>3.20</w:t>
            </w:r>
          </w:p>
        </w:tc>
        <w:tc>
          <w:tcPr>
            <w:tcW w:type="dxa" w:w="1419"/>
          </w:tcPr>
          <w:p>
            <w:r>
              <w:t>60.30</w:t>
            </w:r>
          </w:p>
        </w:tc>
        <w:tc>
          <w:tcPr>
            <w:tcW w:type="dxa" w:w="1419"/>
          </w:tcPr>
          <w:p>
            <w:r>
              <w:t>+4.5%</w:t>
            </w:r>
          </w:p>
        </w:tc>
        <w:tc>
          <w:tcPr>
            <w:tcW w:type="dxa" w:w="1419"/>
          </w:tcPr>
          <w:p>
            <w:r>
              <w:t>Wardha Valley / Umrer (Maharashtra)</w:t>
            </w:r>
          </w:p>
        </w:tc>
        <w:tc>
          <w:tcPr>
            <w:tcW w:type="dxa" w:w="1419"/>
          </w:tcPr>
          <w:p>
            <w:r>
              <w:t>4.21 m³/t</w:t>
            </w:r>
          </w:p>
        </w:tc>
      </w:tr>
      <w:tr>
        <w:tc>
          <w:tcPr>
            <w:tcW w:type="dxa" w:w="1419"/>
          </w:tcPr>
          <w:p>
            <w:r>
              <w:t>BCCL</w:t>
            </w:r>
          </w:p>
        </w:tc>
        <w:tc>
          <w:tcPr>
            <w:tcW w:type="dxa" w:w="1419"/>
          </w:tcPr>
          <w:p>
            <w:r>
              <w:t>39.80</w:t>
            </w:r>
          </w:p>
        </w:tc>
        <w:tc>
          <w:tcPr>
            <w:tcW w:type="dxa" w:w="1419"/>
          </w:tcPr>
          <w:p>
            <w:r>
              <w:t>1.30</w:t>
            </w:r>
          </w:p>
        </w:tc>
        <w:tc>
          <w:tcPr>
            <w:tcW w:type="dxa" w:w="1419"/>
          </w:tcPr>
          <w:p>
            <w:r>
              <w:t>41.10</w:t>
            </w:r>
          </w:p>
        </w:tc>
        <w:tc>
          <w:tcPr>
            <w:tcW w:type="dxa" w:w="1419"/>
          </w:tcPr>
          <w:p>
            <w:r>
              <w:t>+17.4%</w:t>
            </w:r>
          </w:p>
        </w:tc>
        <w:tc>
          <w:tcPr>
            <w:tcW w:type="dxa" w:w="1419"/>
          </w:tcPr>
          <w:p>
            <w:r>
              <w:t>Jharia Coalfield (Jharkhand)</w:t>
            </w:r>
          </w:p>
        </w:tc>
        <w:tc>
          <w:tcPr>
            <w:tcW w:type="dxa" w:w="1419"/>
          </w:tcPr>
          <w:p>
            <w:r>
              <w:t>3.85 m³/t</w:t>
            </w:r>
          </w:p>
        </w:tc>
      </w:tr>
      <w:tr>
        <w:tc>
          <w:tcPr>
            <w:tcW w:type="dxa" w:w="1419"/>
          </w:tcPr>
          <w:p>
            <w:r>
              <w:t>ECL</w:t>
            </w:r>
          </w:p>
        </w:tc>
        <w:tc>
          <w:tcPr>
            <w:tcW w:type="dxa" w:w="1419"/>
          </w:tcPr>
          <w:p>
            <w:r>
              <w:t>25.90</w:t>
            </w:r>
          </w:p>
        </w:tc>
        <w:tc>
          <w:tcPr>
            <w:tcW w:type="dxa" w:w="1419"/>
          </w:tcPr>
          <w:p>
            <w:r>
              <w:t>9.20</w:t>
            </w:r>
          </w:p>
        </w:tc>
        <w:tc>
          <w:tcPr>
            <w:tcW w:type="dxa" w:w="1419"/>
          </w:tcPr>
          <w:p>
            <w:r>
              <w:t>35.10</w:t>
            </w:r>
          </w:p>
        </w:tc>
        <w:tc>
          <w:tcPr>
            <w:tcW w:type="dxa" w:w="1419"/>
          </w:tcPr>
          <w:p>
            <w:r>
              <w:t>+4.8%</w:t>
            </w:r>
          </w:p>
        </w:tc>
        <w:tc>
          <w:tcPr>
            <w:tcW w:type="dxa" w:w="1419"/>
          </w:tcPr>
          <w:p>
            <w:r>
              <w:t>Raniganj / Rajmahal (WB/Jharkhand)</w:t>
            </w:r>
          </w:p>
        </w:tc>
        <w:tc>
          <w:tcPr>
            <w:tcW w:type="dxa" w:w="1419"/>
          </w:tcPr>
          <w:p>
            <w:r>
              <w:t>3.40 m³/t</w:t>
            </w:r>
          </w:p>
        </w:tc>
      </w:tr>
      <w:tr>
        <w:tc>
          <w:tcPr>
            <w:tcW w:type="dxa" w:w="1419"/>
          </w:tcPr>
          <w:p>
            <w:r>
              <w:t>CIL Aggregate Total</w:t>
            </w:r>
          </w:p>
        </w:tc>
        <w:tc>
          <w:tcPr>
            <w:tcW w:type="dxa" w:w="1419"/>
          </w:tcPr>
          <w:p>
            <w:r>
              <w:t>665.40</w:t>
            </w:r>
          </w:p>
        </w:tc>
        <w:tc>
          <w:tcPr>
            <w:tcW w:type="dxa" w:w="1419"/>
          </w:tcPr>
          <w:p>
            <w:r>
              <w:t>37.80</w:t>
            </w:r>
          </w:p>
        </w:tc>
        <w:tc>
          <w:tcPr>
            <w:tcW w:type="dxa" w:w="1419"/>
          </w:tcPr>
          <w:p>
            <w:r>
              <w:t>703.20</w:t>
            </w:r>
          </w:p>
        </w:tc>
        <w:tc>
          <w:tcPr>
            <w:tcW w:type="dxa" w:w="1419"/>
          </w:tcPr>
          <w:p>
            <w:r>
              <w:t>+10.1%</w:t>
            </w:r>
          </w:p>
        </w:tc>
        <w:tc>
          <w:tcPr>
            <w:tcW w:type="dxa" w:w="1419"/>
          </w:tcPr>
          <w:p>
            <w:r>
              <w:t>All Basins</w:t>
            </w:r>
          </w:p>
        </w:tc>
        <w:tc>
          <w:tcPr>
            <w:tcW w:type="dxa" w:w="1419"/>
          </w:tcPr>
          <w:p>
            <w:r>
              <w:t>2.48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`CIL_Annual_Production_Review_2023_24.pdf` (Page 1) | BBox: `[46.0, 161.86, 552.89, 209.54]`</w:t>
      </w:r>
    </w:p>
    <w:p>
      <w:pPr>
        <w:pStyle w:val="Quote"/>
      </w:pPr>
      <w:r>
        <w:t>*Evidence Quote*: "Coal India Limited (CIL) registered record raw coal production of 703.20 Million Tonnes (MT) during FY 2023-24, achieving double-digit</w:t>
      </w:r>
    </w:p>
    <w:p>
      <w:r>
        <w:t>growth of 10.1% over 638.60 MT in FY 2022-23...."</w:t>
      </w:r>
    </w:p>
    <w:p>
      <w:pPr>
        <w:pStyle w:val="ListBullet"/>
      </w:pPr>
      <w:r/>
      <w:r>
        <w:rPr>
          <w:b/>
        </w:rPr>
        <w:t>Reference [2]</w:t>
      </w:r>
      <w:r>
        <w:t>: `Coal_Ministry_Mine_Plan_Guidelines.pdf` (Page 6) | BBox: `[50.64, 400.48, 526.27, 431.04]`</w:t>
      </w:r>
    </w:p>
    <w:p>
      <w:pPr>
        <w:pStyle w:val="Quote"/>
      </w:pPr>
      <w:r>
        <w:t>*Evidence Quote*: "production activities;</w:t>
      </w:r>
    </w:p>
    <w:p>
      <w:r>
        <w:t>(l) “Production Life of the Mine” means the period of development and production years as given..."</w:t>
      </w:r>
    </w:p>
    <w:p>
      <w:pPr>
        <w:pStyle w:val="ListBullet"/>
      </w:pPr>
      <w:r/>
      <w:r>
        <w:rPr>
          <w:b/>
        </w:rPr>
        <w:t>Reference [3]</w:t>
      </w:r>
      <w:r>
        <w:t>: `Coal_Ministry_Mine_Plan_Guidelines.pdf` (Page 22) | BBox: `[120.02, 167.53, 468.58, 182.61]`</w:t>
      </w:r>
    </w:p>
    <w:p>
      <w:pPr>
        <w:pStyle w:val="Quote"/>
      </w:pPr>
      <w:r>
        <w:t>*Evidence Quote*: "of underground (UG) Mines)..."</w:t>
      </w:r>
    </w:p>
    <w:p>
      <w:pPr>
        <w:pStyle w:val="ListBullet"/>
      </w:pPr>
      <w:r/>
      <w:r>
        <w:rPr>
          <w:b/>
        </w:rPr>
        <w:t>Reference [4]</w:t>
      </w:r>
      <w:r>
        <w:t>: `Ministry_Gasification_Clarifications.pdf` (Page 12) | BBox: `[625.87, 232.61, 805.38, 324.31]`</w:t>
      </w:r>
    </w:p>
    <w:p>
      <w:pPr>
        <w:pStyle w:val="Quote"/>
      </w:pPr>
      <w:r>
        <w:t>*Evidence Quote*: "Production of Syngas through coal/</w:t>
      </w:r>
    </w:p>
    <w:p>
      <w:r>
        <w:t>lignite gasification is an approved</w:t>
      </w:r>
    </w:p>
    <w:p>
      <w:r>
        <w:t>product...."</w:t>
      </w:r>
    </w:p>
    <w:p>
      <w:pPr>
        <w:pStyle w:val="ListBullet"/>
      </w:pPr>
      <w:r/>
      <w:r>
        <w:rPr>
          <w:b/>
        </w:rPr>
        <w:t>Reference [5]</w:t>
      </w:r>
      <w:r>
        <w:t>: `Ministry_Gasification_Clarifications.pdf` (Page 14) | BBox: `[290.81, 217.01, 471.63, 577.2]`</w:t>
      </w:r>
    </w:p>
    <w:p>
      <w:pPr>
        <w:pStyle w:val="Quote"/>
      </w:pPr>
      <w:r>
        <w:t>*Evidence Quote*: "Clause 3 provides for evaluation based</w:t>
      </w:r>
    </w:p>
    <w:p>
      <w:r>
        <w:t>on "Project Cost per MT of Coal"...."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