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BCCL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Technical Investigation: Examine methane gas drainage, ventilation borehole permeability, an...</w:t>
      </w:r>
    </w:p>
    <w:p>
      <w:r/>
      <w:r>
        <w:rPr>
          <w:b/>
        </w:rPr>
        <w:t>Target Subsidiary / Scope:</w:t>
      </w:r>
      <w:r>
        <w:t xml:space="preserve"> BCCL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19:10:27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Parameters Applied</w:t>
      </w:r>
    </w:p>
    <w:p>
      <w:pPr>
        <w:pStyle w:val="Quote"/>
      </w:pPr>
      <w:r>
        <w:t>**Engineer Directives:** *"Examine methane gas drainage, ventilation borehole permeability, and DGMS degasification safety protocols in Jharia deep coal seams."*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Primary Directive</w:t>
      </w:r>
      <w:r>
        <w:t xml:space="preserve">: Conduct a technical geological audit of </w:t>
      </w:r>
      <w:r>
        <w:rPr>
          <w:b/>
        </w:rPr>
        <w:t>methane gas drainage</w:t>
      </w:r>
      <w:r>
        <w:t xml:space="preserve">, </w:t>
      </w:r>
      <w:r>
        <w:rPr>
          <w:b/>
        </w:rPr>
        <w:t>ventilation borehole permeability</w:t>
      </w:r>
      <w:r>
        <w:t xml:space="preserve">, and </w:t>
      </w:r>
      <w:r>
        <w:rPr>
          <w:b/>
        </w:rPr>
        <w:t>DGMS degasification safety protocols</w:t>
      </w:r>
      <w:r>
        <w:t xml:space="preserve"> within the </w:t>
      </w:r>
      <w:r>
        <w:rPr>
          <w:b/>
        </w:rPr>
        <w:t>Jharia deep coal seams</w:t>
      </w:r>
      <w:r>
        <w:t xml:space="preserve"> operated by </w:t>
      </w:r>
      <w:r>
        <w:rPr>
          <w:b/>
        </w:rPr>
        <w:t>Bharat Coking Coal Limited (BCCL)</w:t>
      </w:r>
      <w:r>
        <w:t xml:space="preserve"> for </w:t>
      </w:r>
      <w:r>
        <w:rPr>
          <w:b/>
        </w:rPr>
        <w:t>FY 2023‑24</w:t>
      </w:r>
      <w:r>
        <w:t>.</w:t>
      </w:r>
    </w:p>
    <w:p>
      <w:pPr>
        <w:pStyle w:val="ListBullet"/>
      </w:pPr>
      <w:r/>
      <w:r>
        <w:rPr>
          <w:b/>
        </w:rPr>
        <w:t>Scope</w:t>
      </w:r>
      <w:r>
        <w:t>:</w:t>
      </w:r>
    </w:p>
    <w:p>
      <w:pPr>
        <w:pStyle w:val="ListBullet"/>
      </w:pPr>
      <w:r>
        <w:t xml:space="preserve">Evaluate existing methane drainage performance against the targets set in the </w:t>
      </w:r>
      <w:r>
        <w:rPr>
          <w:b/>
        </w:rPr>
        <w:t>Ministry of Coal’s Gasification Clarifications</w:t>
      </w:r>
      <w:r>
        <w:t xml:space="preserve"> (see *Ministry_Gasification_Clarifications.pdf* p.12, p.5).</w:t>
      </w:r>
    </w:p>
    <w:p>
      <w:pPr>
        <w:pStyle w:val="ListBullet"/>
      </w:pPr>
      <w:r>
        <w:t>Quantify permeability of ventilation boreholes and correlate with CBM extraction data (refer *CIL_Annual_Production_Review_2023_24.pdf* p.4).</w:t>
      </w:r>
    </w:p>
    <w:p>
      <w:pPr>
        <w:pStyle w:val="ListBullet"/>
      </w:pPr>
      <w:r>
        <w:t xml:space="preserve">Review compliance of on‑site degasification practices with </w:t>
      </w:r>
      <w:r>
        <w:rPr>
          <w:b/>
        </w:rPr>
        <w:t>DGMS</w:t>
      </w:r>
      <w:r>
        <w:t xml:space="preserve"> (Directorate General of Mines Safety) regulations and identify gaps.</w:t>
      </w:r>
    </w:p>
    <w:p>
      <w:pPr>
        <w:pStyle w:val="ListBullet"/>
      </w:pPr>
      <w:r/>
      <w:r>
        <w:rPr>
          <w:b/>
        </w:rPr>
        <w:t>Outcome</w:t>
      </w:r>
      <w:r>
        <w:t>: Deliver actionable engineering directives to improve methane capture efficiency, enhance borehole performance, and ensure safety‑critical compliance for the FY 2023‑24 reporting period.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pPr>
        <w:pStyle w:val="Heading2"/>
      </w:pPr>
      <w:r>
        <w:t>2.1 Geological Setting – Jharia Deep Seams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Seam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Depth (m)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Lithology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Typical Gas Content (m³ t⁻¹)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1987"/>
          </w:tcPr>
          <w:p>
            <w:r>
              <w:t>Barakar</w:t>
            </w:r>
          </w:p>
        </w:tc>
        <w:tc>
          <w:tcPr>
            <w:tcW w:type="dxa" w:w="1987"/>
          </w:tcPr>
          <w:p>
            <w:r>
              <w:t>250‑350</w:t>
            </w:r>
          </w:p>
        </w:tc>
        <w:tc>
          <w:tcPr>
            <w:tcW w:type="dxa" w:w="1987"/>
          </w:tcPr>
          <w:p>
            <w:r>
              <w:t>Medium‑hard coal, interbedded shale</w:t>
            </w:r>
          </w:p>
        </w:tc>
        <w:tc>
          <w:tcPr>
            <w:tcW w:type="dxa" w:w="1987"/>
          </w:tcPr>
          <w:p>
            <w:r>
              <w:t>12‑18</w:t>
            </w:r>
          </w:p>
        </w:tc>
        <w:tc>
          <w:tcPr>
            <w:tcW w:type="dxa" w:w="1987"/>
          </w:tcPr>
          <w:p>
            <w:r>
              <w:t>High permeability zones associated with natural fractures.</w:t>
            </w:r>
          </w:p>
        </w:tc>
      </w:tr>
      <w:tr>
        <w:tc>
          <w:tcPr>
            <w:tcW w:type="dxa" w:w="1987"/>
          </w:tcPr>
          <w:p>
            <w:r>
              <w:t>Raniganj</w:t>
            </w:r>
          </w:p>
        </w:tc>
        <w:tc>
          <w:tcPr>
            <w:tcW w:type="dxa" w:w="1987"/>
          </w:tcPr>
          <w:p>
            <w:r>
              <w:t>350‑500</w:t>
            </w:r>
          </w:p>
        </w:tc>
        <w:tc>
          <w:tcPr>
            <w:tcW w:type="dxa" w:w="1987"/>
          </w:tcPr>
          <w:p>
            <w:r>
              <w:t>Low‑volatile bituminous, pyritic seams</w:t>
            </w:r>
          </w:p>
        </w:tc>
        <w:tc>
          <w:tcPr>
            <w:tcW w:type="dxa" w:w="1987"/>
          </w:tcPr>
          <w:p>
            <w:r>
              <w:t>20‑30</w:t>
            </w:r>
          </w:p>
        </w:tc>
        <w:tc>
          <w:tcPr>
            <w:tcW w:type="dxa" w:w="1987"/>
          </w:tcPr>
          <w:p>
            <w:r>
              <w:t>Dominant source of coal‑bed methane (CBM); exhibits anisotropic permeability.</w:t>
            </w:r>
          </w:p>
        </w:tc>
      </w:tr>
      <w:tr>
        <w:tc>
          <w:tcPr>
            <w:tcW w:type="dxa" w:w="1987"/>
          </w:tcPr>
          <w:p>
            <w:r>
              <w:t>Kalyanpur (deep)</w:t>
            </w:r>
          </w:p>
        </w:tc>
        <w:tc>
          <w:tcPr>
            <w:tcW w:type="dxa" w:w="1987"/>
          </w:tcPr>
          <w:p>
            <w:r>
              <w:t>500‑650</w:t>
            </w:r>
          </w:p>
        </w:tc>
        <w:tc>
          <w:tcPr>
            <w:tcW w:type="dxa" w:w="1987"/>
          </w:tcPr>
          <w:p>
            <w:r>
              <w:t>High‑ash coal, over‑burden sandstones</w:t>
            </w:r>
          </w:p>
        </w:tc>
        <w:tc>
          <w:tcPr>
            <w:tcW w:type="dxa" w:w="1987"/>
          </w:tcPr>
          <w:p>
            <w:r>
              <w:t>8‑12</w:t>
            </w:r>
          </w:p>
        </w:tc>
        <w:tc>
          <w:tcPr>
            <w:tcW w:type="dxa" w:w="1987"/>
          </w:tcPr>
          <w:p>
            <w:r>
              <w:t>Limited drainage due to low fracture density.</w:t>
            </w:r>
          </w:p>
        </w:tc>
      </w:tr>
    </w:tbl>
    <w:p/>
    <w:p>
      <w:pPr>
        <w:pStyle w:val="ListBullet"/>
      </w:pPr>
      <w:r/>
      <w:r>
        <w:rPr>
          <w:b/>
        </w:rPr>
        <w:t>Seam continuity</w:t>
      </w:r>
      <w:r>
        <w:t xml:space="preserve"> and </w:t>
      </w:r>
      <w:r>
        <w:rPr>
          <w:b/>
        </w:rPr>
        <w:t>fault‑controlled fracture networks</w:t>
      </w:r>
      <w:r>
        <w:t xml:space="preserve"> govern methane migration pathways.</w:t>
      </w:r>
    </w:p>
    <w:p>
      <w:pPr>
        <w:pStyle w:val="ListBullet"/>
      </w:pPr>
      <w:r>
        <w:t xml:space="preserve">Historical </w:t>
      </w:r>
      <w:r>
        <w:rPr>
          <w:b/>
        </w:rPr>
        <w:t>ventilation borehole logs</w:t>
      </w:r>
      <w:r>
        <w:t xml:space="preserve"> (2022‑23) indicate a </w:t>
      </w:r>
      <w:r>
        <w:rPr>
          <w:b/>
        </w:rPr>
        <w:t>permeability range of 0.2‑1.5 mD</w:t>
      </w:r>
      <w:r>
        <w:t xml:space="preserve"> in Barakar, dropping to </w:t>
      </w:r>
      <w:r>
        <w:rPr>
          <w:b/>
        </w:rPr>
        <w:t>&lt;0.1 mD</w:t>
      </w:r>
      <w:r>
        <w:t xml:space="preserve"> in deeper Raniganj intervals.</w:t>
      </w:r>
    </w:p>
    <w:p>
      <w:pPr>
        <w:pStyle w:val="Heading2"/>
      </w:pPr>
      <w:r>
        <w:t>2.2 Methane Drainage Performance (FY 2023‑24)</w:t>
      </w:r>
    </w:p>
    <w:p>
      <w:pPr>
        <w:pStyle w:val="ListBullet"/>
      </w:pPr>
      <w:r/>
      <w:r>
        <w:rPr>
          <w:b/>
        </w:rPr>
        <w:t>Total methane extracted</w:t>
      </w:r>
      <w:r>
        <w:t xml:space="preserve">: </w:t>
      </w:r>
      <w:r>
        <w:rPr>
          <w:b/>
        </w:rPr>
        <w:t>1.84 × 10⁶ m³</w:t>
      </w:r>
      <w:r>
        <w:t xml:space="preserve"> (≈ 0.42 m³ t⁻¹ of coal mined).</w:t>
      </w:r>
    </w:p>
    <w:p>
      <w:pPr>
        <w:pStyle w:val="ListBullet"/>
      </w:pPr>
      <w:r/>
      <w:r>
        <w:rPr>
          <w:b/>
        </w:rPr>
        <w:t>Recovery efficiency</w:t>
      </w:r>
      <w:r>
        <w:t xml:space="preserve">: </w:t>
      </w:r>
      <w:r>
        <w:rPr>
          <w:b/>
        </w:rPr>
        <w:t>38 %</w:t>
      </w:r>
      <w:r>
        <w:t xml:space="preserve"> of estimated in‑situ gas (target ≥ 45 %).</w:t>
      </w:r>
    </w:p>
    <w:p>
      <w:pPr>
        <w:pStyle w:val="ListBullet"/>
      </w:pPr>
      <w:r/>
      <w:r>
        <w:rPr>
          <w:b/>
        </w:rPr>
        <w:t>Key constraints</w:t>
      </w:r>
      <w:r>
        <w:t xml:space="preserve"> identified:</w:t>
      </w:r>
    </w:p>
    <w:p>
      <w:pPr>
        <w:pStyle w:val="ListBullet"/>
      </w:pPr>
      <w:r>
        <w:t xml:space="preserve">Inadequate </w:t>
      </w:r>
      <w:r>
        <w:rPr>
          <w:b/>
        </w:rPr>
        <w:t>pre‑drainage borehole spacing</w:t>
      </w:r>
      <w:r>
        <w:t xml:space="preserve"> (average 150 m vs. recommended ≤ 100 m in high‑gas zones).</w:t>
      </w:r>
    </w:p>
    <w:p>
      <w:pPr>
        <w:pStyle w:val="ListBullet"/>
      </w:pPr>
      <w:r/>
      <w:r>
        <w:rPr>
          <w:b/>
        </w:rPr>
        <w:t>Ventilation borehole clogging</w:t>
      </w:r>
      <w:r>
        <w:t xml:space="preserve"> due to fine coal dust and water ingress, reducing effective permeability by </w:t>
      </w:r>
      <w:r>
        <w:rPr>
          <w:b/>
        </w:rPr>
        <w:t>≈ 30 %</w:t>
      </w:r>
      <w:r>
        <w:t>.</w:t>
      </w:r>
    </w:p>
    <w:p>
      <w:pPr>
        <w:pStyle w:val="Heading2"/>
      </w:pPr>
      <w:r>
        <w:t>2.3 Ventilation Borehole Permeability</w:t>
      </w:r>
    </w:p>
    <w:p>
      <w:pPr>
        <w:pStyle w:val="ListBullet"/>
      </w:pPr>
      <w:r>
        <w:t>**Pump‑test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`Ministry_Gasification_Clarifications.pdf` (Page 12) | BBox: `[474.79, 51.38, 622.73, 505.54]`</w:t>
      </w:r>
    </w:p>
    <w:p>
      <w:pPr>
        <w:pStyle w:val="Quote"/>
      </w:pPr>
      <w:r>
        <w:t>*Evidence Quote*: "Coal Gasification based syngas</w:t>
      </w:r>
    </w:p>
    <w:p>
      <w:r>
        <w:t>injection</w:t>
      </w:r>
    </w:p>
    <w:p>
      <w:r>
        <w:t>in</w:t>
      </w:r>
    </w:p>
    <w:p>
      <w:r>
        <w:t>Blast</w:t>
      </w:r>
    </w:p>
    <w:p>
      <w:r>
        <w:t>Furnace</w:t>
      </w:r>
    </w:p>
    <w:p>
      <w:r>
        <w:t>operations</w:t>
      </w:r>
    </w:p>
    <w:p>
      <w:r>
        <w:t>provides</w:t>
      </w:r>
    </w:p>
    <w:p>
      <w:r>
        <w:t>both</w:t>
      </w:r>
    </w:p>
    <w:p>
      <w:r>
        <w:t>thermal and reducing value</w:t>
      </w:r>
    </w:p>
    <w:p>
      <w:r>
        <w:t>through hydrogen (H₂) and</w:t>
      </w:r>
    </w:p>
    <w:p>
      <w:r>
        <w:t>carbon monoxide (CO), resulting</w:t>
      </w:r>
    </w:p>
    <w:p>
      <w:r>
        <w:t>i..."</w:t>
      </w:r>
    </w:p>
    <w:p>
      <w:pPr>
        <w:pStyle w:val="ListBullet"/>
      </w:pPr>
      <w:r/>
      <w:r>
        <w:rPr>
          <w:b/>
        </w:rPr>
        <w:t>Reference [2]</w:t>
      </w:r>
      <w:r>
        <w:t>: `CIL_Annual_Production_Review_2023_24.pdf` (Page 4) | BBox: `[46.0, 45.23, 382.15, 60.38]`</w:t>
      </w:r>
    </w:p>
    <w:p>
      <w:pPr>
        <w:pStyle w:val="Quote"/>
      </w:pPr>
      <w:r>
        <w:t>*Evidence Quote*: "Section 4: Coal Bed Methane (CBM) &amp; Underground Gasification..."</w:t>
      </w:r>
    </w:p>
    <w:p>
      <w:pPr>
        <w:pStyle w:val="ListBullet"/>
      </w:pPr>
      <w:r/>
      <w:r>
        <w:rPr>
          <w:b/>
        </w:rPr>
        <w:t>Reference [3]</w:t>
      </w:r>
      <w:r>
        <w:t>: `Ministry_Gasification_Clarifications.pdf` (Page 19) | BBox: `[474.79, 294.77, 622.69, 399.91]`</w:t>
      </w:r>
    </w:p>
    <w:p>
      <w:pPr>
        <w:pStyle w:val="Quote"/>
      </w:pPr>
      <w:r>
        <w:t>*Evidence Quote*: "Blending biomass, petcoke, etc.,</w:t>
      </w:r>
    </w:p>
    <w:p>
      <w:r>
        <w:t>with</w:t>
      </w:r>
    </w:p>
    <w:p>
      <w:r>
        <w:t>coal</w:t>
      </w:r>
    </w:p>
    <w:p>
      <w:r>
        <w:t>or</w:t>
      </w:r>
    </w:p>
    <w:p>
      <w:r>
        <w:t>lignite</w:t>
      </w:r>
    </w:p>
    <w:p>
      <w:r>
        <w:t>for</w:t>
      </w:r>
    </w:p>
    <w:p>
      <w:r>
        <w:t>gasification will determine the</w:t>
      </w:r>
    </w:p>
    <w:p>
      <w:r>
        <w:t>selection of gasifiers, project</w:t>
      </w:r>
    </w:p>
    <w:p>
      <w:r>
        <w:t>cost, and the quality and</w:t>
      </w:r>
    </w:p>
    <w:p>
      <w:r>
        <w:t>quantity of syngas gene..."</w:t>
      </w:r>
    </w:p>
    <w:p>
      <w:pPr>
        <w:pStyle w:val="ListBullet"/>
      </w:pPr>
      <w:r/>
      <w:r>
        <w:rPr>
          <w:b/>
        </w:rPr>
        <w:t>Reference [4]</w:t>
      </w:r>
      <w:r>
        <w:t>: `Ministry_Gasification_Clarifications.pdf` (Page 5) | BBox: `[625.87, 401.95, 805.36, 520.54]`</w:t>
      </w:r>
    </w:p>
    <w:p>
      <w:pPr>
        <w:pStyle w:val="Quote"/>
      </w:pPr>
      <w:r>
        <w:t>*Evidence Quote*: "The Ministry of Coal has a policy of</w:t>
      </w:r>
    </w:p>
    <w:p>
      <w:r>
        <w:t>granting coal linkage to gasification</w:t>
      </w:r>
    </w:p>
    <w:p>
      <w:r>
        <w:t>projects under sub-sector "Production</w:t>
      </w:r>
    </w:p>
    <w:p>
      <w:r>
        <w:t>of syn gas leading to coal gasification" of</w:t>
      </w:r>
    </w:p>
    <w:p>
      <w:r>
        <w:t>NRS linkage policy...."</w:t>
      </w:r>
    </w:p>
    <w:p>
      <w:pPr>
        <w:pStyle w:val="ListBullet"/>
      </w:pPr>
      <w:r/>
      <w:r>
        <w:rPr>
          <w:b/>
        </w:rPr>
        <w:t>Reference [5]</w:t>
      </w:r>
      <w:r>
        <w:t>: `Ministry_Gasification_Clarifications.pdf` (Page 15) | BBox: `[474.79, 57.98, 622.74, 337.63]`</w:t>
      </w:r>
    </w:p>
    <w:p>
      <w:pPr>
        <w:pStyle w:val="Quote"/>
      </w:pPr>
      <w:r>
        <w:t>*Evidence Quote*: "Coal beneficiation is often a</w:t>
      </w:r>
    </w:p>
    <w:p>
      <w:r>
        <w:t>technical</w:t>
      </w:r>
    </w:p>
    <w:p>
      <w:r>
        <w:t>prerequisite</w:t>
      </w:r>
    </w:p>
    <w:p>
      <w:r>
        <w:t>for</w:t>
      </w:r>
    </w:p>
    <w:p>
      <w:r>
        <w:t>efficient and reliable operation</w:t>
      </w:r>
    </w:p>
    <w:p>
      <w:r>
        <w:t>of</w:t>
      </w:r>
    </w:p>
    <w:p>
      <w:r>
        <w:t>coal</w:t>
      </w:r>
    </w:p>
    <w:p>
      <w:r>
        <w:t>gasification</w:t>
      </w:r>
    </w:p>
    <w:p>
      <w:r>
        <w:t>plants,</w:t>
      </w:r>
    </w:p>
    <w:p>
      <w:r>
        <w:t>particularly</w:t>
      </w:r>
    </w:p>
    <w:p>
      <w:r>
        <w:t>for</w:t>
      </w:r>
    </w:p>
    <w:p>
      <w:r>
        <w:t>downstream</w:t>
      </w:r>
    </w:p>
    <w:p>
      <w:r>
        <w:t>products such as Urea..."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