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Technical &amp; Analytical Mining Report: CMPDI Exploration and Seam Drilling Review</w:t>
      </w:r>
    </w:p>
    <w:p>
      <w:r>
        <w:rPr>
          <w:sz w:val="18"/>
        </w:rPr>
        <w:t>Generated on: 11 September 2026, 17:02 | Engine: offline-geological-synthesis-engine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Analytical Synthesis</w:t>
      </w:r>
    </w:p>
    <w:p>
      <w:pPr>
        <w:pStyle w:val="Heading2"/>
      </w:pPr>
      <w:r>
        <w:t>Synthesis Response: Cmpdi Exploration And Seam Drilling Review</w:t>
      </w:r>
    </w:p>
    <w:p>
      <w:r/>
      <w:r>
        <w:rPr>
          <w:b/>
        </w:rPr>
        <w:t>CMPDI Geological Exploration &amp; Planning Highlights:</w:t>
      </w:r>
      <w:r/>
    </w:p>
    <w:p>
      <w:pPr>
        <w:pStyle w:val="ListBullet"/>
      </w:pPr>
      <w:r/>
      <w:r>
        <w:rPr>
          <w:b/>
        </w:rPr>
        <w:t>Exploration Drilling Meterage</w:t>
      </w:r>
      <w:r>
        <w:t xml:space="preserve">: CMPDI executed </w:t>
      </w:r>
      <w:r>
        <w:rPr>
          <w:b/>
        </w:rPr>
        <w:t>13.82 Lakh Metres</w:t>
      </w:r>
      <w:r>
        <w:t xml:space="preserve"> across 118 coal blocks in FY 2023-24.</w:t>
      </w:r>
    </w:p>
    <w:p>
      <w:pPr>
        <w:pStyle w:val="ListBullet"/>
      </w:pPr>
      <w:r/>
      <w:r>
        <w:rPr>
          <w:b/>
        </w:rPr>
        <w:t>Regional Institute Leaders</w:t>
      </w:r>
      <w:r>
        <w:t xml:space="preserve">: RI-V (Bilaspur) achieved </w:t>
      </w:r>
      <w:r>
        <w:rPr>
          <w:b/>
        </w:rPr>
        <w:t>3.38 Lakh Metres</w:t>
      </w:r>
      <w:r>
        <w:t xml:space="preserve">, followed by RI-III (Ranchi) at </w:t>
      </w:r>
      <w:r>
        <w:rPr>
          <w:b/>
        </w:rPr>
        <w:t>2.95 Lakh Metres</w:t>
      </w:r>
      <w:r>
        <w:t xml:space="preserve"> and RI-VI (Singrauli) at </w:t>
      </w:r>
      <w:r>
        <w:rPr>
          <w:b/>
        </w:rPr>
        <w:t>1.86 Lakh Metres</w:t>
      </w:r>
      <w:r>
        <w:t>.</w:t>
      </w:r>
    </w:p>
    <w:p>
      <w:pPr>
        <w:pStyle w:val="ListBullet"/>
      </w:pPr>
      <w:r/>
      <w:r>
        <w:rPr>
          <w:b/>
        </w:rPr>
        <w:t>Formations Explored</w:t>
      </w:r>
      <w:r>
        <w:t xml:space="preserve">: Primary stratigraphic drilling explored the </w:t>
      </w:r>
      <w:r>
        <w:rPr>
          <w:b/>
        </w:rPr>
        <w:t>Lower Gondwana Barakar, Karharbari, and Raniganj Formations</w:t>
      </w:r>
      <w:r>
        <w:t>.</w:t>
      </w:r>
    </w:p>
    <w:p>
      <w:pPr>
        <w:pStyle w:val="ListBullet"/>
      </w:pPr>
      <w:r/>
      <w:r>
        <w:rPr>
          <w:b/>
        </w:rPr>
        <w:t>Coal Bed Methane (CBM)</w:t>
      </w:r>
      <w:r>
        <w:t xml:space="preserve">: Estimated Gas-In-Place (GIP) of </w:t>
      </w:r>
      <w:r>
        <w:rPr>
          <w:b/>
        </w:rPr>
        <w:t>25.4 Billion Cubic Metres (BCM)</w:t>
      </w:r>
      <w:r>
        <w:t xml:space="preserve"> confirmed in Jharia and Bokaro coalfield blocks.</w:t>
      </w:r>
    </w:p>
    <w:p>
      <w:pPr>
        <w:pStyle w:val="ListBullet"/>
      </w:pPr>
      <w:r/>
      <w:r>
        <w:rPr>
          <w:b/>
        </w:rPr>
        <w:t>Detailed Project Reports (DPRs)</w:t>
      </w:r>
      <w:r>
        <w:t xml:space="preserve">: Prepared </w:t>
      </w:r>
      <w:r>
        <w:rPr>
          <w:b/>
        </w:rPr>
        <w:t>28 DPRs</w:t>
      </w:r>
      <w:r>
        <w:t xml:space="preserve"> with cumulative capacity of </w:t>
      </w:r>
      <w:r>
        <w:rPr>
          <w:b/>
        </w:rPr>
        <w:t>142.5 MTY</w:t>
      </w:r>
      <w:r>
        <w:t>, including the mega-expansion of Gevra OC (70 MTY) and Kusmunda OC (50 MTY).</w:t>
      </w:r>
    </w:p>
    <w:p>
      <w:r/>
      <w:r>
        <w:rPr>
          <w:b/>
        </w:rPr>
        <w:t>Primary Source Reference:</w:t>
      </w:r>
      <w:r/>
    </w:p>
    <w:p>
      <w:pPr>
        <w:pStyle w:val="ListBullet"/>
      </w:pPr>
      <w:r>
        <w:t>*File*: `CMPDI_Geological_Exploration_Report_2023_24.pdf` (Page 1)</w:t>
      </w:r>
    </w:p>
    <w:p>
      <w:pPr>
        <w:pStyle w:val="ListBullet"/>
      </w:pPr>
      <w:r>
        <w:t>*Verified Snippet*: "1. Exploration Drilling Performance &amp; Stratigraphic Profiling..."</w:t>
      </w:r>
    </w:p>
    <w:p>
      <w:r>
        <w:t>*(Click any cited reference on the side to inspect the exact spatial bounding box in the original PDF)*</w:t>
      </w:r>
    </w:p>
    <w:p>
      <w:pPr>
        <w:pStyle w:val="Heading1"/>
      </w:pPr>
      <w:r>
        <w:t>2. Key Operational Metrics &amp; Subsidiary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Subsidiary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</w:tr>
      <w:tr>
        <w:tc>
          <w:tcPr>
            <w:tcW w:type="dxa" w:w="1987"/>
          </w:tcPr>
          <w:p>
            <w:r>
              <w:t>Mahanadi Coalfields (MCL)</w:t>
            </w:r>
          </w:p>
        </w:tc>
        <w:tc>
          <w:tcPr>
            <w:tcW w:type="dxa" w:w="1987"/>
          </w:tcPr>
          <w:p>
            <w:r>
              <w:t>181.50</w:t>
            </w:r>
          </w:p>
        </w:tc>
        <w:tc>
          <w:tcPr>
            <w:tcW w:type="dxa" w:w="1987"/>
          </w:tcPr>
          <w:p>
            <w:r>
              <w:t>11.80</w:t>
            </w:r>
          </w:p>
        </w:tc>
        <w:tc>
          <w:tcPr>
            <w:tcW w:type="dxa" w:w="1987"/>
          </w:tcPr>
          <w:p>
            <w:r>
              <w:t>193.30</w:t>
            </w:r>
          </w:p>
        </w:tc>
        <w:tc>
          <w:tcPr>
            <w:tcW w:type="dxa" w:w="1987"/>
          </w:tcPr>
          <w:p>
            <w:r>
              <w:t>+11.9%</w:t>
            </w:r>
          </w:p>
        </w:tc>
      </w:tr>
      <w:tr>
        <w:tc>
          <w:tcPr>
            <w:tcW w:type="dxa" w:w="1987"/>
          </w:tcPr>
          <w:p>
            <w:r>
              <w:t>South Eastern Coalfields (SECL)</w:t>
            </w:r>
          </w:p>
        </w:tc>
        <w:tc>
          <w:tcPr>
            <w:tcW w:type="dxa" w:w="1987"/>
          </w:tcPr>
          <w:p>
            <w:r>
              <w:t>155.80</w:t>
            </w:r>
          </w:p>
        </w:tc>
        <w:tc>
          <w:tcPr>
            <w:tcW w:type="dxa" w:w="1987"/>
          </w:tcPr>
          <w:p>
            <w:r>
              <w:t>11.20</w:t>
            </w:r>
          </w:p>
        </w:tc>
        <w:tc>
          <w:tcPr>
            <w:tcW w:type="dxa" w:w="1987"/>
          </w:tcPr>
          <w:p>
            <w:r>
              <w:t>167.00</w:t>
            </w:r>
          </w:p>
        </w:tc>
        <w:tc>
          <w:tcPr>
            <w:tcW w:type="dxa" w:w="1987"/>
          </w:tcPr>
          <w:p>
            <w:r>
              <w:t>+13.2%</w:t>
            </w:r>
          </w:p>
        </w:tc>
      </w:tr>
      <w:tr>
        <w:tc>
          <w:tcPr>
            <w:tcW w:type="dxa" w:w="1987"/>
          </w:tcPr>
          <w:p>
            <w:r>
              <w:t>Northern Coalfields (NCL)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0.00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+6.8%</w:t>
            </w:r>
          </w:p>
        </w:tc>
      </w:tr>
      <w:tr>
        <w:tc>
          <w:tcPr>
            <w:tcW w:type="dxa" w:w="1987"/>
          </w:tcPr>
          <w:p>
            <w:r>
              <w:t>Central Coalfields (CCL)</w:t>
            </w:r>
          </w:p>
        </w:tc>
        <w:tc>
          <w:tcPr>
            <w:tcW w:type="dxa" w:w="1987"/>
          </w:tcPr>
          <w:p>
            <w:r>
              <w:t>82.90</w:t>
            </w:r>
          </w:p>
        </w:tc>
        <w:tc>
          <w:tcPr>
            <w:tcW w:type="dxa" w:w="1987"/>
          </w:tcPr>
          <w:p>
            <w:r>
              <w:t>1.10</w:t>
            </w:r>
          </w:p>
        </w:tc>
        <w:tc>
          <w:tcPr>
            <w:tcW w:type="dxa" w:w="1987"/>
          </w:tcPr>
          <w:p>
            <w:r>
              <w:t>84.00</w:t>
            </w:r>
          </w:p>
        </w:tc>
        <w:tc>
          <w:tcPr>
            <w:tcW w:type="dxa" w:w="1987"/>
          </w:tcPr>
          <w:p>
            <w:r>
              <w:t>+14.2%</w:t>
            </w:r>
          </w:p>
        </w:tc>
      </w:tr>
      <w:tr>
        <w:tc>
          <w:tcPr>
            <w:tcW w:type="dxa" w:w="1987"/>
          </w:tcPr>
          <w:p>
            <w:r>
              <w:t>Western Coalfields (WCL)</w:t>
            </w:r>
          </w:p>
        </w:tc>
        <w:tc>
          <w:tcPr>
            <w:tcW w:type="dxa" w:w="1987"/>
          </w:tcPr>
          <w:p>
            <w:r>
              <w:t>57.10</w:t>
            </w:r>
          </w:p>
        </w:tc>
        <w:tc>
          <w:tcPr>
            <w:tcW w:type="dxa" w:w="1987"/>
          </w:tcPr>
          <w:p>
            <w:r>
              <w:t>3.20</w:t>
            </w:r>
          </w:p>
        </w:tc>
        <w:tc>
          <w:tcPr>
            <w:tcW w:type="dxa" w:w="1987"/>
          </w:tcPr>
          <w:p>
            <w:r>
              <w:t>60.30</w:t>
            </w:r>
          </w:p>
        </w:tc>
        <w:tc>
          <w:tcPr>
            <w:tcW w:type="dxa" w:w="1987"/>
          </w:tcPr>
          <w:p>
            <w:r>
              <w:t>+4.5%</w:t>
            </w:r>
          </w:p>
        </w:tc>
      </w:tr>
      <w:tr>
        <w:tc>
          <w:tcPr>
            <w:tcW w:type="dxa" w:w="1987"/>
          </w:tcPr>
          <w:p>
            <w:r>
              <w:t>Bharat Coking Coal (BCCL)</w:t>
            </w:r>
          </w:p>
        </w:tc>
        <w:tc>
          <w:tcPr>
            <w:tcW w:type="dxa" w:w="1987"/>
          </w:tcPr>
          <w:p>
            <w:r>
              <w:t>39.80</w:t>
            </w:r>
          </w:p>
        </w:tc>
        <w:tc>
          <w:tcPr>
            <w:tcW w:type="dxa" w:w="1987"/>
          </w:tcPr>
          <w:p>
            <w:r>
              <w:t>1.30</w:t>
            </w:r>
          </w:p>
        </w:tc>
        <w:tc>
          <w:tcPr>
            <w:tcW w:type="dxa" w:w="1987"/>
          </w:tcPr>
          <w:p>
            <w:r>
              <w:t>41.10</w:t>
            </w:r>
          </w:p>
        </w:tc>
        <w:tc>
          <w:tcPr>
            <w:tcW w:type="dxa" w:w="1987"/>
          </w:tcPr>
          <w:p>
            <w:r>
              <w:t>+17.4%</w:t>
            </w:r>
          </w:p>
        </w:tc>
      </w:tr>
      <w:tr>
        <w:tc>
          <w:tcPr>
            <w:tcW w:type="dxa" w:w="1987"/>
          </w:tcPr>
          <w:p>
            <w:r>
              <w:t>Eastern Coalfields (ECL)</w:t>
            </w:r>
          </w:p>
        </w:tc>
        <w:tc>
          <w:tcPr>
            <w:tcW w:type="dxa" w:w="1987"/>
          </w:tcPr>
          <w:p>
            <w:r>
              <w:t>25.90</w:t>
            </w:r>
          </w:p>
        </w:tc>
        <w:tc>
          <w:tcPr>
            <w:tcW w:type="dxa" w:w="1987"/>
          </w:tcPr>
          <w:p>
            <w:r>
              <w:t>9.20</w:t>
            </w:r>
          </w:p>
        </w:tc>
        <w:tc>
          <w:tcPr>
            <w:tcW w:type="dxa" w:w="1987"/>
          </w:tcPr>
          <w:p>
            <w:r>
              <w:t>35.10</w:t>
            </w:r>
          </w:p>
        </w:tc>
        <w:tc>
          <w:tcPr>
            <w:tcW w:type="dxa" w:w="1987"/>
          </w:tcPr>
          <w:p>
            <w:r>
              <w:t>+4.8%</w:t>
            </w:r>
          </w:p>
        </w:tc>
      </w:tr>
      <w:tr>
        <w:tc>
          <w:tcPr>
            <w:tcW w:type="dxa" w:w="1987"/>
          </w:tcPr>
          <w:p>
            <w:r>
              <w:t>CIL Total</w:t>
            </w:r>
          </w:p>
        </w:tc>
        <w:tc>
          <w:tcPr>
            <w:tcW w:type="dxa" w:w="1987"/>
          </w:tcPr>
          <w:p>
            <w:r>
              <w:t>665.40</w:t>
            </w:r>
          </w:p>
        </w:tc>
        <w:tc>
          <w:tcPr>
            <w:tcW w:type="dxa" w:w="1987"/>
          </w:tcPr>
          <w:p>
            <w:r>
              <w:t>37.80</w:t>
            </w:r>
          </w:p>
        </w:tc>
        <w:tc>
          <w:tcPr>
            <w:tcW w:type="dxa" w:w="1987"/>
          </w:tcPr>
          <w:p>
            <w:r>
              <w:t>703.20</w:t>
            </w:r>
          </w:p>
        </w:tc>
        <w:tc>
          <w:tcPr>
            <w:tcW w:type="dxa" w:w="1987"/>
          </w:tcPr>
          <w:p>
            <w:r>
              <w:t>+10.1%</w:t>
            </w:r>
          </w:p>
        </w:tc>
      </w:tr>
    </w:tbl>
    <w:p>
      <w:pPr>
        <w:pStyle w:val="Heading1"/>
      </w:pPr>
      <w:r>
        <w:t>3. Document Citations &amp; Spatial Evidence</w:t>
      </w:r>
    </w:p>
    <w:p>
      <w:r>
        <w:rPr>
          <w:b/>
        </w:rPr>
        <w:t>[1] Source: CMPDI_Geological_Exploration_Report_2023_24.pdf (Page 1)</w:t>
      </w:r>
    </w:p>
    <w:p>
      <w:pPr>
        <w:pStyle w:val="Quote"/>
      </w:pPr>
      <w:r>
        <w:t>Snippet: "1. Exploration Drilling Performance &amp; Stratigraphic Profiling"</w:t>
      </w:r>
    </w:p>
    <w:p>
      <w:r>
        <w:rPr>
          <w:b/>
        </w:rPr>
        <w:t>[2] Source: CMPDI_Geological_Exploration_Report_2023_24.pdf (Page 1)</w:t>
      </w:r>
    </w:p>
    <w:p>
      <w:pPr>
        <w:pStyle w:val="Quote"/>
      </w:pPr>
      <w:r>
        <w:t>Snippet: "Geological Drilling, Exploration &amp; Project Planning Report (FY 2023-24)"</w:t>
      </w:r>
    </w:p>
    <w:p>
      <w:r>
        <w:rPr>
          <w:b/>
        </w:rPr>
        <w:t>[3] Source: CMPDI_Geological_Exploration_Report_2023_24.pdf (Page 1)</w:t>
      </w:r>
    </w:p>
    <w:p>
      <w:pPr>
        <w:pStyle w:val="Quote"/>
      </w:pPr>
      <w:r>
        <w:t>Snippet: "CMPDI deployed 154 mechanical and hydrostatic drilling rigs across Gondwana coal basins during the year. A total</w:t>
        <w:br/>
        <w:t>drilling meterage of 13.82 Lakh Metres was executed across 118 coal blocks in Jharkhand, Odisha, Chhattisgarh,</w:t>
        <w:br/>
        <w:t>Madhya Pradesh, West Bengal, and Maharashtra. Drilling o..."</w:t>
      </w:r>
    </w:p>
    <w:p>
      <w:r>
        <w:rPr>
          <w:b/>
        </w:rPr>
        <w:t>[4] Source: CIL_Annual_Production_Review_2023_24.pdf (Page 1)</w:t>
      </w:r>
    </w:p>
    <w:p>
      <w:pPr>
        <w:pStyle w:val="Quote"/>
      </w:pPr>
      <w:r>
        <w:t>Snippet: "During FY 2023-24, total Composite Overburden Removal (OBR) achieved was 1,650.40 M.Cum, representing an</w:t>
        <w:br/>
        <w:t>expansion of 21.6% over the previous period. The company-wide average stripping ratio stabilized at 2.48 m3/t. High</w:t>
        <w:br/>
        <w:t>stripping ratios were observed at WCL (4.21 m3/t) and BCCL 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