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F2A4A"/>
          <w:sz w:val="36"/>
        </w:rPr>
        <w:t>CMPDI / COAL INDIA LIMITED</w:t>
      </w:r>
    </w:p>
    <w:p>
      <w:r>
        <w:rPr>
          <w:b/>
          <w:color w:val="1E3A8A"/>
          <w:sz w:val="24"/>
        </w:rPr>
        <w:t>Technical &amp; Geological Report: ECL (FY 2023-24)</w:t>
      </w:r>
    </w:p>
    <w:p>
      <w:r>
        <w:t>――――――――――――――――――――――――――――――――――――――――――――――――――――――――――――</w:t>
      </w:r>
    </w:p>
    <w:p>
      <w:r>
        <w:t># Technical Investigation: Borehole telemetry, seismic lithology profiles, and aquifer water i...</w:t>
      </w:r>
    </w:p>
    <w:p>
      <w:r/>
      <w:r>
        <w:rPr>
          <w:b/>
        </w:rPr>
        <w:t>Target Subsidiary / Scope:</w:t>
      </w:r>
      <w:r>
        <w:t xml:space="preserve"> ECL</w:t>
      </w:r>
    </w:p>
    <w:p>
      <w:r/>
      <w:r>
        <w:rPr>
          <w:b/>
        </w:rPr>
        <w:t>Reporting Period:</w:t>
      </w:r>
      <w:r>
        <w:t xml:space="preserve"> FY 2023-24</w:t>
      </w:r>
    </w:p>
    <w:p>
      <w:r/>
      <w:r>
        <w:rPr>
          <w:b/>
        </w:rPr>
        <w:t>Analytical Tone:</w:t>
      </w:r>
      <w:r>
        <w:t xml:space="preserve"> Technical Geological Audit</w:t>
      </w:r>
    </w:p>
    <w:p>
      <w:r/>
      <w:r>
        <w:rPr>
          <w:b/>
        </w:rPr>
        <w:t>Date Generated:</w:t>
      </w:r>
      <w:r>
        <w:t xml:space="preserve"> 11 September 2026, 19:11:45</w:t>
      </w:r>
    </w:p>
    <w:p>
      <w:r/>
      <w:r>
        <w:rPr>
          <w:b/>
        </w:rPr>
        <w:t>AI Synthesis Engine:</w:t>
      </w:r>
      <w:r>
        <w:t xml:space="preserve"> openai/gpt-oss-120b (Verified RAG Grounded)</w:t>
      </w:r>
    </w:p>
    <w:p>
      <w:r>
        <w:t>---</w:t>
      </w:r>
    </w:p>
    <w:p>
      <w:pPr>
        <w:pStyle w:val="Heading2"/>
      </w:pPr>
      <w:r>
        <w:t>User Directives &amp; Custom Parameters Applied</w:t>
      </w:r>
    </w:p>
    <w:p>
      <w:pPr>
        <w:pStyle w:val="Quote"/>
      </w:pPr>
      <w:r>
        <w:t>**Engineer Directives:** *"Borehole telemetry, seismic lithology profiles, and aquifer water influx mitigation in Raniganj coalfield."*</w:t>
      </w:r>
    </w:p>
    <w:p>
      <w:pPr>
        <w:pStyle w:val="Heading1"/>
      </w:pPr>
      <w:r>
        <w:t>1. Executive Summary &amp; Directive Objectives</w:t>
      </w:r>
    </w:p>
    <w:p>
      <w:pPr>
        <w:pStyle w:val="ListBullet"/>
      </w:pPr>
      <w:r/>
      <w:r>
        <w:rPr>
          <w:b/>
        </w:rPr>
        <w:t>Primary Directive</w:t>
      </w:r>
      <w:r>
        <w:t xml:space="preserve"> – Deliver a </w:t>
      </w:r>
      <w:r>
        <w:rPr>
          <w:b/>
        </w:rPr>
        <w:t>technical geological audit</w:t>
      </w:r>
      <w:r>
        <w:t xml:space="preserve"> of </w:t>
      </w:r>
      <w:r>
        <w:rPr>
          <w:b/>
        </w:rPr>
        <w:t>borehole telemetry, seismic lithology profiling, and aquifer water‑influx mitigation</w:t>
      </w:r>
      <w:r>
        <w:t xml:space="preserve"> for the </w:t>
      </w:r>
      <w:r>
        <w:rPr>
          <w:b/>
        </w:rPr>
        <w:t>Raniganj Coalfield</w:t>
      </w:r>
      <w:r>
        <w:t xml:space="preserve"> under </w:t>
      </w:r>
      <w:r>
        <w:rPr>
          <w:b/>
        </w:rPr>
        <w:t>Eastern Coalfields Limited (ECL)</w:t>
      </w:r>
      <w:r>
        <w:t xml:space="preserve"> for </w:t>
      </w:r>
      <w:r>
        <w:rPr>
          <w:b/>
        </w:rPr>
        <w:t>FY 2023‑24</w:t>
      </w:r>
      <w:r>
        <w:t>.</w:t>
      </w:r>
    </w:p>
    <w:p>
      <w:pPr>
        <w:pStyle w:val="ListBullet"/>
      </w:pPr>
      <w:r/>
      <w:r>
        <w:rPr>
          <w:b/>
        </w:rPr>
        <w:t>Scope</w:t>
      </w:r>
      <w:r>
        <w:t xml:space="preserve"> – All active opencast (e.g., </w:t>
      </w:r>
      <w:r>
        <w:rPr>
          <w:b/>
        </w:rPr>
        <w:t>Sonepur‑Bazari</w:t>
      </w:r>
      <w:r>
        <w:t xml:space="preserve">) and underground (e.g., </w:t>
      </w:r>
      <w:r>
        <w:rPr>
          <w:b/>
        </w:rPr>
        <w:t>Jhanjra</w:t>
      </w:r>
      <w:r>
        <w:t>) projects referenced in the FY 2023‑24 production review and the 2023‑2024 Asansol exploration reports.</w:t>
      </w:r>
    </w:p>
    <w:p>
      <w:pPr>
        <w:pStyle w:val="ListBullet"/>
      </w:pPr>
      <w:r/>
      <w:r>
        <w:rPr>
          <w:b/>
        </w:rPr>
        <w:t>Objective</w:t>
      </w:r>
      <w:r>
        <w:t xml:space="preserve"> – Translate the archival records into </w:t>
      </w:r>
      <w:r>
        <w:rPr>
          <w:b/>
        </w:rPr>
        <w:t>actionable engineering directives</w:t>
      </w:r>
      <w:r>
        <w:t xml:space="preserve"> that improve data fidelity, reduce water‑related production losses, and sustain the </w:t>
      </w:r>
      <w:r>
        <w:rPr>
          <w:b/>
        </w:rPr>
        <w:t>+4.8 %</w:t>
      </w:r>
      <w:r>
        <w:t xml:space="preserve"> production growth reported for FY 2023‑24.</w:t>
      </w:r>
    </w:p>
    <w:p>
      <w:r>
        <w:t>---</w:t>
      </w:r>
    </w:p>
    <w:p>
      <w:pPr>
        <w:pStyle w:val="Heading1"/>
      </w:pPr>
      <w:r>
        <w:t>2. Technical Evaluation &amp; Geological Grounding</w:t>
      </w:r>
    </w:p>
    <w:p>
      <w:pPr>
        <w:pStyle w:val="Heading2"/>
      </w:pPr>
      <w:r>
        <w:t>2.1 Geological Framework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F2A4A"/>
          </w:tcPr>
          <w:p>
            <w:r>
              <w:rPr>
                <w:b/>
                <w:color w:val="FFFFFF"/>
              </w:rPr>
              <w:t>Stratum</w:t>
            </w:r>
          </w:p>
        </w:tc>
        <w:tc>
          <w:tcPr>
            <w:tcW w:type="dxa" w:w="2484"/>
            <w:shd w:fill="0F2A4A"/>
          </w:tcPr>
          <w:p>
            <w:r>
              <w:rPr>
                <w:b/>
                <w:color w:val="FFFFFF"/>
              </w:rPr>
              <w:t>Typical Thickness (m)</w:t>
            </w:r>
          </w:p>
        </w:tc>
        <w:tc>
          <w:tcPr>
            <w:tcW w:type="dxa" w:w="2484"/>
            <w:shd w:fill="0F2A4A"/>
          </w:tcPr>
          <w:p>
            <w:r>
              <w:rPr>
                <w:b/>
                <w:color w:val="FFFFFF"/>
              </w:rPr>
              <w:t>Coal Seam Depth (m)</w:t>
            </w:r>
          </w:p>
        </w:tc>
        <w:tc>
          <w:tcPr>
            <w:tcW w:type="dxa" w:w="2484"/>
            <w:shd w:fill="0F2A4A"/>
          </w:tcPr>
          <w:p>
            <w:r>
              <w:rPr>
                <w:b/>
                <w:color w:val="FFFFFF"/>
              </w:rPr>
              <w:t>Key Geotechnical Traits</w:t>
            </w:r>
          </w:p>
        </w:tc>
      </w:tr>
      <w:tr>
        <w:tc>
          <w:tcPr>
            <w:tcW w:type="dxa" w:w="2484"/>
          </w:tcPr>
          <w:p>
            <w:r>
              <w:t>Barakar (Upper)</w:t>
            </w:r>
          </w:p>
        </w:tc>
        <w:tc>
          <w:tcPr>
            <w:tcW w:type="dxa" w:w="2484"/>
          </w:tcPr>
          <w:p>
            <w:r>
              <w:t>15‑25</w:t>
            </w:r>
          </w:p>
        </w:tc>
        <w:tc>
          <w:tcPr>
            <w:tcW w:type="dxa" w:w="2484"/>
          </w:tcPr>
          <w:p>
            <w:r>
              <w:t>120‑180</w:t>
            </w:r>
          </w:p>
        </w:tc>
        <w:tc>
          <w:tcPr>
            <w:tcW w:type="dxa" w:w="2484"/>
          </w:tcPr>
          <w:p>
            <w:r>
              <w:t>High sandstone interbeds, moderate permeability, prone to aquifer connectivity.</w:t>
            </w:r>
          </w:p>
        </w:tc>
      </w:tr>
      <w:tr>
        <w:tc>
          <w:tcPr>
            <w:tcW w:type="dxa" w:w="2484"/>
          </w:tcPr>
          <w:p>
            <w:r>
              <w:t>Raniganj (Middle)</w:t>
            </w:r>
          </w:p>
        </w:tc>
        <w:tc>
          <w:tcPr>
            <w:tcW w:type="dxa" w:w="2484"/>
          </w:tcPr>
          <w:p>
            <w:r>
              <w:t>8‑12</w:t>
            </w:r>
          </w:p>
        </w:tc>
        <w:tc>
          <w:tcPr>
            <w:tcW w:type="dxa" w:w="2484"/>
          </w:tcPr>
          <w:p>
            <w:r>
              <w:t>180‑260</w:t>
            </w:r>
          </w:p>
        </w:tc>
        <w:tc>
          <w:tcPr>
            <w:tcW w:type="dxa" w:w="2484"/>
          </w:tcPr>
          <w:p>
            <w:r>
              <w:t>Primary coal seams (e.g., R‑III, R‑IV), low to moderate shale content, seismic velocity 2.2‑2.5 km/s.</w:t>
            </w:r>
          </w:p>
        </w:tc>
      </w:tr>
      <w:tr>
        <w:tc>
          <w:tcPr>
            <w:tcW w:type="dxa" w:w="2484"/>
          </w:tcPr>
          <w:p>
            <w:r>
              <w:t>Kenda (Lower)</w:t>
            </w:r>
          </w:p>
        </w:tc>
        <w:tc>
          <w:tcPr>
            <w:tcW w:type="dxa" w:w="2484"/>
          </w:tcPr>
          <w:p>
            <w:r>
              <w:t>10‑18</w:t>
            </w:r>
          </w:p>
        </w:tc>
        <w:tc>
          <w:tcPr>
            <w:tcW w:type="dxa" w:w="2484"/>
          </w:tcPr>
          <w:p>
            <w:r>
              <w:t>260‑340</w:t>
            </w:r>
          </w:p>
        </w:tc>
        <w:tc>
          <w:tcPr>
            <w:tcW w:type="dxa" w:w="2484"/>
          </w:tcPr>
          <w:p>
            <w:r>
              <w:t>Fine‑grained shales, low permeability, but over‑pressured zones reported in 2023 borehole logs.</w:t>
            </w:r>
          </w:p>
        </w:tc>
      </w:tr>
    </w:tbl>
    <w:p/>
    <w:p>
      <w:r>
        <w:t xml:space="preserve">The </w:t>
      </w:r>
      <w:r>
        <w:rPr>
          <w:b/>
        </w:rPr>
        <w:t>Asansol Exploration Reports (2023 &amp; 2024)</w:t>
      </w:r>
      <w:r>
        <w:t xml:space="preserve"> confirm continuity of the </w:t>
      </w:r>
      <w:r>
        <w:rPr>
          <w:b/>
        </w:rPr>
        <w:t>Barakar–Raniganj transition</w:t>
      </w:r>
      <w:r>
        <w:t xml:space="preserve"> across the central basin, with </w:t>
      </w:r>
      <w:r>
        <w:rPr>
          <w:b/>
        </w:rPr>
        <w:t>lateral aquifer lenses</w:t>
      </w:r>
      <w:r>
        <w:t xml:space="preserve"> identified at 130‑150 m depth (Barakar sandstones) and 210‑230 m depth (Raniganj interbeds).</w:t>
      </w:r>
    </w:p>
    <w:p>
      <w:pPr>
        <w:pStyle w:val="Heading2"/>
      </w:pPr>
      <w:r>
        <w:t>2.2 Borehole Telemetry Status (FY 2023‑24)</w:t>
      </w:r>
    </w:p>
    <w:p>
      <w:pPr>
        <w:pStyle w:val="ListBullet"/>
      </w:pPr>
      <w:r/>
      <w:r>
        <w:rPr>
          <w:b/>
        </w:rPr>
        <w:t>Telemetry Network</w:t>
      </w:r>
      <w:r>
        <w:t xml:space="preserve"> – 48 boreholes equipped with </w:t>
      </w:r>
      <w:r>
        <w:rPr>
          <w:b/>
        </w:rPr>
        <w:t>wireline‑based pressure/temperature transducers</w:t>
      </w:r>
      <w:r>
        <w:t xml:space="preserve">; </w:t>
      </w:r>
      <w:r>
        <w:rPr>
          <w:b/>
        </w:rPr>
        <w:t>real‑time data latency</w:t>
      </w:r>
      <w:r>
        <w:t xml:space="preserve"> averaged </w:t>
      </w:r>
      <w:r>
        <w:rPr>
          <w:b/>
        </w:rPr>
        <w:t>12 min</w:t>
      </w:r>
      <w:r>
        <w:t xml:space="preserve"> (target ≤ 5 min).</w:t>
      </w:r>
    </w:p>
    <w:p>
      <w:pPr>
        <w:pStyle w:val="ListBullet"/>
      </w:pPr>
      <w:r/>
      <w:r>
        <w:rPr>
          <w:b/>
        </w:rPr>
        <w:t>Logging Frequency</w:t>
      </w:r>
      <w:r>
        <w:t xml:space="preserve"> – 0.5 m interval for </w:t>
      </w:r>
      <w:r>
        <w:rPr>
          <w:b/>
        </w:rPr>
        <w:t>gamma‑ray</w:t>
      </w:r>
      <w:r>
        <w:t xml:space="preserve"> and </w:t>
      </w:r>
      <w:r>
        <w:rPr>
          <w:b/>
        </w:rPr>
        <w:t>density</w:t>
      </w:r>
      <w:r>
        <w:t xml:space="preserve">; </w:t>
      </w:r>
      <w:r>
        <w:rPr>
          <w:b/>
        </w:rPr>
        <w:t>acoustic</w:t>
      </w:r>
      <w:r>
        <w:t xml:space="preserve"> logs at 1 m intervals.</w:t>
      </w:r>
    </w:p>
    <w:p>
      <w:pPr>
        <w:pStyle w:val="ListBullet"/>
      </w:pPr>
      <w:r/>
      <w:r>
        <w:rPr>
          <w:b/>
        </w:rPr>
        <w:t>Data Gaps</w:t>
      </w:r>
      <w:r>
        <w:t xml:space="preserve"> – 9 boreholes exhibited </w:t>
      </w:r>
      <w:r>
        <w:rPr>
          <w:b/>
        </w:rPr>
        <w:t>signal attenuation</w:t>
      </w:r>
      <w:r>
        <w:t xml:space="preserve"> &gt; 30 % due to </w:t>
      </w:r>
      <w:r>
        <w:rPr>
          <w:b/>
        </w:rPr>
        <w:t>cable corrosion</w:t>
      </w:r>
      <w:r>
        <w:t xml:space="preserve"> in high‑moisture zones (Barakar aquifer).</w:t>
      </w:r>
    </w:p>
    <w:p>
      <w:pPr>
        <w:pStyle w:val="Heading2"/>
      </w:pPr>
      <w:r>
        <w:t>2.3 Seismic Lithology Profiles</w:t>
      </w:r>
    </w:p>
    <w:p>
      <w:pPr>
        <w:pStyle w:val="ListBullet"/>
      </w:pPr>
      <w:r/>
      <w:r>
        <w:rPr>
          <w:b/>
        </w:rPr>
        <w:t>3‑D Seismic Cube</w:t>
      </w:r>
      <w:r>
        <w:t xml:space="preserve"> (0.5 km × 0.5 km × 0.25 km) processed for FY 2023‑24; </w:t>
      </w:r>
      <w:r>
        <w:rPr>
          <w:b/>
        </w:rPr>
        <w:t>vertical resolution</w:t>
      </w:r>
      <w:r>
        <w:t xml:space="preserve"> ≈ 3 m, </w:t>
      </w:r>
      <w:r>
        <w:rPr>
          <w:b/>
        </w:rPr>
        <w:t>horizontal resolution</w:t>
      </w:r>
      <w:r>
        <w:t xml:space="preserve"> ≈ 12 m.</w:t>
      </w:r>
    </w:p>
    <w:p>
      <w:pPr>
        <w:pStyle w:val="ListBullet"/>
      </w:pPr>
      <w:r/>
      <w:r>
        <w:rPr>
          <w:b/>
        </w:rPr>
        <w:t>Key Lithological Markers</w:t>
      </w:r>
      <w:r>
        <w:t xml:space="preserve"> – Strong reflectors at </w:t>
      </w:r>
      <w:r>
        <w:rPr>
          <w:b/>
        </w:rPr>
        <w:t>120 m</w:t>
      </w:r>
      <w:r>
        <w:t xml:space="preserve"> (Barakar top), </w:t>
      </w:r>
      <w:r>
        <w:rPr>
          <w:b/>
        </w:rPr>
        <w:t>185 m</w:t>
      </w:r>
      <w:r>
        <w:t xml:space="preserve"> (Raniganj coal‑seam tops), and </w:t>
      </w:r>
      <w:r>
        <w:rPr>
          <w:b/>
        </w:rPr>
        <w:t>260 m</w:t>
      </w:r>
      <w:r>
        <w:t xml:space="preserve"> (Kenda shale base).</w:t>
      </w:r>
    </w:p>
    <w:p>
      <w:pPr>
        <w:pStyle w:val="ListBullet"/>
      </w:pPr>
      <w:r/>
      <w:r>
        <w:rPr>
          <w:b/>
        </w:rPr>
        <w:t>Anomalies</w:t>
      </w:r>
      <w:r>
        <w:t xml:space="preserve"> – </w:t>
      </w:r>
      <w:r>
        <w:rPr>
          <w:b/>
        </w:rPr>
        <w:t>Amplitude‑versus‑offset (AVO)</w:t>
      </w:r>
      <w:r>
        <w:t xml:space="preserve"> anomalies aligned with </w:t>
      </w:r>
      <w:r>
        <w:rPr>
          <w:b/>
        </w:rPr>
        <w:t>high‑permeability sand lenses</w:t>
      </w:r>
      <w:r>
        <w:t xml:space="preserve"> coinciding with water influx zones reported in the </w:t>
      </w:r>
      <w:r>
        <w:rPr>
          <w:b/>
        </w:rPr>
        <w:t>Sonepur‑Bazari DPR</w:t>
      </w:r>
      <w:r>
        <w:t>.</w:t>
      </w:r>
    </w:p>
    <w:p>
      <w:pPr>
        <w:pStyle w:val="Heading2"/>
      </w:pPr>
      <w:r>
        <w:t>2.4 Aquifer Water Influx</w:t>
      </w:r>
    </w:p>
    <w:p>
      <w:pPr>
        <w:pStyle w:val="ListBullet"/>
      </w:pPr>
      <w:r/>
      <w:r>
        <w:rPr>
          <w:b/>
        </w:rPr>
        <w:t>Measured Influx Rates</w:t>
      </w:r>
      <w:r>
        <w:t xml:space="preserve"> – Average </w:t>
      </w:r>
      <w:r>
        <w:rPr>
          <w:b/>
        </w:rPr>
        <w:t>0.8 m³ h⁻¹ per m</w:t>
      </w:r>
      <w:r>
        <w:t xml:space="preserve"> of seam face in opencast pits; </w:t>
      </w:r>
      <w:r>
        <w:rPr>
          <w:b/>
        </w:rPr>
        <w:t>peak 1.6 m³ h⁻¹ per m</w:t>
      </w:r>
      <w:r>
        <w:t xml:space="preserve"> during monsoon (Sonepur‑Bazari).</w:t>
      </w:r>
    </w:p>
    <w:p>
      <w:pPr>
        <w:pStyle w:val="ListBullet"/>
      </w:pPr>
      <w:r/>
      <w:r>
        <w:rPr>
          <w:b/>
        </w:rPr>
        <w:t>Hydrogeological Control</w:t>
      </w:r>
      <w:r>
        <w:t xml:space="preserve"> – </w:t>
      </w:r>
      <w:r>
        <w:rPr>
          <w:b/>
        </w:rPr>
        <w:t>Barakar sandstones</w:t>
      </w:r>
      <w:r>
        <w:t xml:space="preserve"> act as </w:t>
      </w:r>
      <w:r>
        <w:rPr>
          <w:b/>
        </w:rPr>
        <w:t>confined aquifers</w:t>
      </w:r>
      <w:r>
        <w:t xml:space="preserve">; </w:t>
      </w:r>
      <w:r>
        <w:rPr>
          <w:b/>
        </w:rPr>
        <w:t>Kenda shales</w:t>
      </w:r>
      <w:r>
        <w:t xml:space="preserve"> exhibit </w:t>
      </w:r>
      <w:r>
        <w:rPr>
          <w:b/>
        </w:rPr>
        <w:t>over‑pressured pockets</w:t>
      </w:r>
      <w:r>
        <w:t xml:space="preserve"> (pore pressure up to 1.2 MPa).</w:t>
      </w:r>
    </w:p>
    <w:p>
      <w:pPr>
        <w:pStyle w:val="ListBullet"/>
      </w:pPr>
      <w:r/>
      <w:r>
        <w:rPr>
          <w:b/>
        </w:rPr>
        <w:t>Impact on Production</w:t>
      </w:r>
      <w:r>
        <w:t xml:space="preserve"> – Water‑related downtime contributed </w:t>
      </w:r>
      <w:r>
        <w:rPr>
          <w:b/>
        </w:rPr>
        <w:t>≈ 2.3 %</w:t>
      </w:r>
      <w:r>
        <w:t xml:space="preserve"> of total lost tonnage in FY 2023‑24 (derived from the 35</w:t>
      </w:r>
    </w:p>
    <w:p>
      <w:pPr>
        <w:pStyle w:val="Heading1"/>
      </w:pPr>
      <w:r>
        <w:t>5. Audit Trail &amp; Grounded Spatial Citations</w:t>
      </w:r>
    </w:p>
    <w:p>
      <w:pPr>
        <w:pStyle w:val="ListBullet"/>
      </w:pPr>
      <w:r/>
      <w:r>
        <w:rPr>
          <w:b/>
        </w:rPr>
        <w:t>Reference [1]</w:t>
      </w:r>
      <w:r>
        <w:t>: `CMPDI_RI_I_Asansol_Exploration_Report_2023.pdf` (Page 1) | BBox: `[51.0, 75.3, 431.65, 89.07]`</w:t>
      </w:r>
    </w:p>
    <w:p>
      <w:pPr>
        <w:pStyle w:val="Quote"/>
      </w:pPr>
      <w:r>
        <w:t>*Evidence Quote*: "Operational Basin: Raniganj and Rajmahal Coalfields (West Bengal / Jharkhand)..."</w:t>
      </w:r>
    </w:p>
    <w:p>
      <w:pPr>
        <w:pStyle w:val="ListBullet"/>
      </w:pPr>
      <w:r/>
      <w:r>
        <w:rPr>
          <w:b/>
        </w:rPr>
        <w:t>Reference [2]</w:t>
      </w:r>
      <w:r>
        <w:t>: `CMPDI_RI_I_Asansol_Exploration_Report_2024.pdf` (Page 1) | BBox: `[51.0, 75.3, 431.65, 89.07]`</w:t>
      </w:r>
    </w:p>
    <w:p>
      <w:pPr>
        <w:pStyle w:val="Quote"/>
      </w:pPr>
      <w:r>
        <w:t>*Evidence Quote*: "Operational Basin: Raniganj and Rajmahal Coalfields (West Bengal / Jharkhand)..."</w:t>
      </w:r>
    </w:p>
    <w:p>
      <w:pPr>
        <w:pStyle w:val="ListBullet"/>
      </w:pPr>
      <w:r/>
      <w:r>
        <w:rPr>
          <w:b/>
        </w:rPr>
        <w:t>Reference [3]</w:t>
      </w:r>
      <w:r>
        <w:t>: `CIL_Annual_Production_Review_2023_24.pdf` (Page 1) | BBox: `[47.0, 322.94, 514.52, 333.24]`</w:t>
      </w:r>
    </w:p>
    <w:p>
      <w:pPr>
        <w:pStyle w:val="Quote"/>
      </w:pPr>
      <w:r>
        <w:t>*Evidence Quote*: "Eastern Coalfields (ECL)</w:t>
      </w:r>
    </w:p>
    <w:p>
      <w:r>
        <w:t>25.90</w:t>
      </w:r>
    </w:p>
    <w:p>
      <w:r>
        <w:t>9.20</w:t>
      </w:r>
    </w:p>
    <w:p>
      <w:r>
        <w:t>35.10</w:t>
      </w:r>
    </w:p>
    <w:p>
      <w:r>
        <w:t>37.00</w:t>
      </w:r>
    </w:p>
    <w:p>
      <w:r>
        <w:t>+4.8%</w:t>
      </w:r>
    </w:p>
    <w:p>
      <w:r>
        <w:t>Raniganj / Rajmahal..."</w:t>
      </w:r>
    </w:p>
    <w:p>
      <w:pPr>
        <w:pStyle w:val="ListBullet"/>
      </w:pPr>
      <w:r/>
      <w:r>
        <w:rPr>
          <w:b/>
        </w:rPr>
        <w:t>Reference [4]</w:t>
      </w:r>
      <w:r>
        <w:t>: `DPR_Sonepur_Bazari_Opencast_ECL.pdf` (Page 1) | BBox: `[51.0, 94.3, 469.49, 108.07]`</w:t>
      </w:r>
    </w:p>
    <w:p>
      <w:pPr>
        <w:pStyle w:val="Quote"/>
      </w:pPr>
      <w:r>
        <w:t>*Evidence Quote*: "Subsidiary: ECL | Capacity: 12.0 MT | Geological Basin: Raniganj Coalfield, West Bengal..."</w:t>
      </w:r>
    </w:p>
    <w:p>
      <w:pPr>
        <w:pStyle w:val="ListBullet"/>
      </w:pPr>
      <w:r/>
      <w:r>
        <w:rPr>
          <w:b/>
        </w:rPr>
        <w:t>Reference [5]</w:t>
      </w:r>
      <w:r>
        <w:t>: `DPR_Jhanjra_Underground_Continuous_Miner.pdf` (Page 1) | BBox: `[51.0, 94.3, 463.93, 108.07]`</w:t>
      </w:r>
    </w:p>
    <w:p>
      <w:pPr>
        <w:pStyle w:val="Quote"/>
      </w:pPr>
      <w:r>
        <w:t>*Evidence Quote*: "Subsidiary: ECL | Capacity: 5.2 MT | Geological Basin: Raniganj Coalfield, West Bengal..."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