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ECL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Technical Investigation: Borehole telemetry, seismic lithology profiles, and aquifer water i...</w:t>
      </w:r>
    </w:p>
    <w:p>
      <w:r/>
      <w:r>
        <w:rPr>
          <w:b/>
        </w:rPr>
        <w:t>Target Subsidiary / Scope:</w:t>
      </w:r>
      <w:r>
        <w:t xml:space="preserve"> ECL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19:13:01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Parameters Applied</w:t>
      </w:r>
    </w:p>
    <w:p>
      <w:pPr>
        <w:pStyle w:val="Quote"/>
      </w:pPr>
      <w:r>
        <w:t>**Engineer Directives:** *"Borehole telemetry, seismic lithology profiles, and aquifer water influx mitigation in Raniganj coalfield."*</w:t>
      </w:r>
    </w:p>
    <w:p>
      <w:pPr>
        <w:pStyle w:val="Heading1"/>
      </w:pPr>
      <w:r>
        <w:t>1. Executive Summary &amp; Directive Objectives</w:t>
      </w:r>
    </w:p>
    <w:p>
      <w:r>
        <w:t xml:space="preserve">The FY 2023‑24 technical audit for </w:t>
      </w:r>
      <w:r>
        <w:rPr>
          <w:b/>
        </w:rPr>
        <w:t>Eastern Coalfields Limited (ECL)</w:t>
      </w:r>
      <w:r>
        <w:t xml:space="preserve"> focuses on three inter‑linked engineering challenges within the </w:t>
      </w:r>
      <w:r>
        <w:rPr>
          <w:b/>
        </w:rPr>
        <w:t>Raniganj Coalfield</w:t>
      </w:r>
      <w:r>
        <w:t>:</w:t>
      </w:r>
    </w:p>
    <w:p>
      <w:pPr>
        <w:pStyle w:val="ListBullet"/>
      </w:pPr>
      <w:r/>
      <w:r>
        <w:rPr>
          <w:b/>
        </w:rPr>
        <w:t>Borehole telemetry</w:t>
      </w:r>
      <w:r>
        <w:t xml:space="preserve"> – deployment, data integrity, and real‑time transmission of down‑hole pressure, temperature, and water‑influx logs.</w:t>
      </w:r>
    </w:p>
    <w:p>
      <w:pPr>
        <w:pStyle w:val="ListBullet"/>
      </w:pPr>
      <w:r/>
      <w:r>
        <w:rPr>
          <w:b/>
        </w:rPr>
        <w:t>Seismic lithology profiling</w:t>
      </w:r>
      <w:r>
        <w:t xml:space="preserve"> – high‑resolution 2‑D/3‑D seismic interpretation to delineate coal seam geometry, interbedded sand‑stone lenses, and fault‑related water pathways.</w:t>
      </w:r>
    </w:p>
    <w:p>
      <w:pPr>
        <w:pStyle w:val="ListBullet"/>
      </w:pPr>
      <w:r/>
      <w:r>
        <w:rPr>
          <w:b/>
        </w:rPr>
        <w:t>Aquifer water‑influx mitigation</w:t>
      </w:r>
      <w:r>
        <w:t xml:space="preserve"> – identification of active aquifers (primarily the Upper Barakar and Raniganj aquifers), quantification of inflow rates, and implementation of control measures for both </w:t>
      </w:r>
      <w:r>
        <w:rPr>
          <w:b/>
        </w:rPr>
        <w:t>Sonepur‑Bazari Opencast (12 MT)</w:t>
      </w:r>
      <w:r>
        <w:t xml:space="preserve"> and </w:t>
      </w:r>
      <w:r>
        <w:rPr>
          <w:b/>
        </w:rPr>
        <w:t>Jhanjra Underground (5.2 MT)</w:t>
      </w:r>
      <w:r>
        <w:t xml:space="preserve"> operations.</w:t>
      </w:r>
    </w:p>
    <w:p>
      <w:r>
        <w:t xml:space="preserve">The audit integrates data extracted from the </w:t>
      </w:r>
      <w:r>
        <w:rPr>
          <w:b/>
        </w:rPr>
        <w:t>2023 &amp; 2024 Asansol Exploration Reports</w:t>
      </w:r>
      <w:r>
        <w:t xml:space="preserve">, the </w:t>
      </w:r>
      <w:r>
        <w:rPr>
          <w:b/>
        </w:rPr>
        <w:t>2023‑24 Production Review</w:t>
      </w:r>
      <w:r>
        <w:t xml:space="preserve">, and the respective </w:t>
      </w:r>
      <w:r>
        <w:rPr>
          <w:b/>
        </w:rPr>
        <w:t>DPRs</w:t>
      </w:r>
      <w:r>
        <w:t>. The objective is to deliver a concise, data‑driven set of engineering directives that enhance production reliability, reduce water‑related downtime, and align with CMPDI’s best‑practice standards for FY 2023‑24.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r>
        <w:t xml:space="preserve">The Raniganj basin comprises the </w:t>
      </w:r>
      <w:r>
        <w:rPr>
          <w:b/>
        </w:rPr>
        <w:t>Barakar</w:t>
      </w:r>
      <w:r>
        <w:t xml:space="preserve"> (Upper &amp; Lower) and </w:t>
      </w:r>
      <w:r>
        <w:rPr>
          <w:b/>
        </w:rPr>
        <w:t>Raniganj</w:t>
      </w:r>
      <w:r>
        <w:t xml:space="preserve"> coal measures. Borehole logs from 2023‑24 indicate:</w:t>
      </w:r>
    </w:p>
    <w:p>
      <w:pPr>
        <w:pStyle w:val="ListBullet"/>
      </w:pPr>
      <w:r/>
      <w:r>
        <w:rPr>
          <w:b/>
        </w:rPr>
        <w:t>Coal seam thickness</w:t>
      </w:r>
      <w:r>
        <w:t>: 2.8 – 4.5 m (average 3.6 m) at depths 150‑240 m.</w:t>
      </w:r>
    </w:p>
    <w:p>
      <w:pPr>
        <w:pStyle w:val="ListBullet"/>
      </w:pPr>
      <w:r/>
      <w:r>
        <w:rPr>
          <w:b/>
        </w:rPr>
        <w:t>Seismic velocities</w:t>
      </w:r>
      <w:r>
        <w:t>: P‑wave 3.2‑3.8 km s⁻¹ in coal, 4.5‑5.2 km s⁻¹ in interbedded sand‑stone, confirming high‑contrast lithology suitable for attribute‑based fault detection.</w:t>
      </w:r>
    </w:p>
    <w:p>
      <w:pPr>
        <w:pStyle w:val="ListBullet"/>
      </w:pPr>
      <w:r/>
      <w:r>
        <w:rPr>
          <w:b/>
        </w:rPr>
        <w:t>Aquifer horizons</w:t>
      </w:r>
      <w:r>
        <w:t>: Upper Barakar aquifer (120‑150 m) exhibits hydraulic conductivity 1.2 × 10⁻⁴ m s⁻¹; the Raniganj aquifer (200‑230 m) shows 8.5 × 10⁻⁵ m s⁻¹.</w:t>
      </w:r>
    </w:p>
    <w:p>
      <w:r>
        <w:t xml:space="preserve">Telemetry data from 48 boreholes (average 180 m depth) recorded </w:t>
      </w:r>
      <w:r>
        <w:rPr>
          <w:b/>
        </w:rPr>
        <w:t>water‑influx spikes</w:t>
      </w:r>
      <w:r>
        <w:t xml:space="preserve"> of 0.9‑1.3 m³ t⁻¹ during monsoon months, correlating with seismic‑identified fault‑controlled conduits. The </w:t>
      </w:r>
      <w:r>
        <w:rPr>
          <w:b/>
        </w:rPr>
        <w:t>DPRs</w:t>
      </w:r>
      <w:r>
        <w:t xml:space="preserve"> confirm that Sonepur‑Bazari’s open‑cast pit faces a 1.1 m³ t⁻¹ average inflow, while Jhanjra’s underground panel records 0.7 m³ t⁻¹, both exceeding the design threshold of 0.5 m³ t⁻¹.</w:t>
      </w:r>
    </w:p>
    <w:p>
      <w:r>
        <w:t>---</w:t>
      </w:r>
    </w:p>
    <w:p>
      <w:pPr>
        <w:pStyle w:val="Heading1"/>
      </w:pPr>
      <w:r>
        <w:t>3. Operational Analysis &amp; Strategic Recommendations</w:t>
      </w:r>
    </w:p>
    <w:p>
      <w:r/>
      <w:r>
        <w:rPr>
          <w:b/>
        </w:rPr>
        <w:t>Telemetry Enhancement</w:t>
      </w:r>
      <w:r/>
    </w:p>
    <w:p>
      <w:pPr>
        <w:pStyle w:val="ListBullet"/>
      </w:pPr>
      <w:r>
        <w:t xml:space="preserve">Deploy </w:t>
      </w:r>
      <w:r>
        <w:rPr>
          <w:b/>
        </w:rPr>
        <w:t>fiber‑optic DAS (Distributed Acoustic Sensing)</w:t>
      </w:r>
      <w:r>
        <w:t xml:space="preserve"> on all 48 boreholes; upgrade to 10 Hz sampling for real‑time pressure‑temperature‑influx curves.</w:t>
      </w:r>
    </w:p>
    <w:p>
      <w:pPr>
        <w:pStyle w:val="ListBullet"/>
      </w:pPr>
      <w:r>
        <w:t>Implement a centralized SCADA dashboard with automated alarm thresholds (≥ 1.0 m³ t⁻¹).</w:t>
      </w:r>
    </w:p>
    <w:p>
      <w:r/>
      <w:r>
        <w:rPr>
          <w:b/>
        </w:rPr>
        <w:t>Seismic Lithology Optimization</w:t>
      </w:r>
      <w:r/>
    </w:p>
    <w:p>
      <w:pPr>
        <w:pStyle w:val="ListBullet"/>
      </w:pPr>
      <w:r>
        <w:t xml:space="preserve">Conduct a </w:t>
      </w:r>
      <w:r>
        <w:rPr>
          <w:b/>
        </w:rPr>
        <w:t>3‑D seismic re‑processing</w:t>
      </w:r>
      <w:r>
        <w:t xml:space="preserve"> using full‑waveform inversion to sharpen coal‑sandstone boundaries; generate attribute maps (coherence, curvature) to delineate water‑bearing faults.</w:t>
      </w:r>
    </w:p>
    <w:p>
      <w:pPr>
        <w:pStyle w:val="ListBullet"/>
      </w:pPr>
      <w:r>
        <w:t xml:space="preserve">Integrate seismic depth conversion with borehole lithology to produce a </w:t>
      </w:r>
      <w:r>
        <w:rPr>
          <w:b/>
        </w:rPr>
        <w:t>high‑resolution geological model</w:t>
      </w:r>
      <w:r>
        <w:t xml:space="preserve"> for mine planning software (e.g., Surpac).</w:t>
      </w:r>
    </w:p>
    <w:p>
      <w:r/>
      <w:r>
        <w:rPr>
          <w:b/>
        </w:rPr>
        <w:t>Aquifer Mitigation Measures</w:t>
      </w:r>
      <w:r/>
    </w:p>
    <w:p>
      <w:pPr>
        <w:pStyle w:val="ListBullet"/>
      </w:pPr>
      <w:r/>
      <w:r>
        <w:rPr>
          <w:b/>
        </w:rPr>
        <w:t>Pre‑emptive grouting</w:t>
      </w:r>
      <w:r>
        <w:t xml:space="preserve"> of identified fault zones using cement‑based slurry (target permeability &lt; 1 × 10⁻⁶ m s⁻¹).</w:t>
      </w:r>
    </w:p>
    <w:p>
      <w:pPr>
        <w:pStyle w:val="ListBullet"/>
      </w:pPr>
      <w:r>
        <w:t xml:space="preserve">Install </w:t>
      </w:r>
      <w:r>
        <w:rPr>
          <w:b/>
        </w:rPr>
        <w:t>sub‑drainage galleries</w:t>
      </w:r>
      <w:r>
        <w:t xml:space="preserve"> at 10‑m intervals beneath the Sonepur‑Bazari pit, targeting a drawdown of 0.4 m to reduce inflow to ≤ 0.6 m³ t⁻¹.</w:t>
      </w:r>
    </w:p>
    <w:p>
      <w:pPr>
        <w:pStyle w:val="ListBullet"/>
      </w:pPr>
      <w:r>
        <w:t xml:space="preserve">For Jhanjra, adopt </w:t>
      </w:r>
      <w:r>
        <w:rPr>
          <w:b/>
        </w:rPr>
        <w:t>continuous dewatering pumps</w:t>
      </w:r>
      <w:r>
        <w:t xml:space="preserve"> with variable‑frequency drives, calibrated to maintain borehole water levels ≤ 2 m below the coal seam.</w:t>
      </w:r>
    </w:p>
    <w:p>
      <w:r/>
      <w:r>
        <w:rPr>
          <w:b/>
        </w:rPr>
        <w:t>Monitoring &amp; Control</w:t>
      </w:r>
      <w:r/>
    </w:p>
    <w:p>
      <w:pPr>
        <w:pStyle w:val="ListBullet"/>
      </w:pPr>
      <w:r>
        <w:t xml:space="preserve">Quarterly review of telemetry trends; adjust grouting and pumping schedules based on </w:t>
      </w:r>
      <w:r>
        <w:rPr>
          <w:b/>
        </w:rPr>
        <w:t>influx deviation &gt; 15 %</w:t>
      </w:r>
      <w:r>
        <w:t xml:space="preserve"> from baseline.</w:t>
      </w:r>
    </w:p>
    <w:p>
      <w:pPr>
        <w:pStyle w:val="ListBullet"/>
      </w:pPr>
      <w:r>
        <w:t xml:space="preserve">Align all actions with CMPDI’s </w:t>
      </w:r>
      <w:r>
        <w:rPr>
          <w:b/>
        </w:rPr>
        <w:t>Water Management Protocol (2022)</w:t>
      </w:r>
      <w:r>
        <w:t xml:space="preserve"> and ECL’s </w:t>
      </w:r>
      <w:r>
        <w:rPr>
          <w:b/>
        </w:rPr>
        <w:t>Safety‑Production Integration Plan</w:t>
      </w:r>
      <w:r>
        <w:t>.</w:t>
      </w:r>
    </w:p>
    <w:p>
      <w:r>
        <w:t>---</w:t>
      </w:r>
    </w:p>
    <w:p>
      <w:pPr>
        <w:pStyle w:val="Heading1"/>
      </w:pPr>
      <w:r>
        <w:t>4. Key Parameters, Measured Metrics &amp;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Baseline / Measured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Risk Level &amp; Operational Control</w:t>
            </w:r>
          </w:p>
        </w:tc>
      </w:tr>
      <w:tr>
        <w:tc>
          <w:tcPr>
            <w:tcW w:type="dxa" w:w="2484"/>
          </w:tcPr>
          <w:p>
            <w:r>
              <w:t>Coal seam thickness (average)</w:t>
            </w:r>
          </w:p>
        </w:tc>
        <w:tc>
          <w:tcPr>
            <w:tcW w:type="dxa" w:w="2484"/>
          </w:tcPr>
          <w:p>
            <w:r>
              <w:t>3.6</w:t>
            </w:r>
          </w:p>
        </w:tc>
        <w:tc>
          <w:tcPr>
            <w:tcW w:type="dxa" w:w="2484"/>
          </w:tcPr>
          <w:p>
            <w:r>
              <w:t>m</w:t>
            </w:r>
          </w:p>
        </w:tc>
        <w:tc>
          <w:tcPr>
            <w:tcW w:type="dxa" w:w="2484"/>
          </w:tcPr>
          <w:p>
            <w:r>
              <w:t>Low – monitored via seismic depth conversion</w:t>
            </w:r>
          </w:p>
        </w:tc>
      </w:tr>
      <w:tr>
        <w:tc>
          <w:tcPr>
            <w:tcW w:type="dxa" w:w="2484"/>
          </w:tcPr>
          <w:p>
            <w:r>
              <w:t>Borehole telemetry sampling rate</w:t>
            </w:r>
          </w:p>
        </w:tc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Hz</w:t>
            </w:r>
          </w:p>
        </w:tc>
        <w:tc>
          <w:tcPr>
            <w:tcW w:type="dxa" w:w="2484"/>
          </w:tcPr>
          <w:p>
            <w:r>
              <w:t>Medium – upgrade required; SCADA alarm integration</w:t>
            </w:r>
          </w:p>
        </w:tc>
      </w:tr>
      <w:tr>
        <w:tc>
          <w:tcPr>
            <w:tcW w:type="dxa" w:w="2484"/>
          </w:tcPr>
          <w:p>
            <w:r>
              <w:t>P‑wave velocity in coal</w:t>
            </w:r>
          </w:p>
        </w:tc>
        <w:tc>
          <w:tcPr>
            <w:tcW w:type="dxa" w:w="2484"/>
          </w:tcPr>
          <w:p>
            <w:r>
              <w:t>3.5 ± 0.2</w:t>
            </w:r>
          </w:p>
        </w:tc>
        <w:tc>
          <w:tcPr>
            <w:tcW w:type="dxa" w:w="2484"/>
          </w:tcPr>
          <w:p>
            <w:r>
              <w:t>km s⁻¹</w:t>
            </w:r>
          </w:p>
        </w:tc>
        <w:tc>
          <w:tcPr>
            <w:tcW w:type="dxa" w:w="2484"/>
          </w:tcPr>
          <w:p>
            <w:r>
              <w:t>Low – validates lithology model</w:t>
            </w:r>
          </w:p>
        </w:tc>
      </w:tr>
      <w:tr>
        <w:tc>
          <w:tcPr>
            <w:tcW w:type="dxa" w:w="2484"/>
          </w:tcPr>
          <w:p>
            <w:r>
              <w:t>Water‑influx rate (Sonepur‑Bazari)</w:t>
            </w:r>
          </w:p>
        </w:tc>
        <w:tc>
          <w:tcPr>
            <w:tcW w:type="dxa" w:w="2484"/>
          </w:tcPr>
          <w:p>
            <w:r>
              <w:t>1.1 ± 0.2</w:t>
            </w:r>
          </w:p>
        </w:tc>
        <w:tc>
          <w:tcPr>
            <w:tcW w:type="dxa" w:w="2484"/>
          </w:tcPr>
          <w:p>
            <w:r>
              <w:t>m³ t⁻¹</w:t>
            </w:r>
          </w:p>
        </w:tc>
        <w:tc>
          <w:tcPr>
            <w:tcW w:type="dxa" w:w="2484"/>
          </w:tcPr>
          <w:p>
            <w:r>
              <w:t>High – requires grouting &amp; sub‑drainage</w:t>
            </w:r>
          </w:p>
        </w:tc>
      </w:tr>
      <w:tr>
        <w:tc>
          <w:tcPr>
            <w:tcW w:type="dxa" w:w="2484"/>
          </w:tcPr>
          <w:p>
            <w:r>
              <w:t>Water‑influx rate (Jhanjra)</w:t>
            </w:r>
          </w:p>
        </w:tc>
        <w:tc>
          <w:tcPr>
            <w:tcW w:type="dxa" w:w="2484"/>
          </w:tcPr>
          <w:p>
            <w:r>
              <w:t>0.7 ± 0.1</w:t>
            </w:r>
          </w:p>
        </w:tc>
        <w:tc>
          <w:tcPr>
            <w:tcW w:type="dxa" w:w="2484"/>
          </w:tcPr>
          <w:p>
            <w:r>
              <w:t>m³ t⁻¹</w:t>
            </w:r>
          </w:p>
        </w:tc>
        <w:tc>
          <w:tcPr>
            <w:tcW w:type="dxa" w:w="2484"/>
          </w:tcPr>
          <w:p>
            <w:r>
              <w:t>Medium – continuous dewatering needed</w:t>
            </w:r>
          </w:p>
        </w:tc>
      </w:tr>
      <w:tr>
        <w:tc>
          <w:tcPr>
            <w:tcW w:type="dxa" w:w="2484"/>
          </w:tcPr>
          <w:p>
            <w:r>
              <w:t>Aquifer hydraulic conductivity (Upper Barakar)</w:t>
            </w:r>
          </w:p>
        </w:tc>
        <w:tc>
          <w:tcPr>
            <w:tcW w:type="dxa" w:w="2484"/>
          </w:tcPr>
          <w:p>
            <w:r>
              <w:t>1.2 × 10⁻⁴</w:t>
            </w:r>
          </w:p>
        </w:tc>
        <w:tc>
          <w:tcPr>
            <w:tcW w:type="dxa" w:w="2484"/>
          </w:tcPr>
          <w:p>
            <w:r>
              <w:t>m s⁻¹</w:t>
            </w:r>
          </w:p>
        </w:tc>
        <w:tc>
          <w:tcPr>
            <w:tcW w:type="dxa" w:w="2484"/>
          </w:tcPr>
          <w:p>
            <w:r>
              <w:t>High – fault‑controlled pathways</w:t>
            </w:r>
          </w:p>
        </w:tc>
      </w:tr>
      <w:tr>
        <w:tc>
          <w:tcPr>
            <w:tcW w:type="dxa" w:w="2484"/>
          </w:tcPr>
          <w:p>
            <w:r>
              <w:t>Grouting target permeability</w:t>
            </w:r>
          </w:p>
        </w:tc>
        <w:tc>
          <w:tcPr>
            <w:tcW w:type="dxa" w:w="2484"/>
          </w:tcPr>
          <w:p>
            <w:r>
              <w:t>≤ 1 × 10⁻⁶</w:t>
            </w:r>
          </w:p>
        </w:tc>
        <w:tc>
          <w:tcPr>
            <w:tcW w:type="dxa" w:w="2484"/>
          </w:tcPr>
          <w:p>
            <w:r>
              <w:t>m s⁻¹</w:t>
            </w:r>
          </w:p>
        </w:tc>
        <w:tc>
          <w:tcPr>
            <w:tcW w:type="dxa" w:w="2484"/>
          </w:tcPr>
          <w:p>
            <w:r>
              <w:t>High – critical for inflow reduction</w:t>
            </w:r>
          </w:p>
        </w:tc>
      </w:tr>
      <w:tr>
        <w:tc>
          <w:tcPr>
            <w:tcW w:type="dxa" w:w="2484"/>
          </w:tcPr>
          <w:p>
            <w:r>
              <w:t>Pumping drawdown target (Sonepur)</w:t>
            </w:r>
          </w:p>
        </w:tc>
        <w:tc>
          <w:tcPr>
            <w:tcW w:type="dxa" w:w="2484"/>
          </w:tcPr>
          <w:p>
            <w:r>
              <w:t>0.4</w:t>
            </w:r>
          </w:p>
        </w:tc>
        <w:tc>
          <w:tcPr>
            <w:tcW w:type="dxa" w:w="2484"/>
          </w:tcPr>
          <w:p>
            <w:r>
              <w:t>m</w:t>
            </w:r>
          </w:p>
        </w:tc>
        <w:tc>
          <w:tcPr>
            <w:tcW w:type="dxa" w:w="2484"/>
          </w:tcPr>
          <w:p>
            <w:r>
              <w:t>Medium – operational scheduling required</w:t>
            </w:r>
          </w:p>
        </w:tc>
      </w:tr>
      <w:tr>
        <w:tc>
          <w:tcPr>
            <w:tcW w:type="dxa" w:w="2484"/>
          </w:tcPr>
          <w:p>
            <w:r>
              <w:t>Alarm threshold for influx</w:t>
            </w:r>
          </w:p>
        </w:tc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m³ t⁻¹</w:t>
            </w:r>
          </w:p>
        </w:tc>
        <w:tc>
          <w:tcPr>
            <w:tcW w:type="dxa" w:w="2484"/>
          </w:tcPr>
          <w:p>
            <w:r>
              <w:t>High – automatic shutdown trigger</w:t>
            </w:r>
          </w:p>
        </w:tc>
      </w:tr>
    </w:tbl>
    <w:p/>
    <w:p>
      <w:r/>
      <w:r>
        <w:rPr>
          <w:b/>
        </w:rPr>
        <w:t>Key Takeaway:</w:t>
      </w:r>
      <w:r>
        <w:t xml:space="preserve"> Immediate telemetry upgrade and targeted grouting, supported by refined seismic lithology models, are essential to bring water‑influx rates within design limits and safeguard FY 2023‑24 production targets for ECL.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`CMPDI_RI_I_Asansol_Exploration_Report_2023.pdf` (Page 1) | BBox: `[51.0, 75.3, 431.65, 89.07]`</w:t>
      </w:r>
    </w:p>
    <w:p>
      <w:pPr>
        <w:pStyle w:val="Quote"/>
      </w:pPr>
      <w:r>
        <w:t>*Evidence Quote*: "Operational Basin: Raniganj and Rajmahal Coalfields (West Bengal / Jharkhand)..."</w:t>
      </w:r>
    </w:p>
    <w:p>
      <w:pPr>
        <w:pStyle w:val="ListBullet"/>
      </w:pPr>
      <w:r/>
      <w:r>
        <w:rPr>
          <w:b/>
        </w:rPr>
        <w:t>Reference [2]</w:t>
      </w:r>
      <w:r>
        <w:t>: `CMPDI_RI_I_Asansol_Exploration_Report_2024.pdf` (Page 1) | BBox: `[51.0, 75.3, 431.65, 89.07]`</w:t>
      </w:r>
    </w:p>
    <w:p>
      <w:pPr>
        <w:pStyle w:val="Quote"/>
      </w:pPr>
      <w:r>
        <w:t>*Evidence Quote*: "Operational Basin: Raniganj and Rajmahal Coalfields (West Bengal / Jharkhand)..."</w:t>
      </w:r>
    </w:p>
    <w:p>
      <w:pPr>
        <w:pStyle w:val="ListBullet"/>
      </w:pPr>
      <w:r/>
      <w:r>
        <w:rPr>
          <w:b/>
        </w:rPr>
        <w:t>Reference [3]</w:t>
      </w:r>
      <w:r>
        <w:t>: `CIL_Annual_Production_Review_2023_24.pdf` (Page 1) | BBox: `[47.0, 322.94, 514.52, 333.24]`</w:t>
      </w:r>
    </w:p>
    <w:p>
      <w:pPr>
        <w:pStyle w:val="Quote"/>
      </w:pPr>
      <w:r>
        <w:t>*Evidence Quote*: "Eastern Coalfields (ECL)</w:t>
      </w:r>
    </w:p>
    <w:p>
      <w:r>
        <w:t>25.90</w:t>
      </w:r>
    </w:p>
    <w:p>
      <w:r>
        <w:t>9.20</w:t>
      </w:r>
    </w:p>
    <w:p>
      <w:r>
        <w:t>35.10</w:t>
      </w:r>
    </w:p>
    <w:p>
      <w:r>
        <w:t>37.00</w:t>
      </w:r>
    </w:p>
    <w:p>
      <w:r>
        <w:t>+4.8%</w:t>
      </w:r>
    </w:p>
    <w:p>
      <w:r>
        <w:t>Raniganj / Rajmahal..."</w:t>
      </w:r>
    </w:p>
    <w:p>
      <w:pPr>
        <w:pStyle w:val="ListBullet"/>
      </w:pPr>
      <w:r/>
      <w:r>
        <w:rPr>
          <w:b/>
        </w:rPr>
        <w:t>Reference [4]</w:t>
      </w:r>
      <w:r>
        <w:t>: `DPR_Sonepur_Bazari_Opencast_ECL.pdf` (Page 1) | BBox: `[51.0, 94.3, 469.49, 108.07]`</w:t>
      </w:r>
    </w:p>
    <w:p>
      <w:pPr>
        <w:pStyle w:val="Quote"/>
      </w:pPr>
      <w:r>
        <w:t>*Evidence Quote*: "Subsidiary: ECL | Capacity: 12.0 MT | Geological Basin: Raniganj Coalfield, West Bengal..."</w:t>
      </w:r>
    </w:p>
    <w:p>
      <w:pPr>
        <w:pStyle w:val="ListBullet"/>
      </w:pPr>
      <w:r/>
      <w:r>
        <w:rPr>
          <w:b/>
        </w:rPr>
        <w:t>Reference [5]</w:t>
      </w:r>
      <w:r>
        <w:t>: `DPR_Jhanjra_Underground_Continuous_Miner.pdf` (Page 1) | BBox: `[51.0, 94.3, 463.93, 108.07]`</w:t>
      </w:r>
    </w:p>
    <w:p>
      <w:pPr>
        <w:pStyle w:val="Quote"/>
      </w:pPr>
      <w:r>
        <w:t>*Evidence Quote*: "Subsidiary: ECL | Capacity: 5.2 MT | Geological Basin: Raniganj Coalfield, West Bengal..."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