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40"/>
        </w:rPr>
        <w:t>CMPDI / COAL INDIA LIMITED</w:t>
      </w:r>
    </w:p>
    <w:p>
      <w:r>
        <w:rPr>
          <w:b/>
          <w:color w:val="1E3A8A"/>
          <w:sz w:val="26"/>
        </w:rPr>
        <w:t>Technical &amp; Analytical Mining Report: Eastern Coalfields Q3 Production Summary</w:t>
      </w:r>
    </w:p>
    <w:p>
      <w:r>
        <w:rPr>
          <w:sz w:val="18"/>
        </w:rPr>
        <w:t>Generated on: 11 September 2026, 17:00 | Engine: offline-geological-synthesis-engine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Executive Summary &amp; Analytical Synthesis</w:t>
      </w:r>
    </w:p>
    <w:p>
      <w:pPr>
        <w:pStyle w:val="Heading2"/>
      </w:pPr>
      <w:r>
        <w:t>Synthesis Response: Eastern Coalfields Q3 Production Summary</w:t>
      </w:r>
    </w:p>
    <w:p>
      <w:r/>
      <w:r>
        <w:rPr>
          <w:b/>
        </w:rPr>
        <w:t>Key Production Highlights (FY 2023-24):</w:t>
      </w:r>
      <w:r/>
    </w:p>
    <w:p>
      <w:pPr>
        <w:pStyle w:val="ListBullet"/>
      </w:pPr>
      <w:r/>
      <w:r>
        <w:rPr>
          <w:b/>
        </w:rPr>
        <w:t>Total Raw Coal Production</w:t>
      </w:r>
      <w:r>
        <w:t xml:space="preserve">: Coal India Limited (CIL) achieved </w:t>
      </w:r>
      <w:r>
        <w:rPr>
          <w:b/>
        </w:rPr>
        <w:t>703.20 Million Tonnes (MT)</w:t>
      </w:r>
      <w:r>
        <w:t xml:space="preserve">, representing a </w:t>
      </w:r>
      <w:r>
        <w:rPr>
          <w:b/>
        </w:rPr>
        <w:t>10.1% growth</w:t>
      </w:r>
      <w:r>
        <w:t xml:space="preserve"> year-on-year.</w:t>
      </w:r>
    </w:p>
    <w:p>
      <w:pPr>
        <w:pStyle w:val="ListBullet"/>
      </w:pPr>
      <w:r/>
      <w:r>
        <w:rPr>
          <w:b/>
        </w:rPr>
        <w:t>Total Off-take</w:t>
      </w:r>
      <w:r>
        <w:t xml:space="preserve">: Reached </w:t>
      </w:r>
      <w:r>
        <w:rPr>
          <w:b/>
        </w:rPr>
        <w:t>753.50 MT</w:t>
      </w:r>
      <w:r>
        <w:t>, successfully meeting critical power utility fuel supply agreements.</w:t>
      </w:r>
    </w:p>
    <w:p>
      <w:pPr>
        <w:pStyle w:val="ListBullet"/>
      </w:pPr>
      <w:r/>
      <w:r>
        <w:rPr>
          <w:b/>
        </w:rPr>
        <w:t>Opencast vs Underground</w:t>
      </w:r>
      <w:r>
        <w:t xml:space="preserve">: Opencast operations contributed </w:t>
      </w:r>
      <w:r>
        <w:rPr>
          <w:b/>
        </w:rPr>
        <w:t>665.40 MT (94.6%)</w:t>
      </w:r>
      <w:r>
        <w:t xml:space="preserve">, while underground mining contributed </w:t>
      </w:r>
      <w:r>
        <w:rPr>
          <w:b/>
        </w:rPr>
        <w:t>37.80 MT (5.4%)</w:t>
      </w:r>
      <w:r>
        <w:t>.</w:t>
      </w:r>
    </w:p>
    <w:p>
      <w:pPr>
        <w:pStyle w:val="ListBullet"/>
      </w:pPr>
      <w:r/>
      <w:r>
        <w:rPr>
          <w:b/>
        </w:rPr>
        <w:t>Top Producing Subsidiaries</w:t>
      </w:r>
      <w:r>
        <w:t xml:space="preserve">: </w:t>
      </w:r>
      <w:r>
        <w:rPr>
          <w:b/>
        </w:rPr>
        <w:t>Mahanadi Coalfields (MCL)</w:t>
      </w:r>
      <w:r>
        <w:t xml:space="preserve"> led with </w:t>
      </w:r>
      <w:r>
        <w:rPr>
          <w:b/>
        </w:rPr>
        <w:t>193.30 MT</w:t>
      </w:r>
      <w:r>
        <w:t xml:space="preserve">, followed by </w:t>
      </w:r>
      <w:r>
        <w:rPr>
          <w:b/>
        </w:rPr>
        <w:t>South Eastern Coalfields (SECL)</w:t>
      </w:r>
      <w:r>
        <w:t xml:space="preserve"> at </w:t>
      </w:r>
      <w:r>
        <w:rPr>
          <w:b/>
        </w:rPr>
        <w:t>167.00 MT</w:t>
      </w:r>
      <w:r>
        <w:t xml:space="preserve">, and </w:t>
      </w:r>
      <w:r>
        <w:rPr>
          <w:b/>
        </w:rPr>
        <w:t>Northern Coalfields (NCL)</w:t>
      </w:r>
      <w:r>
        <w:t xml:space="preserve"> at </w:t>
      </w:r>
      <w:r>
        <w:rPr>
          <w:b/>
        </w:rPr>
        <w:t>131.00 MT</w:t>
      </w:r>
      <w:r>
        <w:t>.</w:t>
      </w:r>
    </w:p>
    <w:p>
      <w:pPr>
        <w:pStyle w:val="ListBullet"/>
      </w:pPr>
      <w:r/>
      <w:r>
        <w:rPr>
          <w:b/>
        </w:rPr>
        <w:t>Stripping Ratio &amp; Overburden</w:t>
      </w:r>
      <w:r>
        <w:t xml:space="preserve">: Total Overburden Removal (OBR) hit a record </w:t>
      </w:r>
      <w:r>
        <w:rPr>
          <w:b/>
        </w:rPr>
        <w:t>1,650.40 M.Cum</w:t>
      </w:r>
      <w:r>
        <w:t xml:space="preserve">, with company-wide stripping ratio at </w:t>
      </w:r>
      <w:r>
        <w:rPr>
          <w:b/>
        </w:rPr>
        <w:t>2.48 m³/t</w:t>
      </w:r>
      <w:r>
        <w:t>.</w:t>
      </w:r>
    </w:p>
    <w:p>
      <w:r/>
      <w:r>
        <w:rPr>
          <w:b/>
        </w:rPr>
        <w:t>Primary Source Reference:</w:t>
      </w:r>
      <w:r/>
    </w:p>
    <w:p>
      <w:pPr>
        <w:pStyle w:val="ListBullet"/>
      </w:pPr>
      <w:r>
        <w:t>*File*: `CIL_Annual_Production_Review_2023_24.pdf` (Page 1)</w:t>
      </w:r>
    </w:p>
    <w:p>
      <w:pPr>
        <w:pStyle w:val="ListBullet"/>
      </w:pPr>
      <w:r>
        <w:t>*Verified Snippet*: "Eastern Coalfields Ltd (ECL)</w:t>
      </w:r>
    </w:p>
    <w:p>
      <w:r>
        <w:t>25.90</w:t>
      </w:r>
    </w:p>
    <w:p>
      <w:r>
        <w:t>9.20</w:t>
      </w:r>
    </w:p>
    <w:p>
      <w:r>
        <w:t>35.10</w:t>
      </w:r>
    </w:p>
    <w:p>
      <w:r>
        <w:t>37.00</w:t>
      </w:r>
    </w:p>
    <w:p>
      <w:r>
        <w:t>+4.8%..."</w:t>
      </w:r>
    </w:p>
    <w:p>
      <w:r>
        <w:t>*(Click any cited reference on the side to inspect the exact spatial bounding box in the original PDF)*</w:t>
      </w:r>
    </w:p>
    <w:p>
      <w:pPr>
        <w:pStyle w:val="Heading1"/>
      </w:pPr>
      <w:r>
        <w:t>2. Key Operational Metrics &amp; Subsidiary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Subsidiary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987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</w:tr>
      <w:tr>
        <w:tc>
          <w:tcPr>
            <w:tcW w:type="dxa" w:w="1987"/>
          </w:tcPr>
          <w:p>
            <w:r>
              <w:t>Mahanadi Coalfields (MCL)</w:t>
            </w:r>
          </w:p>
        </w:tc>
        <w:tc>
          <w:tcPr>
            <w:tcW w:type="dxa" w:w="1987"/>
          </w:tcPr>
          <w:p>
            <w:r>
              <w:t>181.50</w:t>
            </w:r>
          </w:p>
        </w:tc>
        <w:tc>
          <w:tcPr>
            <w:tcW w:type="dxa" w:w="1987"/>
          </w:tcPr>
          <w:p>
            <w:r>
              <w:t>11.80</w:t>
            </w:r>
          </w:p>
        </w:tc>
        <w:tc>
          <w:tcPr>
            <w:tcW w:type="dxa" w:w="1987"/>
          </w:tcPr>
          <w:p>
            <w:r>
              <w:t>193.30</w:t>
            </w:r>
          </w:p>
        </w:tc>
        <w:tc>
          <w:tcPr>
            <w:tcW w:type="dxa" w:w="1987"/>
          </w:tcPr>
          <w:p>
            <w:r>
              <w:t>+11.9%</w:t>
            </w:r>
          </w:p>
        </w:tc>
      </w:tr>
      <w:tr>
        <w:tc>
          <w:tcPr>
            <w:tcW w:type="dxa" w:w="1987"/>
          </w:tcPr>
          <w:p>
            <w:r>
              <w:t>South Eastern Coalfields (SECL)</w:t>
            </w:r>
          </w:p>
        </w:tc>
        <w:tc>
          <w:tcPr>
            <w:tcW w:type="dxa" w:w="1987"/>
          </w:tcPr>
          <w:p>
            <w:r>
              <w:t>155.80</w:t>
            </w:r>
          </w:p>
        </w:tc>
        <w:tc>
          <w:tcPr>
            <w:tcW w:type="dxa" w:w="1987"/>
          </w:tcPr>
          <w:p>
            <w:r>
              <w:t>11.20</w:t>
            </w:r>
          </w:p>
        </w:tc>
        <w:tc>
          <w:tcPr>
            <w:tcW w:type="dxa" w:w="1987"/>
          </w:tcPr>
          <w:p>
            <w:r>
              <w:t>167.00</w:t>
            </w:r>
          </w:p>
        </w:tc>
        <w:tc>
          <w:tcPr>
            <w:tcW w:type="dxa" w:w="1987"/>
          </w:tcPr>
          <w:p>
            <w:r>
              <w:t>+13.2%</w:t>
            </w:r>
          </w:p>
        </w:tc>
      </w:tr>
      <w:tr>
        <w:tc>
          <w:tcPr>
            <w:tcW w:type="dxa" w:w="1987"/>
          </w:tcPr>
          <w:p>
            <w:r>
              <w:t>Northern Coalfields (NCL)</w:t>
            </w:r>
          </w:p>
        </w:tc>
        <w:tc>
          <w:tcPr>
            <w:tcW w:type="dxa" w:w="1987"/>
          </w:tcPr>
          <w:p>
            <w:r>
              <w:t>131.00</w:t>
            </w:r>
          </w:p>
        </w:tc>
        <w:tc>
          <w:tcPr>
            <w:tcW w:type="dxa" w:w="1987"/>
          </w:tcPr>
          <w:p>
            <w:r>
              <w:t>0.00</w:t>
            </w:r>
          </w:p>
        </w:tc>
        <w:tc>
          <w:tcPr>
            <w:tcW w:type="dxa" w:w="1987"/>
          </w:tcPr>
          <w:p>
            <w:r>
              <w:t>131.00</w:t>
            </w:r>
          </w:p>
        </w:tc>
        <w:tc>
          <w:tcPr>
            <w:tcW w:type="dxa" w:w="1987"/>
          </w:tcPr>
          <w:p>
            <w:r>
              <w:t>+6.8%</w:t>
            </w:r>
          </w:p>
        </w:tc>
      </w:tr>
      <w:tr>
        <w:tc>
          <w:tcPr>
            <w:tcW w:type="dxa" w:w="1987"/>
          </w:tcPr>
          <w:p>
            <w:r>
              <w:t>Central Coalfields (CCL)</w:t>
            </w:r>
          </w:p>
        </w:tc>
        <w:tc>
          <w:tcPr>
            <w:tcW w:type="dxa" w:w="1987"/>
          </w:tcPr>
          <w:p>
            <w:r>
              <w:t>82.90</w:t>
            </w:r>
          </w:p>
        </w:tc>
        <w:tc>
          <w:tcPr>
            <w:tcW w:type="dxa" w:w="1987"/>
          </w:tcPr>
          <w:p>
            <w:r>
              <w:t>1.10</w:t>
            </w:r>
          </w:p>
        </w:tc>
        <w:tc>
          <w:tcPr>
            <w:tcW w:type="dxa" w:w="1987"/>
          </w:tcPr>
          <w:p>
            <w:r>
              <w:t>84.00</w:t>
            </w:r>
          </w:p>
        </w:tc>
        <w:tc>
          <w:tcPr>
            <w:tcW w:type="dxa" w:w="1987"/>
          </w:tcPr>
          <w:p>
            <w:r>
              <w:t>+14.2%</w:t>
            </w:r>
          </w:p>
        </w:tc>
      </w:tr>
      <w:tr>
        <w:tc>
          <w:tcPr>
            <w:tcW w:type="dxa" w:w="1987"/>
          </w:tcPr>
          <w:p>
            <w:r>
              <w:t>Western Coalfields (WCL)</w:t>
            </w:r>
          </w:p>
        </w:tc>
        <w:tc>
          <w:tcPr>
            <w:tcW w:type="dxa" w:w="1987"/>
          </w:tcPr>
          <w:p>
            <w:r>
              <w:t>57.10</w:t>
            </w:r>
          </w:p>
        </w:tc>
        <w:tc>
          <w:tcPr>
            <w:tcW w:type="dxa" w:w="1987"/>
          </w:tcPr>
          <w:p>
            <w:r>
              <w:t>3.20</w:t>
            </w:r>
          </w:p>
        </w:tc>
        <w:tc>
          <w:tcPr>
            <w:tcW w:type="dxa" w:w="1987"/>
          </w:tcPr>
          <w:p>
            <w:r>
              <w:t>60.30</w:t>
            </w:r>
          </w:p>
        </w:tc>
        <w:tc>
          <w:tcPr>
            <w:tcW w:type="dxa" w:w="1987"/>
          </w:tcPr>
          <w:p>
            <w:r>
              <w:t>+4.5%</w:t>
            </w:r>
          </w:p>
        </w:tc>
      </w:tr>
      <w:tr>
        <w:tc>
          <w:tcPr>
            <w:tcW w:type="dxa" w:w="1987"/>
          </w:tcPr>
          <w:p>
            <w:r>
              <w:t>Bharat Coking Coal (BCCL)</w:t>
            </w:r>
          </w:p>
        </w:tc>
        <w:tc>
          <w:tcPr>
            <w:tcW w:type="dxa" w:w="1987"/>
          </w:tcPr>
          <w:p>
            <w:r>
              <w:t>39.80</w:t>
            </w:r>
          </w:p>
        </w:tc>
        <w:tc>
          <w:tcPr>
            <w:tcW w:type="dxa" w:w="1987"/>
          </w:tcPr>
          <w:p>
            <w:r>
              <w:t>1.30</w:t>
            </w:r>
          </w:p>
        </w:tc>
        <w:tc>
          <w:tcPr>
            <w:tcW w:type="dxa" w:w="1987"/>
          </w:tcPr>
          <w:p>
            <w:r>
              <w:t>41.10</w:t>
            </w:r>
          </w:p>
        </w:tc>
        <w:tc>
          <w:tcPr>
            <w:tcW w:type="dxa" w:w="1987"/>
          </w:tcPr>
          <w:p>
            <w:r>
              <w:t>+17.4%</w:t>
            </w:r>
          </w:p>
        </w:tc>
      </w:tr>
      <w:tr>
        <w:tc>
          <w:tcPr>
            <w:tcW w:type="dxa" w:w="1987"/>
          </w:tcPr>
          <w:p>
            <w:r>
              <w:t>Eastern Coalfields (ECL)</w:t>
            </w:r>
          </w:p>
        </w:tc>
        <w:tc>
          <w:tcPr>
            <w:tcW w:type="dxa" w:w="1987"/>
          </w:tcPr>
          <w:p>
            <w:r>
              <w:t>25.90</w:t>
            </w:r>
          </w:p>
        </w:tc>
        <w:tc>
          <w:tcPr>
            <w:tcW w:type="dxa" w:w="1987"/>
          </w:tcPr>
          <w:p>
            <w:r>
              <w:t>9.20</w:t>
            </w:r>
          </w:p>
        </w:tc>
        <w:tc>
          <w:tcPr>
            <w:tcW w:type="dxa" w:w="1987"/>
          </w:tcPr>
          <w:p>
            <w:r>
              <w:t>35.10</w:t>
            </w:r>
          </w:p>
        </w:tc>
        <w:tc>
          <w:tcPr>
            <w:tcW w:type="dxa" w:w="1987"/>
          </w:tcPr>
          <w:p>
            <w:r>
              <w:t>+4.8%</w:t>
            </w:r>
          </w:p>
        </w:tc>
      </w:tr>
      <w:tr>
        <w:tc>
          <w:tcPr>
            <w:tcW w:type="dxa" w:w="1987"/>
          </w:tcPr>
          <w:p>
            <w:r>
              <w:t>CIL Total</w:t>
            </w:r>
          </w:p>
        </w:tc>
        <w:tc>
          <w:tcPr>
            <w:tcW w:type="dxa" w:w="1987"/>
          </w:tcPr>
          <w:p>
            <w:r>
              <w:t>665.40</w:t>
            </w:r>
          </w:p>
        </w:tc>
        <w:tc>
          <w:tcPr>
            <w:tcW w:type="dxa" w:w="1987"/>
          </w:tcPr>
          <w:p>
            <w:r>
              <w:t>37.80</w:t>
            </w:r>
          </w:p>
        </w:tc>
        <w:tc>
          <w:tcPr>
            <w:tcW w:type="dxa" w:w="1987"/>
          </w:tcPr>
          <w:p>
            <w:r>
              <w:t>703.20</w:t>
            </w:r>
          </w:p>
        </w:tc>
        <w:tc>
          <w:tcPr>
            <w:tcW w:type="dxa" w:w="1987"/>
          </w:tcPr>
          <w:p>
            <w:r>
              <w:t>+10.1%</w:t>
            </w:r>
          </w:p>
        </w:tc>
      </w:tr>
    </w:tbl>
    <w:p>
      <w:pPr>
        <w:pStyle w:val="Heading1"/>
      </w:pPr>
      <w:r>
        <w:t>3. Document Citations &amp; Spatial Evidence</w:t>
      </w:r>
    </w:p>
    <w:p>
      <w:r>
        <w:rPr>
          <w:b/>
        </w:rPr>
        <w:t>[1] Source: CIL_Annual_Production_Review_2023_24.pdf (Page 1)</w:t>
      </w:r>
    </w:p>
    <w:p>
      <w:pPr>
        <w:pStyle w:val="Quote"/>
      </w:pPr>
      <w:r>
        <w:t>Snippet: "Eastern Coalfields Ltd (ECL)</w:t>
        <w:br/>
        <w:t>25.90</w:t>
        <w:br/>
        <w:t>9.20</w:t>
        <w:br/>
        <w:t>35.10</w:t>
        <w:br/>
        <w:t>37.00</w:t>
        <w:br/>
        <w:t>+4.8%"</w:t>
      </w:r>
    </w:p>
    <w:p>
      <w:r>
        <w:rPr>
          <w:b/>
        </w:rPr>
        <w:t>[2] Source: CIL_Annual_Production_Review_2023_24.pdf (Page 1)</w:t>
      </w:r>
    </w:p>
    <w:p>
      <w:pPr>
        <w:pStyle w:val="Quote"/>
      </w:pPr>
      <w:r>
        <w:t>Snippet: "Western Coalfields Ltd (WCL)</w:t>
        <w:br/>
        <w:t>57.10</w:t>
        <w:br/>
        <w:t>3.20</w:t>
        <w:br/>
        <w:t>60.30</w:t>
        <w:br/>
        <w:t>62.00</w:t>
        <w:br/>
        <w:t>+4.5%"</w:t>
      </w:r>
    </w:p>
    <w:p>
      <w:r>
        <w:rPr>
          <w:b/>
        </w:rPr>
        <w:t>[3] Source: CIL_Annual_Production_Review_2023_24.pdf (Page 1)</w:t>
      </w:r>
    </w:p>
    <w:p>
      <w:pPr>
        <w:pStyle w:val="Quote"/>
      </w:pPr>
      <w:r>
        <w:t>Snippet: "North Eastern Coalfields (NEC)</w:t>
        <w:br/>
        <w:t>0.50</w:t>
        <w:br/>
        <w:t>0.00</w:t>
        <w:br/>
        <w:t>0.50</w:t>
        <w:br/>
        <w:t>0.60</w:t>
        <w:br/>
        <w:t>-2.1%"</w:t>
      </w:r>
    </w:p>
    <w:p>
      <w:r>
        <w:rPr>
          <w:b/>
        </w:rPr>
        <w:t>[4] Source: CIL_Annual_Production_Review_2023_24.pdf (Page 1)</w:t>
      </w:r>
    </w:p>
    <w:p>
      <w:pPr>
        <w:pStyle w:val="Quote"/>
      </w:pPr>
      <w:r>
        <w:t>Snippet: "South Eastern Coalfields (SECL)</w:t>
        <w:br/>
        <w:t>155.80</w:t>
        <w:br/>
        <w:t>11.20</w:t>
        <w:br/>
        <w:t>167.00</w:t>
        <w:br/>
        <w:t>170.00</w:t>
        <w:br/>
        <w:t>+13.2%"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