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Technical &amp; Analytical Mining Report: MCL and SECL Mega Opencast Review</w:t>
      </w:r>
    </w:p>
    <w:p>
      <w:r>
        <w:rPr>
          <w:sz w:val="18"/>
        </w:rPr>
        <w:t>Generated on: 11 September 2026, 17:00 | Engine: offline-geological-synthesis-engine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Analytical Synthesis</w:t>
      </w:r>
    </w:p>
    <w:p>
      <w:pPr>
        <w:pStyle w:val="Heading2"/>
      </w:pPr>
      <w:r>
        <w:t>Synthesis Response: Mcl And Secl Mega Opencast Review</w:t>
      </w:r>
    </w:p>
    <w:p>
      <w:r/>
      <w:r>
        <w:rPr>
          <w:b/>
        </w:rPr>
        <w:t>Direct Document Evidence:</w:t>
      </w:r>
      <w:r/>
    </w:p>
    <w:p>
      <w:r>
        <w:t xml:space="preserve">&gt; </w:t>
      </w:r>
      <w:r>
        <w:rPr>
          <w:b/>
        </w:rPr>
        <w:t>Evidence 1</w:t>
      </w:r>
      <w:r>
        <w:t>: Annual Production &amp; Operational Performance Review (FY 2023-24)</w:t>
      </w:r>
    </w:p>
    <w:p>
      <w:r>
        <w:t xml:space="preserve">&gt; </w:t>
      </w:r>
      <w:r>
        <w:rPr>
          <w:b/>
        </w:rPr>
        <w:t>Evidence 2</w:t>
      </w:r>
      <w:r>
        <w:t>: During 2023-24, CMPDI prepared 28 Detailed Project Reports (DPRs) and Project Feasibility Studies with cumulative</w:t>
      </w:r>
    </w:p>
    <w:p>
      <w:r>
        <w:t>rated production capacity of 142.5 MTY. Highlights include the expansion DPR for Gevra OC (expanded capacity of</w:t>
      </w:r>
    </w:p>
    <w:p>
      <w:r>
        <w:t>70 MTY, Asia's largest opencast coal project) and Kusmunda OC (50 MTY). Environmental impact assessments</w:t>
      </w:r>
    </w:p>
    <w:p>
      <w:r>
        <w:t>(EIA) and EMP formulations integrated numerical hydrogeological modeling, 3D laser scanner topography, and</w:t>
      </w:r>
    </w:p>
    <w:p>
      <w:r>
        <w:t>automated real-time dust monitoring sensor networks.</w:t>
      </w:r>
    </w:p>
    <w:p>
      <w:r>
        <w:t xml:space="preserve">&gt; </w:t>
      </w:r>
      <w:r>
        <w:rPr>
          <w:b/>
        </w:rPr>
        <w:t>Evidence 3</w:t>
      </w:r>
      <w:r>
        <w:t>: 3. Coal Quality Banding (Grades G1 - G17) &amp; Beneficiation</w:t>
      </w:r>
    </w:p>
    <w:p>
      <w:r/>
      <w:r>
        <w:rPr>
          <w:b/>
        </w:rPr>
        <w:t>Primary Source Reference:</w:t>
      </w:r>
      <w:r/>
    </w:p>
    <w:p>
      <w:pPr>
        <w:pStyle w:val="ListBullet"/>
      </w:pPr>
      <w:r>
        <w:t>*File*: `CIL_Annual_Production_Review_2023_24.pdf` (Page 1)</w:t>
      </w:r>
    </w:p>
    <w:p>
      <w:pPr>
        <w:pStyle w:val="ListBullet"/>
      </w:pPr>
      <w:r>
        <w:t>*Verified Snippet*: "Annual Production &amp; Operational Performance Review (FY 2023-24)..."</w:t>
      </w:r>
    </w:p>
    <w:p>
      <w:r>
        <w:t>*(Click any cited reference on the side to inspect the exact spatial bounding box in the original PDF)*</w:t>
      </w:r>
    </w:p>
    <w:p>
      <w:pPr>
        <w:pStyle w:val="Heading1"/>
      </w:pPr>
      <w:r>
        <w:t>2. Key Operational Metrics &amp; Subsidiary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Subsidiary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</w:tr>
      <w:tr>
        <w:tc>
          <w:tcPr>
            <w:tcW w:type="dxa" w:w="1987"/>
          </w:tcPr>
          <w:p>
            <w:r>
              <w:t>Mahanadi Coalfields (MCL)</w:t>
            </w:r>
          </w:p>
        </w:tc>
        <w:tc>
          <w:tcPr>
            <w:tcW w:type="dxa" w:w="1987"/>
          </w:tcPr>
          <w:p>
            <w:r>
              <w:t>181.50</w:t>
            </w:r>
          </w:p>
        </w:tc>
        <w:tc>
          <w:tcPr>
            <w:tcW w:type="dxa" w:w="1987"/>
          </w:tcPr>
          <w:p>
            <w:r>
              <w:t>11.80</w:t>
            </w:r>
          </w:p>
        </w:tc>
        <w:tc>
          <w:tcPr>
            <w:tcW w:type="dxa" w:w="1987"/>
          </w:tcPr>
          <w:p>
            <w:r>
              <w:t>193.30</w:t>
            </w:r>
          </w:p>
        </w:tc>
        <w:tc>
          <w:tcPr>
            <w:tcW w:type="dxa" w:w="1987"/>
          </w:tcPr>
          <w:p>
            <w:r>
              <w:t>+11.9%</w:t>
            </w:r>
          </w:p>
        </w:tc>
      </w:tr>
      <w:tr>
        <w:tc>
          <w:tcPr>
            <w:tcW w:type="dxa" w:w="1987"/>
          </w:tcPr>
          <w:p>
            <w:r>
              <w:t>South Eastern Coalfields (SECL)</w:t>
            </w:r>
          </w:p>
        </w:tc>
        <w:tc>
          <w:tcPr>
            <w:tcW w:type="dxa" w:w="1987"/>
          </w:tcPr>
          <w:p>
            <w:r>
              <w:t>155.80</w:t>
            </w:r>
          </w:p>
        </w:tc>
        <w:tc>
          <w:tcPr>
            <w:tcW w:type="dxa" w:w="1987"/>
          </w:tcPr>
          <w:p>
            <w:r>
              <w:t>11.20</w:t>
            </w:r>
          </w:p>
        </w:tc>
        <w:tc>
          <w:tcPr>
            <w:tcW w:type="dxa" w:w="1987"/>
          </w:tcPr>
          <w:p>
            <w:r>
              <w:t>167.00</w:t>
            </w:r>
          </w:p>
        </w:tc>
        <w:tc>
          <w:tcPr>
            <w:tcW w:type="dxa" w:w="1987"/>
          </w:tcPr>
          <w:p>
            <w:r>
              <w:t>+13.2%</w:t>
            </w:r>
          </w:p>
        </w:tc>
      </w:tr>
      <w:tr>
        <w:tc>
          <w:tcPr>
            <w:tcW w:type="dxa" w:w="1987"/>
          </w:tcPr>
          <w:p>
            <w:r>
              <w:t>Northern Coalfields (NCL)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0.00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+6.8%</w:t>
            </w:r>
          </w:p>
        </w:tc>
      </w:tr>
      <w:tr>
        <w:tc>
          <w:tcPr>
            <w:tcW w:type="dxa" w:w="1987"/>
          </w:tcPr>
          <w:p>
            <w:r>
              <w:t>Central Coalfields (CCL)</w:t>
            </w:r>
          </w:p>
        </w:tc>
        <w:tc>
          <w:tcPr>
            <w:tcW w:type="dxa" w:w="1987"/>
          </w:tcPr>
          <w:p>
            <w:r>
              <w:t>82.90</w:t>
            </w:r>
          </w:p>
        </w:tc>
        <w:tc>
          <w:tcPr>
            <w:tcW w:type="dxa" w:w="1987"/>
          </w:tcPr>
          <w:p>
            <w:r>
              <w:t>1.10</w:t>
            </w:r>
          </w:p>
        </w:tc>
        <w:tc>
          <w:tcPr>
            <w:tcW w:type="dxa" w:w="1987"/>
          </w:tcPr>
          <w:p>
            <w:r>
              <w:t>84.00</w:t>
            </w:r>
          </w:p>
        </w:tc>
        <w:tc>
          <w:tcPr>
            <w:tcW w:type="dxa" w:w="1987"/>
          </w:tcPr>
          <w:p>
            <w:r>
              <w:t>+14.2%</w:t>
            </w:r>
          </w:p>
        </w:tc>
      </w:tr>
      <w:tr>
        <w:tc>
          <w:tcPr>
            <w:tcW w:type="dxa" w:w="1987"/>
          </w:tcPr>
          <w:p>
            <w:r>
              <w:t>Western Coalfields (WCL)</w:t>
            </w:r>
          </w:p>
        </w:tc>
        <w:tc>
          <w:tcPr>
            <w:tcW w:type="dxa" w:w="1987"/>
          </w:tcPr>
          <w:p>
            <w:r>
              <w:t>57.10</w:t>
            </w:r>
          </w:p>
        </w:tc>
        <w:tc>
          <w:tcPr>
            <w:tcW w:type="dxa" w:w="1987"/>
          </w:tcPr>
          <w:p>
            <w:r>
              <w:t>3.20</w:t>
            </w:r>
          </w:p>
        </w:tc>
        <w:tc>
          <w:tcPr>
            <w:tcW w:type="dxa" w:w="1987"/>
          </w:tcPr>
          <w:p>
            <w:r>
              <w:t>60.30</w:t>
            </w:r>
          </w:p>
        </w:tc>
        <w:tc>
          <w:tcPr>
            <w:tcW w:type="dxa" w:w="1987"/>
          </w:tcPr>
          <w:p>
            <w:r>
              <w:t>+4.5%</w:t>
            </w:r>
          </w:p>
        </w:tc>
      </w:tr>
      <w:tr>
        <w:tc>
          <w:tcPr>
            <w:tcW w:type="dxa" w:w="1987"/>
          </w:tcPr>
          <w:p>
            <w:r>
              <w:t>Bharat Coking Coal (BCCL)</w:t>
            </w:r>
          </w:p>
        </w:tc>
        <w:tc>
          <w:tcPr>
            <w:tcW w:type="dxa" w:w="1987"/>
          </w:tcPr>
          <w:p>
            <w:r>
              <w:t>39.80</w:t>
            </w:r>
          </w:p>
        </w:tc>
        <w:tc>
          <w:tcPr>
            <w:tcW w:type="dxa" w:w="1987"/>
          </w:tcPr>
          <w:p>
            <w:r>
              <w:t>1.30</w:t>
            </w:r>
          </w:p>
        </w:tc>
        <w:tc>
          <w:tcPr>
            <w:tcW w:type="dxa" w:w="1987"/>
          </w:tcPr>
          <w:p>
            <w:r>
              <w:t>41.10</w:t>
            </w:r>
          </w:p>
        </w:tc>
        <w:tc>
          <w:tcPr>
            <w:tcW w:type="dxa" w:w="1987"/>
          </w:tcPr>
          <w:p>
            <w:r>
              <w:t>+17.4%</w:t>
            </w:r>
          </w:p>
        </w:tc>
      </w:tr>
      <w:tr>
        <w:tc>
          <w:tcPr>
            <w:tcW w:type="dxa" w:w="1987"/>
          </w:tcPr>
          <w:p>
            <w:r>
              <w:t>Eastern Coalfields (ECL)</w:t>
            </w:r>
          </w:p>
        </w:tc>
        <w:tc>
          <w:tcPr>
            <w:tcW w:type="dxa" w:w="1987"/>
          </w:tcPr>
          <w:p>
            <w:r>
              <w:t>25.90</w:t>
            </w:r>
          </w:p>
        </w:tc>
        <w:tc>
          <w:tcPr>
            <w:tcW w:type="dxa" w:w="1987"/>
          </w:tcPr>
          <w:p>
            <w:r>
              <w:t>9.20</w:t>
            </w:r>
          </w:p>
        </w:tc>
        <w:tc>
          <w:tcPr>
            <w:tcW w:type="dxa" w:w="1987"/>
          </w:tcPr>
          <w:p>
            <w:r>
              <w:t>35.10</w:t>
            </w:r>
          </w:p>
        </w:tc>
        <w:tc>
          <w:tcPr>
            <w:tcW w:type="dxa" w:w="1987"/>
          </w:tcPr>
          <w:p>
            <w:r>
              <w:t>+4.8%</w:t>
            </w:r>
          </w:p>
        </w:tc>
      </w:tr>
      <w:tr>
        <w:tc>
          <w:tcPr>
            <w:tcW w:type="dxa" w:w="1987"/>
          </w:tcPr>
          <w:p>
            <w:r>
              <w:t>CIL Total</w:t>
            </w:r>
          </w:p>
        </w:tc>
        <w:tc>
          <w:tcPr>
            <w:tcW w:type="dxa" w:w="1987"/>
          </w:tcPr>
          <w:p>
            <w:r>
              <w:t>665.40</w:t>
            </w:r>
          </w:p>
        </w:tc>
        <w:tc>
          <w:tcPr>
            <w:tcW w:type="dxa" w:w="1987"/>
          </w:tcPr>
          <w:p>
            <w:r>
              <w:t>37.80</w:t>
            </w:r>
          </w:p>
        </w:tc>
        <w:tc>
          <w:tcPr>
            <w:tcW w:type="dxa" w:w="1987"/>
          </w:tcPr>
          <w:p>
            <w:r>
              <w:t>703.20</w:t>
            </w:r>
          </w:p>
        </w:tc>
        <w:tc>
          <w:tcPr>
            <w:tcW w:type="dxa" w:w="1987"/>
          </w:tcPr>
          <w:p>
            <w:r>
              <w:t>+10.1%</w:t>
            </w:r>
          </w:p>
        </w:tc>
      </w:tr>
    </w:tbl>
    <w:p>
      <w:pPr>
        <w:pStyle w:val="Heading1"/>
      </w:pPr>
      <w:r>
        <w:t>3. Document Citations &amp; Spatial Evidence</w:t>
      </w:r>
    </w:p>
    <w:p>
      <w:r>
        <w:rPr>
          <w:b/>
        </w:rPr>
        <w:t>[1] Source: CIL_Annual_Production_Review_2023_24.pdf (Page 1)</w:t>
      </w:r>
    </w:p>
    <w:p>
      <w:pPr>
        <w:pStyle w:val="Quote"/>
      </w:pPr>
      <w:r>
        <w:t>Snippet: "Annual Production &amp; Operational Performance Review (FY 2023-24)"</w:t>
      </w:r>
    </w:p>
    <w:p>
      <w:r>
        <w:rPr>
          <w:b/>
        </w:rPr>
        <w:t>[2] Source: CMPDI_Geological_Exploration_Report_2023_24.pdf (Page 2)</w:t>
      </w:r>
    </w:p>
    <w:p>
      <w:pPr>
        <w:pStyle w:val="Quote"/>
      </w:pPr>
      <w:r>
        <w:t>Snippet: "During 2023-24, CMPDI prepared 28 Detailed Project Reports (DPRs) and Project Feasibility Studies with cumulative</w:t>
        <w:br/>
        <w:t>rated production capacity of 142.5 MTY. Highlights include the expansion DPR for Gevra OC (expanded capacity of</w:t>
        <w:br/>
        <w:t>70 MTY, Asia's largest opencast coal project) and Kusm..."</w:t>
      </w:r>
    </w:p>
    <w:p>
      <w:r>
        <w:rPr>
          <w:b/>
        </w:rPr>
        <w:t>[3] Source: CIL_Annual_Production_Review_2023_24.pdf (Page 2)</w:t>
      </w:r>
    </w:p>
    <w:p>
      <w:pPr>
        <w:pStyle w:val="Quote"/>
      </w:pPr>
      <w:r>
        <w:t>Snippet: "3. Coal Quality Banding (Grades G1 - G17) &amp; Beneficiation"</w:t>
      </w:r>
    </w:p>
    <w:p>
      <w:r>
        <w:rPr>
          <w:b/>
        </w:rPr>
        <w:t>[4] Source: CIL_Annual_Production_Review_2023_24.pdf (Page 1)</w:t>
      </w:r>
    </w:p>
    <w:p>
      <w:pPr>
        <w:pStyle w:val="Quote"/>
      </w:pPr>
      <w:r>
        <w:t>Snippet: "During FY 2023-24, total Composite Overburden Removal (OBR) achieved was 1,650.40 M.Cum, representing an</w:t>
        <w:br/>
        <w:t>expansion of 21.6% over the previous period. The company-wide average stripping ratio stabilized at 2.48 m3/t. High</w:t>
        <w:br/>
        <w:t>stripping ratios were observed at WCL (4.21 m3/t) and BCCL 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