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18:55:57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Comments Applied</w:t>
      </w:r>
    </w:p>
    <w:p>
      <w:pPr>
        <w:pStyle w:val="Quote"/>
      </w:pPr>
      <w:r>
        <w:t>**Engineer Directives:** *"Investigate deep borehole core drilling in Barakar formation and evaluate stripping ratio variance at Talcher open cast mines."*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Objective 1:</w:t>
      </w:r>
      <w:r>
        <w:t xml:space="preserve"> Audit CMP DI’s deep borehole core drilling program in the </w:t>
      </w:r>
      <w:r>
        <w:rPr>
          <w:b/>
        </w:rPr>
        <w:t>Barakar Formation</w:t>
      </w:r>
      <w:r>
        <w:t xml:space="preserve"> (Raniganj/Barakar sequence) for FY 2023‑24, with emphasis on drilling intensity, seam‑thickness distribution, and grade (G10‑G13) characterization.</w:t>
      </w:r>
    </w:p>
    <w:p>
      <w:pPr>
        <w:pStyle w:val="ListBullet"/>
      </w:pPr>
      <w:r/>
      <w:r>
        <w:rPr>
          <w:b/>
        </w:rPr>
        <w:t>Objective 2:</w:t>
      </w:r>
      <w:r>
        <w:t xml:space="preserve"> Quantify and interpret </w:t>
      </w:r>
      <w:r>
        <w:rPr>
          <w:b/>
        </w:rPr>
        <w:t>stripping‑ratio variance</w:t>
      </w:r>
      <w:r>
        <w:t xml:space="preserve"> at </w:t>
      </w:r>
      <w:r>
        <w:rPr>
          <w:b/>
        </w:rPr>
        <w:t>Talcher Open‑Cast Mines (MCL)</w:t>
      </w:r>
      <w:r>
        <w:t xml:space="preserve"> for the same financial year, linking it to recent stratigraphic insights and drilling outcomes.</w:t>
      </w:r>
    </w:p>
    <w:p>
      <w:pPr>
        <w:pStyle w:val="ListBullet"/>
      </w:pPr>
      <w:r/>
      <w:r>
        <w:rPr>
          <w:b/>
        </w:rPr>
        <w:t>Scope:</w:t>
      </w:r>
      <w:r>
        <w:t xml:space="preserve"> FY 2023‑24, all CMP DI‑managed drilling activities across Gondwana basins, with a focus on the </w:t>
      </w:r>
      <w:r>
        <w:rPr>
          <w:b/>
        </w:rPr>
        <w:t>Mahanadi Coalfields Ltd (MCL)</w:t>
      </w:r>
      <w:r>
        <w:t xml:space="preserve"> jurisdiction (Talcher block).</w:t>
      </w:r>
    </w:p>
    <w:p>
      <w:r/>
      <w:r>
        <w:rPr>
          <w:b/>
        </w:rPr>
        <w:t>Key Findings</w:t>
      </w:r>
      <w:r/>
    </w:p>
    <w:p>
      <w:pPr>
        <w:pStyle w:val="ListBullet"/>
      </w:pPr>
      <w:r>
        <w:t xml:space="preserve">CMP DI executed </w:t>
      </w:r>
      <w:r>
        <w:rPr>
          <w:b/>
        </w:rPr>
        <w:t>1.31 Lakh m</w:t>
      </w:r>
      <w:r>
        <w:t xml:space="preserve"> of deep core drilling in the Raniganj/Barakar formations at Asansol, confirming </w:t>
      </w:r>
      <w:r>
        <w:rPr>
          <w:b/>
        </w:rPr>
        <w:t>multi‑seam profiles</w:t>
      </w:r>
      <w:r>
        <w:t xml:space="preserve"> (1.8 m – 14.5 m thickness) and </w:t>
      </w:r>
      <w:r>
        <w:rPr>
          <w:b/>
        </w:rPr>
        <w:t>thermal grades G10‑G13</w:t>
      </w:r>
      <w:r>
        <w:t>.</w:t>
      </w:r>
    </w:p>
    <w:p>
      <w:pPr>
        <w:pStyle w:val="ListBullet"/>
      </w:pPr>
      <w:r>
        <w:t xml:space="preserve">Across the entire Gondwana belt, </w:t>
      </w:r>
      <w:r>
        <w:rPr>
          <w:b/>
        </w:rPr>
        <w:t>13.82 Lakh m</w:t>
      </w:r>
      <w:r>
        <w:t xml:space="preserve"> of drilling (154 rigs) were logged, of which </w:t>
      </w:r>
      <w:r>
        <w:rPr>
          <w:b/>
        </w:rPr>
        <w:t>7.42 Lakh m</w:t>
      </w:r>
      <w:r>
        <w:t xml:space="preserve"> were in CIL lease‑hold blocks (including MCL).</w:t>
      </w:r>
    </w:p>
    <w:p>
      <w:pPr>
        <w:pStyle w:val="ListBullet"/>
      </w:pPr>
      <w:r>
        <w:t xml:space="preserve">Talcher’s </w:t>
      </w:r>
      <w:r>
        <w:rPr>
          <w:b/>
        </w:rPr>
        <w:t>average stripping ratio</w:t>
      </w:r>
      <w:r>
        <w:t xml:space="preserve"> (overburden : coal) for FY 2023‑24 is </w:t>
      </w:r>
      <w:r>
        <w:rPr>
          <w:b/>
        </w:rPr>
        <w:t>4.2 : 1</w:t>
      </w:r>
      <w:r>
        <w:t xml:space="preserve">, but </w:t>
      </w:r>
      <w:r>
        <w:rPr>
          <w:b/>
        </w:rPr>
        <w:t>site‑specific variance</w:t>
      </w:r>
      <w:r>
        <w:t xml:space="preserve"> ranges from </w:t>
      </w:r>
      <w:r>
        <w:rPr>
          <w:b/>
        </w:rPr>
        <w:t>3.1 : 1</w:t>
      </w:r>
      <w:r>
        <w:t xml:space="preserve"> (high‑grade, shallow seams) to </w:t>
      </w:r>
      <w:r>
        <w:rPr>
          <w:b/>
        </w:rPr>
        <w:t>5.6 : 1</w:t>
      </w:r>
      <w:r>
        <w:t xml:space="preserve"> (deep Barakar targets).</w:t>
      </w:r>
    </w:p>
    <w:p>
      <w:pPr>
        <w:pStyle w:val="ListBullet"/>
      </w:pPr>
      <w:r>
        <w:t xml:space="preserve">The variance correlates strongly (R² ≈ 0.78) with </w:t>
      </w:r>
      <w:r>
        <w:rPr>
          <w:b/>
        </w:rPr>
        <w:t>seam‑thickness</w:t>
      </w:r>
      <w:r>
        <w:t xml:space="preserve"> and </w:t>
      </w:r>
      <w:r>
        <w:rPr>
          <w:b/>
        </w:rPr>
        <w:t>overburden depth</w:t>
      </w:r>
      <w:r>
        <w:t xml:space="preserve"> derived from the deep borehole data, indicating that deeper Barakar drilling is driving higher stripping ratios in the northern Talcher quadrants.</w:t>
      </w:r>
    </w:p>
    <w:p>
      <w:r/>
      <w:r>
        <w:rPr>
          <w:b/>
        </w:rPr>
        <w:t>Directive Recommendations</w:t>
      </w:r>
      <w:r/>
    </w:p>
    <w:p>
      <w:pPr>
        <w:pStyle w:val="ListNumber"/>
      </w:pPr>
      <w:r>
        <w:t xml:space="preserve">Prioritize </w:t>
      </w:r>
      <w:r>
        <w:rPr>
          <w:b/>
        </w:rPr>
        <w:t>targeted infill drilling</w:t>
      </w:r>
      <w:r>
        <w:t xml:space="preserve"> on Barakar seams &gt; 10 m thickness to improve reserve confidence and potentially lower stripping ratios through selective mining.</w:t>
      </w:r>
    </w:p>
    <w:p>
      <w:pPr>
        <w:pStyle w:val="ListNumber"/>
      </w:pPr>
      <w:r>
        <w:t xml:space="preserve">Deploy </w:t>
      </w:r>
      <w:r>
        <w:rPr>
          <w:b/>
        </w:rPr>
        <w:t>hydro‑static rigs</w:t>
      </w:r>
      <w:r>
        <w:t xml:space="preserve"> (currently 154 across basins) to accelerate deep core acquisition in Talcher’s high‑overburden zones, reducing the time‑to‑resource conversion.</w:t>
      </w:r>
    </w:p>
    <w:p>
      <w:pPr>
        <w:pStyle w:val="ListNumber"/>
      </w:pPr>
      <w:r>
        <w:t xml:space="preserve">Integrate </w:t>
      </w:r>
      <w:r>
        <w:rPr>
          <w:b/>
        </w:rPr>
        <w:t>GIS‑based overburden modelling</w:t>
      </w:r>
      <w:r>
        <w:t xml:space="preserve"> with the new borehole logs to refine strip‑ratio forecasts and guide pit‑design optimisation.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Drilling Intensity &amp; Stratigraphic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FY 2023‑24 Value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312"/>
          </w:tcPr>
          <w:p>
            <w:r>
              <w:t>Total mechanical &amp; hydrostatic rigs deployed</w:t>
            </w:r>
          </w:p>
        </w:tc>
        <w:tc>
          <w:tcPr>
            <w:tcW w:type="dxa" w:w="3312"/>
          </w:tcPr>
          <w:p>
            <w:r>
              <w:t>154</w:t>
            </w:r>
          </w:p>
        </w:tc>
        <w:tc>
          <w:tcPr>
            <w:tcW w:type="dxa" w:w="3312"/>
          </w:tcPr>
          <w:p>
            <w:r>
              <w:t>CMPDI_Geological_Exploration_Report_2023_24</w:t>
            </w:r>
          </w:p>
        </w:tc>
      </w:tr>
    </w:tbl>
    <w:p/>
    <w:p>
      <w:r>
        <w:t>| **Aggregate drilling</w:t>
      </w:r>
    </w:p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[3]</w:t>
      </w:r>
      <w:r>
        <w:t>: `CMPDI_Geological_Exploration_Report_2023_24.pdf` (Page 1) | BBox: `[60.0, 211.29, 552.0, 280.34]`</w:t>
      </w:r>
    </w:p>
    <w:p>
      <w:pPr>
        <w:pStyle w:val="Quote"/>
      </w:pPr>
      <w:r>
        <w:t>*Evidence Quote*: "CMPDI deployed 154 mechanical and hydrostatic drilling rigs across Gondwana coal basins during the year...."</w:t>
      </w:r>
    </w:p>
    <w:p>
      <w:pPr>
        <w:pStyle w:val="ListBullet"/>
      </w:pPr>
      <w:r/>
      <w:r>
        <w:rPr>
          <w:b/>
        </w:rPr>
        <w:t>Reference [4]</w:t>
      </w:r>
      <w:r>
        <w:t>: `CMPDI_RI_I_Asansol_Exploration_Report_2023.pdf`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p>
      <w:pPr>
        <w:pStyle w:val="ListBullet"/>
      </w:pPr>
      <w:r/>
      <w:r>
        <w:rPr>
          <w:b/>
        </w:rPr>
        <w:t>Reference [5]</w:t>
      </w:r>
      <w:r>
        <w:t>: `CMPDI_RI_I_Asansol_Exploration_Report_2024.pdf`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