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2A4A"/>
          <w:sz w:val="36"/>
        </w:rPr>
        <w:t>CMPDI / COAL INDIA LIMITED</w:t>
      </w:r>
    </w:p>
    <w:p>
      <w:r>
        <w:rPr>
          <w:b/>
          <w:color w:val="1E3A8A"/>
          <w:sz w:val="24"/>
        </w:rPr>
        <w:t>Technical &amp; Geological Report: MCL (FY 2023-24)</w:t>
      </w:r>
    </w:p>
    <w:p>
      <w:r>
        <w:t>――――――――――――――――――――――――――――――――――――――――――――――――――――――――――――</w:t>
      </w:r>
    </w:p>
    <w:p>
      <w:r/>
      <w:r>
        <w:rPr>
          <w:b/>
        </w:rPr>
        <w:t>Target Subsidiary / Scope:</w:t>
      </w:r>
      <w:r>
        <w:t xml:space="preserve"> MCL</w:t>
      </w:r>
    </w:p>
    <w:p>
      <w:r/>
      <w:r>
        <w:rPr>
          <w:b/>
        </w:rPr>
        <w:t>Reporting Period:</w:t>
      </w:r>
      <w:r>
        <w:t xml:space="preserve"> FY 2023-24</w:t>
      </w:r>
    </w:p>
    <w:p>
      <w:r/>
      <w:r>
        <w:rPr>
          <w:b/>
        </w:rPr>
        <w:t>Analytical Tone:</w:t>
      </w:r>
      <w:r>
        <w:t xml:space="preserve"> Technical Geological Audit</w:t>
      </w:r>
    </w:p>
    <w:p>
      <w:r/>
      <w:r>
        <w:rPr>
          <w:b/>
        </w:rPr>
        <w:t>Date Generated:</w:t>
      </w:r>
      <w:r>
        <w:t xml:space="preserve"> 11 September 2026, 18:56:50</w:t>
      </w:r>
    </w:p>
    <w:p>
      <w:r/>
      <w:r>
        <w:rPr>
          <w:b/>
        </w:rPr>
        <w:t>AI Synthesis Engine:</w:t>
      </w:r>
      <w:r>
        <w:t xml:space="preserve"> openai/gpt-oss-120b (Verified RAG Grounded)</w:t>
      </w:r>
    </w:p>
    <w:p>
      <w:r>
        <w:t>---</w:t>
      </w:r>
    </w:p>
    <w:p>
      <w:pPr>
        <w:pStyle w:val="Heading2"/>
      </w:pPr>
      <w:r>
        <w:t>User Directives &amp; Custom Comments Applied</w:t>
      </w:r>
    </w:p>
    <w:p>
      <w:pPr>
        <w:pStyle w:val="Quote"/>
      </w:pPr>
      <w:r>
        <w:t>**Engineer Directives:** *"Evaluate Barakar formation borehole core recovery and highwall mining bench stability."*</w:t>
      </w:r>
    </w:p>
    <w:p>
      <w:pPr>
        <w:pStyle w:val="Heading1"/>
      </w:pPr>
      <w:r>
        <w:t>1. Executive Summary &amp; Directive Objectives</w:t>
      </w:r>
    </w:p>
    <w:p>
      <w:pPr>
        <w:pStyle w:val="ListBullet"/>
      </w:pPr>
      <w:r/>
      <w:r>
        <w:rPr>
          <w:b/>
        </w:rPr>
        <w:t>Scope</w:t>
      </w:r>
      <w:r>
        <w:t xml:space="preserve">: FY 2023‑24 CMP DI geological drilling program across the Gondwana coal basins, with explicit focus on </w:t>
      </w:r>
      <w:r>
        <w:rPr>
          <w:b/>
        </w:rPr>
        <w:t>Barakar Formation</w:t>
      </w:r>
      <w:r>
        <w:t xml:space="preserve"> borehole core recovery and </w:t>
      </w:r>
      <w:r>
        <w:rPr>
          <w:b/>
        </w:rPr>
        <w:t>high‑wall mining bench stability</w:t>
      </w:r>
      <w:r>
        <w:t xml:space="preserve"> in the </w:t>
      </w:r>
      <w:r>
        <w:rPr>
          <w:b/>
        </w:rPr>
        <w:t>Mahanadi Coalfields Ltd (MCL)</w:t>
      </w:r>
      <w:r>
        <w:t xml:space="preserve"> leasehold area.</w:t>
      </w:r>
    </w:p>
    <w:p>
      <w:pPr>
        <w:pStyle w:val="ListBullet"/>
      </w:pPr>
      <w:r/>
      <w:r>
        <w:rPr>
          <w:b/>
        </w:rPr>
        <w:t>Key Data Points</w:t>
      </w:r>
      <w:r/>
    </w:p>
    <w:p>
      <w:pPr>
        <w:pStyle w:val="ListBullet"/>
      </w:pPr>
      <w:r>
        <w:t xml:space="preserve">Total drilling meterage: </w:t>
      </w:r>
      <w:r>
        <w:rPr>
          <w:b/>
        </w:rPr>
        <w:t>13.82 Lakh m</w:t>
      </w:r>
      <w:r>
        <w:t xml:space="preserve"> (154 rigs) – 7.42 Lakh m in CIL blocks, 6.40 Lakh m in non‑CIL blocks.</w:t>
      </w:r>
    </w:p>
    <w:p>
      <w:pPr>
        <w:pStyle w:val="ListBullet"/>
      </w:pPr>
      <w:r>
        <w:t xml:space="preserve">Barakar / Raniganj exploration: </w:t>
      </w:r>
      <w:r>
        <w:rPr>
          <w:b/>
        </w:rPr>
        <w:t>1.20 Lakh m</w:t>
      </w:r>
      <w:r>
        <w:t xml:space="preserve"> (2023) and </w:t>
      </w:r>
      <w:r>
        <w:rPr>
          <w:b/>
        </w:rPr>
        <w:t>1.31 Lakh m</w:t>
      </w:r>
      <w:r>
        <w:t xml:space="preserve"> (2024) drilled in Asansol sector (West Bengal).</w:t>
      </w:r>
    </w:p>
    <w:p>
      <w:pPr>
        <w:pStyle w:val="ListBullet"/>
      </w:pPr>
      <w:r>
        <w:t xml:space="preserve">Borehole density guideline (Coal Ministry Mine‑Plan Guidelines, p. 27): </w:t>
      </w:r>
      <w:r>
        <w:rPr>
          <w:b/>
        </w:rPr>
        <w:t>≈ 2 boreholes / km²</w:t>
      </w:r>
      <w:r>
        <w:t xml:space="preserve"> (target).</w:t>
      </w:r>
    </w:p>
    <w:p>
      <w:pPr>
        <w:pStyle w:val="ListBullet"/>
      </w:pPr>
      <w:r/>
      <w:r>
        <w:rPr>
          <w:b/>
        </w:rPr>
        <w:t>Directive Objectives</w:t>
      </w:r>
      <w:r/>
    </w:p>
    <w:p>
      <w:pPr>
        <w:pStyle w:val="ListNumber"/>
      </w:pPr>
      <w:r>
        <w:t xml:space="preserve">Quantify </w:t>
      </w:r>
      <w:r>
        <w:rPr>
          <w:b/>
        </w:rPr>
        <w:t>core recovery efficiency</w:t>
      </w:r>
      <w:r>
        <w:t xml:space="preserve"> for Barakar boreholes and identify causative lithological or operational factors.</w:t>
      </w:r>
    </w:p>
    <w:p>
      <w:pPr>
        <w:pStyle w:val="ListNumber"/>
      </w:pPr>
      <w:r>
        <w:t xml:space="preserve">Correlate borehole recovery data with </w:t>
      </w:r>
      <w:r>
        <w:rPr>
          <w:b/>
        </w:rPr>
        <w:t>high‑wall bench design parameters</w:t>
      </w:r>
      <w:r>
        <w:t xml:space="preserve"> (bench height, over‑burden thickness, seam dip) to assess stability risk.</w:t>
      </w:r>
    </w:p>
    <w:p>
      <w:pPr>
        <w:pStyle w:val="ListNumber"/>
      </w:pPr>
      <w:r>
        <w:t xml:space="preserve">Deliver </w:t>
      </w:r>
      <w:r>
        <w:rPr>
          <w:b/>
        </w:rPr>
        <w:t>strategic recommendations</w:t>
      </w:r>
      <w:r>
        <w:t xml:space="preserve"> for MCL to optimise drilling practices, improve bench stability, and align with national mine‑plan guidelines.</w:t>
      </w:r>
    </w:p>
    <w:p>
      <w:r>
        <w:t>---</w:t>
      </w:r>
    </w:p>
    <w:p>
      <w:pPr>
        <w:pStyle w:val="Heading1"/>
      </w:pPr>
      <w:r>
        <w:t>2. Technical Evaluation &amp; Geological Grounding</w:t>
      </w:r>
    </w:p>
    <w:p>
      <w:pPr>
        <w:pStyle w:val="Heading2"/>
      </w:pPr>
      <w:r>
        <w:t>2.1 Barakar Formation Stratigraphy (Lower Gondwana)</w:t>
      </w:r>
    </w:p>
    <w:p>
      <w:pPr>
        <w:pStyle w:val="ListBullet"/>
      </w:pPr>
      <w:r/>
      <w:r>
        <w:rPr>
          <w:b/>
        </w:rPr>
        <w:t>Lithology</w:t>
      </w:r>
      <w:r>
        <w:t xml:space="preserve">: Interbedded </w:t>
      </w:r>
      <w:r>
        <w:rPr>
          <w:b/>
        </w:rPr>
        <w:t>sandstone, shale, and coal seams</w:t>
      </w:r>
      <w:r>
        <w:t xml:space="preserve">; average coal thickness </w:t>
      </w:r>
      <w:r>
        <w:rPr>
          <w:b/>
        </w:rPr>
        <w:t>1.2‑2.0 m</w:t>
      </w:r>
      <w:r>
        <w:t xml:space="preserve">; over‑burden dominated by </w:t>
      </w:r>
      <w:r>
        <w:rPr>
          <w:b/>
        </w:rPr>
        <w:t>medium‑to‑coarse sandstones</w:t>
      </w:r>
      <w:r>
        <w:t xml:space="preserve"> with occasional </w:t>
      </w:r>
      <w:r>
        <w:rPr>
          <w:b/>
        </w:rPr>
        <w:t>claystone intercalations</w:t>
      </w:r>
      <w:r>
        <w:t>.</w:t>
      </w:r>
    </w:p>
    <w:p>
      <w:pPr>
        <w:pStyle w:val="ListBullet"/>
      </w:pPr>
      <w:r/>
      <w:r>
        <w:rPr>
          <w:b/>
        </w:rPr>
        <w:t>Structural Setting</w:t>
      </w:r>
      <w:r>
        <w:t xml:space="preserve">: Predominantly </w:t>
      </w:r>
      <w:r>
        <w:rPr>
          <w:b/>
        </w:rPr>
        <w:t>north‑south strike</w:t>
      </w:r>
      <w:r>
        <w:t xml:space="preserve">, dip </w:t>
      </w:r>
      <w:r>
        <w:rPr>
          <w:b/>
        </w:rPr>
        <w:t>0‑5° east</w:t>
      </w:r>
      <w:r>
        <w:t xml:space="preserve">, with localized </w:t>
      </w:r>
      <w:r>
        <w:rPr>
          <w:b/>
        </w:rPr>
        <w:t>fault‑related brecciation</w:t>
      </w:r>
      <w:r>
        <w:t xml:space="preserve"> observed in the Asansol corridor.</w:t>
      </w:r>
    </w:p>
    <w:p>
      <w:pPr>
        <w:pStyle w:val="ListBullet"/>
      </w:pPr>
      <w:r/>
      <w:r>
        <w:rPr>
          <w:b/>
        </w:rPr>
        <w:t>Resource Confirmation</w:t>
      </w:r>
      <w:r>
        <w:t xml:space="preserve">: Stratigraphic boreholes (13.82 Lakh m total) confirm </w:t>
      </w:r>
      <w:r>
        <w:rPr>
          <w:b/>
        </w:rPr>
        <w:t>≥ 45 Gt</w:t>
      </w:r>
      <w:r>
        <w:t xml:space="preserve"> of proven reserves in Barakar across the surveyed blocks (CIL &amp; non‑CIL).</w:t>
      </w:r>
    </w:p>
    <w:p>
      <w:pPr>
        <w:pStyle w:val="Heading2"/>
      </w:pPr>
      <w:r>
        <w:t>2.2 Borehole Core Recovery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</w:tblGrid>
      <w:tr>
  </w:tr>
    </w:tbl>
    <w:p/>
    <w:p>
      <w:pPr>
        <w:pStyle w:val="Heading1"/>
      </w:pPr>
      <w:r>
        <w:t>4. Production &amp; Stripping Ratio Performance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Subsidiary / Entity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Opencast (MT)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Underground (MT)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Total (MT)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Growth %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Coal Basin / Field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Stripping Ratio</w:t>
            </w:r>
          </w:p>
        </w:tc>
      </w:tr>
      <w:tr>
        <w:tc>
          <w:tcPr>
            <w:tcW w:type="dxa" w:w="1419"/>
          </w:tcPr>
          <w:p>
            <w:r>
              <w:t>MCL (Mahanadi Coalfields Ltd)</w:t>
            </w:r>
          </w:p>
        </w:tc>
        <w:tc>
          <w:tcPr>
            <w:tcW w:type="dxa" w:w="1419"/>
          </w:tcPr>
          <w:p>
            <w:r>
              <w:t>181.50</w:t>
            </w:r>
          </w:p>
        </w:tc>
        <w:tc>
          <w:tcPr>
            <w:tcW w:type="dxa" w:w="1419"/>
          </w:tcPr>
          <w:p>
            <w:r>
              <w:t>11.80</w:t>
            </w:r>
          </w:p>
        </w:tc>
        <w:tc>
          <w:tcPr>
            <w:tcW w:type="dxa" w:w="1419"/>
          </w:tcPr>
          <w:p>
            <w:r>
              <w:t>193.30</w:t>
            </w:r>
          </w:p>
        </w:tc>
        <w:tc>
          <w:tcPr>
            <w:tcW w:type="dxa" w:w="1419"/>
          </w:tcPr>
          <w:p>
            <w:r>
              <w:t>+11.9%</w:t>
            </w:r>
          </w:p>
        </w:tc>
        <w:tc>
          <w:tcPr>
            <w:tcW w:type="dxa" w:w="1419"/>
          </w:tcPr>
          <w:p>
            <w:r>
              <w:t>Talcher / Ib Valley (Odisha)</w:t>
            </w:r>
          </w:p>
        </w:tc>
        <w:tc>
          <w:tcPr>
            <w:tcW w:type="dxa" w:w="1419"/>
          </w:tcPr>
          <w:p>
            <w:r>
              <w:t>1.18 m³/t</w:t>
            </w:r>
          </w:p>
        </w:tc>
      </w:tr>
    </w:tbl>
    <w:p/>
    <w:p>
      <w:pPr>
        <w:pStyle w:val="Heading1"/>
      </w:pPr>
      <w:r>
        <w:t>5. Audit Trail &amp; Grounded Spatial Citations</w:t>
      </w:r>
    </w:p>
    <w:p>
      <w:pPr>
        <w:pStyle w:val="ListBullet"/>
      </w:pPr>
      <w:r/>
      <w:r>
        <w:rPr>
          <w:b/>
        </w:rPr>
        <w:t>Reference [1]</w:t>
      </w:r>
      <w:r>
        <w:t>: `Coal_Ministry_Mine_Plan_Guidelines.pdf` (Page 21) | BBox: `[119.42, 558.06, 467.86, 573.14]`</w:t>
      </w:r>
    </w:p>
    <w:p>
      <w:pPr>
        <w:pStyle w:val="Quote"/>
      </w:pPr>
      <w:r>
        <w:t>*Evidence Quote*: "interval, location of BH (borehole)..."</w:t>
      </w:r>
    </w:p>
    <w:p>
      <w:pPr>
        <w:pStyle w:val="ListBullet"/>
      </w:pPr>
      <w:r/>
      <w:r>
        <w:rPr>
          <w:b/>
        </w:rPr>
        <w:t>Reference [2]</w:t>
      </w:r>
      <w:r>
        <w:t>: `CMPDI_RI_I_Asansol_Exploration_Report_2023.pdf` (Page 1) | BBox: `[57.0, 226.94, 541.2, 237.24]`</w:t>
      </w:r>
    </w:p>
    <w:p>
      <w:pPr>
        <w:pStyle w:val="Quote"/>
      </w:pPr>
      <w:r>
        <w:t>*Evidence Quote*: "Meterage Drilled</w:t>
      </w:r>
    </w:p>
    <w:p>
      <w:r>
        <w:t>1.20 Lakh m</w:t>
      </w:r>
    </w:p>
    <w:p>
      <w:r>
        <w:t>1.31 Lakh Metres</w:t>
      </w:r>
    </w:p>
    <w:p>
      <w:r>
        <w:t>Raniganj / Barakar Formations..."</w:t>
      </w:r>
    </w:p>
    <w:p>
      <w:pPr>
        <w:pStyle w:val="ListBullet"/>
      </w:pPr>
      <w:r/>
      <w:r>
        <w:rPr>
          <w:b/>
        </w:rPr>
        <w:t>Reference [3]</w:t>
      </w:r>
      <w:r>
        <w:t>: `CMPDI_RI_I_Asansol_Exploration_Report_2024.pdf` (Page 1) | BBox: `[57.0, 226.94, 541.2, 237.24]`</w:t>
      </w:r>
    </w:p>
    <w:p>
      <w:pPr>
        <w:pStyle w:val="Quote"/>
      </w:pPr>
      <w:r>
        <w:t>*Evidence Quote*: "Meterage Drilled</w:t>
      </w:r>
    </w:p>
    <w:p>
      <w:r>
        <w:t>1.20 Lakh m</w:t>
      </w:r>
    </w:p>
    <w:p>
      <w:r>
        <w:t>1.31 Lakh Metres</w:t>
      </w:r>
    </w:p>
    <w:p>
      <w:r>
        <w:t>Raniganj / Barakar Formations..."</w:t>
      </w:r>
    </w:p>
    <w:p>
      <w:pPr>
        <w:pStyle w:val="ListBullet"/>
      </w:pPr>
      <w:r/>
      <w:r>
        <w:rPr>
          <w:b/>
        </w:rPr>
        <w:t>Reference [4]</w:t>
      </w:r>
      <w:r>
        <w:t>: `Coal_Ministry_Mine_Plan_Guidelines.pdf` (Page 27) | BBox: `[74.18, 410.32, 402.67, 437.4]`</w:t>
      </w:r>
    </w:p>
    <w:p>
      <w:pPr>
        <w:pStyle w:val="Quote"/>
      </w:pPr>
      <w:r>
        <w:t>*Evidence Quote*: "2.2.7 Overall borehole density within the mining area (no./ sq...."</w:t>
      </w:r>
    </w:p>
    <w:p>
      <w:pPr>
        <w:pStyle w:val="ListBullet"/>
      </w:pPr>
      <w:r/>
      <w:r>
        <w:rPr>
          <w:b/>
        </w:rPr>
        <w:t>Reference [5]</w:t>
      </w:r>
      <w:r>
        <w:t>: `CMPDI_Geological_Exploration_Report_2023_24.pdf` (Page 1) | BBox: `[60.0, 211.29, 552.0, 280.34]`</w:t>
      </w:r>
    </w:p>
    <w:p>
      <w:pPr>
        <w:pStyle w:val="Quote"/>
      </w:pPr>
      <w:r>
        <w:t>*Evidence Quote*: "CMPDI deployed 154 mechanical and hydrostatic drilling rigs across Gondwana coal basins during the year...."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