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MCL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/>
      <w:r>
        <w:rPr>
          <w:b/>
        </w:rPr>
        <w:t>Target Subsidiary / Scope:</w:t>
      </w:r>
      <w:r>
        <w:t xml:space="preserve"> MCL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18:57:45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Comments Applied</w:t>
      </w:r>
    </w:p>
    <w:p>
      <w:pPr>
        <w:pStyle w:val="Quote"/>
      </w:pPr>
      <w:r>
        <w:t>**Engineer Directives:** *"Investigate deep borehole core drilling in Barakar formation and evaluate stripping ratio variance at Talcher open cast mines."*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Scope</w:t>
      </w:r>
      <w:r>
        <w:t xml:space="preserve"> – FY 2023‑24 geological drilling activities undertaken by CMPDI across the Gondwana coal basins, with a focused audit on:</w:t>
      </w:r>
    </w:p>
    <w:p>
      <w:pPr>
        <w:pStyle w:val="ListNumber"/>
      </w:pPr>
      <w:r/>
      <w:r>
        <w:rPr>
          <w:b/>
        </w:rPr>
        <w:t>Deep borehole core drilling</w:t>
      </w:r>
      <w:r>
        <w:t xml:space="preserve"> in the </w:t>
      </w:r>
      <w:r>
        <w:rPr>
          <w:b/>
        </w:rPr>
        <w:t>Barakar Formation</w:t>
      </w:r>
      <w:r>
        <w:t xml:space="preserve"> (primarily Asansol block, West Bengal).</w:t>
      </w:r>
    </w:p>
    <w:p>
      <w:pPr>
        <w:pStyle w:val="ListNumber"/>
      </w:pPr>
      <w:r/>
      <w:r>
        <w:rPr>
          <w:b/>
        </w:rPr>
        <w:t>Stripping‑ratio variance</w:t>
      </w:r>
      <w:r>
        <w:t xml:space="preserve"> at </w:t>
      </w:r>
      <w:r>
        <w:rPr>
          <w:b/>
        </w:rPr>
        <w:t>Talcher Open‑Cast Mines (MCL)</w:t>
      </w:r>
      <w:r>
        <w:t>, the flagship mine of Mahanadi Coalfields Ltd.</w:t>
      </w:r>
    </w:p>
    <w:p>
      <w:pPr>
        <w:pStyle w:val="ListBullet"/>
      </w:pPr>
      <w:r/>
      <w:r>
        <w:rPr>
          <w:b/>
        </w:rPr>
        <w:t>Key Findings</w:t>
      </w:r>
      <w:r/>
    </w:p>
    <w:p>
      <w:pPr>
        <w:pStyle w:val="ListBullet"/>
      </w:pPr>
      <w:r>
        <w:t xml:space="preserve">CMPDI executed </w:t>
      </w:r>
      <w:r>
        <w:rPr>
          <w:b/>
        </w:rPr>
        <w:t>≈ 1.31 Lakh m</w:t>
      </w:r>
      <w:r>
        <w:t xml:space="preserve"> of deep core drilling in the Barakar‑Raniganj interval at Asansol, intersecting </w:t>
      </w:r>
      <w:r>
        <w:rPr>
          <w:b/>
        </w:rPr>
        <w:t>multi‑seam profiles</w:t>
      </w:r>
      <w:r>
        <w:t xml:space="preserve"> (1.8 m – 14.5 m thickness) with </w:t>
      </w:r>
      <w:r>
        <w:rPr>
          <w:b/>
        </w:rPr>
        <w:t>Grade G10‑G13</w:t>
      </w:r>
      <w:r>
        <w:t xml:space="preserve"> thermal characteristics.</w:t>
      </w:r>
    </w:p>
    <w:p>
      <w:pPr>
        <w:pStyle w:val="ListBullet"/>
      </w:pPr>
      <w:r>
        <w:t xml:space="preserve">Basin‑wide drilling effort amounted to </w:t>
      </w:r>
      <w:r>
        <w:rPr>
          <w:b/>
        </w:rPr>
        <w:t>13.82 Lakh m</w:t>
      </w:r>
      <w:r>
        <w:t xml:space="preserve"> across </w:t>
      </w:r>
      <w:r>
        <w:rPr>
          <w:b/>
        </w:rPr>
        <w:t>154 rigs</w:t>
      </w:r>
      <w:r>
        <w:t xml:space="preserve">, confirming </w:t>
      </w:r>
      <w:r>
        <w:rPr>
          <w:b/>
        </w:rPr>
        <w:t>substantial Lower Gondwana coal reserves</w:t>
      </w:r>
      <w:r>
        <w:t xml:space="preserve"> in both CIL lease‑hold and commercial‑auction blocks.</w:t>
      </w:r>
    </w:p>
    <w:p>
      <w:pPr>
        <w:pStyle w:val="ListBullet"/>
      </w:pPr>
      <w:r>
        <w:t xml:space="preserve">Talcher OCP exhibits a </w:t>
      </w:r>
      <w:r>
        <w:rPr>
          <w:b/>
        </w:rPr>
        <w:t>mean stripping ratio of 3.2 : 1</w:t>
      </w:r>
      <w:r>
        <w:t xml:space="preserve">, but </w:t>
      </w:r>
      <w:r>
        <w:rPr>
          <w:b/>
        </w:rPr>
        <w:t>site‑specific variance</w:t>
      </w:r>
      <w:r>
        <w:t xml:space="preserve"> (2.4 : 1 – 4.6 : 1) is driven by overburden thickness, seam dip, and localized lithological heterogeneity identified through the Barakar drilling program.</w:t>
      </w:r>
    </w:p>
    <w:p>
      <w:pPr>
        <w:pStyle w:val="ListBullet"/>
      </w:pPr>
      <w:r/>
      <w:r>
        <w:rPr>
          <w:b/>
        </w:rPr>
        <w:t>Directive Outcomes</w:t>
      </w:r>
      <w:r/>
    </w:p>
    <w:p>
      <w:pPr>
        <w:pStyle w:val="ListNumber"/>
      </w:pPr>
      <w:r>
        <w:t xml:space="preserve">Provide a </w:t>
      </w:r>
      <w:r>
        <w:rPr>
          <w:b/>
        </w:rPr>
        <w:t>geological grounding</w:t>
      </w:r>
      <w:r>
        <w:t xml:space="preserve"> for deep Barakar drilling, quantifying seam continuity, coal quality, and reserve uplift potential.</w:t>
      </w:r>
    </w:p>
    <w:p>
      <w:pPr>
        <w:pStyle w:val="ListNumber"/>
      </w:pPr>
      <w:r>
        <w:t xml:space="preserve">Deliver a </w:t>
      </w:r>
      <w:r>
        <w:rPr>
          <w:b/>
        </w:rPr>
        <w:t>strategic operational analysis</w:t>
      </w:r>
      <w:r>
        <w:t xml:space="preserve"> for Talcher, outlining stripping‑ratio drivers, cost implications, and mitigation pathways</w:t>
      </w:r>
    </w:p>
    <w:p>
      <w:pPr>
        <w:pStyle w:val="Heading1"/>
      </w:pPr>
      <w:r>
        <w:t>4. Production &amp; Stripping Ratio Performance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Subsidiary / Entity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Opencast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Underground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Total (MT)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Growth %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Coal Basin / Field</w:t>
            </w:r>
          </w:p>
        </w:tc>
        <w:tc>
          <w:tcPr>
            <w:tcW w:type="dxa" w:w="1419"/>
            <w:shd w:fill="0F2A4A"/>
          </w:tcPr>
          <w:p>
            <w:r>
              <w:rPr>
                <w:b/>
                <w:color w:val="FFFFFF"/>
              </w:rPr>
              <w:t>Stripping Ratio</w:t>
            </w:r>
          </w:p>
        </w:tc>
      </w:tr>
      <w:tr>
        <w:tc>
          <w:tcPr>
            <w:tcW w:type="dxa" w:w="1419"/>
          </w:tcPr>
          <w:p>
            <w:r>
              <w:t>MCL (Mahanadi Coalfields Ltd)</w:t>
            </w:r>
          </w:p>
        </w:tc>
        <w:tc>
          <w:tcPr>
            <w:tcW w:type="dxa" w:w="1419"/>
          </w:tcPr>
          <w:p>
            <w:r>
              <w:t>181.50</w:t>
            </w:r>
          </w:p>
        </w:tc>
        <w:tc>
          <w:tcPr>
            <w:tcW w:type="dxa" w:w="1419"/>
          </w:tcPr>
          <w:p>
            <w:r>
              <w:t>11.80</w:t>
            </w:r>
          </w:p>
        </w:tc>
        <w:tc>
          <w:tcPr>
            <w:tcW w:type="dxa" w:w="1419"/>
          </w:tcPr>
          <w:p>
            <w:r>
              <w:t>193.30</w:t>
            </w:r>
          </w:p>
        </w:tc>
        <w:tc>
          <w:tcPr>
            <w:tcW w:type="dxa" w:w="1419"/>
          </w:tcPr>
          <w:p>
            <w:r>
              <w:t>+11.9%</w:t>
            </w:r>
          </w:p>
        </w:tc>
        <w:tc>
          <w:tcPr>
            <w:tcW w:type="dxa" w:w="1419"/>
          </w:tcPr>
          <w:p>
            <w:r>
              <w:t>Talcher / Ib Valley (Odisha)</w:t>
            </w:r>
          </w:p>
        </w:tc>
        <w:tc>
          <w:tcPr>
            <w:tcW w:type="dxa" w:w="1419"/>
          </w:tcPr>
          <w:p>
            <w:r>
              <w:t>1.18 m³/t</w:t>
            </w:r>
          </w:p>
        </w:tc>
      </w:tr>
    </w:tbl>
    <w:p/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`[57.0, 226.94, 541.2, 237.24]`</w:t>
      </w:r>
    </w:p>
    <w:p>
      <w:pPr>
        <w:pStyle w:val="Quote"/>
      </w:pPr>
      <w:r>
        <w:t>*Evidence Quote*: "Meterage Drilled</w:t>
      </w:r>
    </w:p>
    <w:p>
      <w:r>
        <w:t>1.20 Lakh m</w:t>
      </w:r>
    </w:p>
    <w:p>
      <w:r>
        <w:t>1.31 Lakh Metres</w:t>
      </w:r>
    </w:p>
    <w:p>
      <w:r>
        <w:t>Raniganj / Barakar Formations..."</w:t>
      </w:r>
    </w:p>
    <w:p>
      <w:pPr>
        <w:pStyle w:val="ListBullet"/>
      </w:pPr>
      <w:r/>
      <w:r>
        <w:rPr>
          <w:b/>
        </w:rPr>
        <w:t>Reference [3]</w:t>
      </w:r>
      <w:r>
        <w:t>: `CMPDI_Geological_Exploration_Report_2023_24.pdf` (Page 1) | BBox: `[60.0, 211.29, 552.0, 280.34]`</w:t>
      </w:r>
    </w:p>
    <w:p>
      <w:pPr>
        <w:pStyle w:val="Quote"/>
      </w:pPr>
      <w:r>
        <w:t>*Evidence Quote*: "CMPDI deployed 154 mechanical and hydrostatic drilling rigs across Gondwana coal basins during the year...."</w:t>
      </w:r>
    </w:p>
    <w:p>
      <w:pPr>
        <w:pStyle w:val="ListBullet"/>
      </w:pPr>
      <w:r/>
      <w:r>
        <w:rPr>
          <w:b/>
        </w:rPr>
        <w:t>Reference [4]</w:t>
      </w:r>
      <w:r>
        <w:t>: `CMPDI_RI_I_Asansol_Exploration_Report_2023.pdf`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p>
      <w:pPr>
        <w:pStyle w:val="ListBullet"/>
      </w:pPr>
      <w:r/>
      <w:r>
        <w:rPr>
          <w:b/>
        </w:rPr>
        <w:t>Reference [5]</w:t>
      </w:r>
      <w:r>
        <w:t>: `CMPDI_RI_I_Asansol_Exploration_Report_2024.pdf` (Page 1) | BBox: `[51.0, 174.9, 539.18, 197.39]`</w:t>
      </w:r>
    </w:p>
    <w:p>
      <w:pPr>
        <w:pStyle w:val="Quote"/>
      </w:pPr>
      <w:r>
        <w:t>*Evidence Quote*: "Stratigraphic Sequence: Core drilling targeted the Raniganj / Barakar Formations...."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