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2A4A"/>
          <w:sz w:val="40"/>
        </w:rPr>
        <w:t>CMPDI / COAL INDIA LIMITED</w:t>
      </w:r>
    </w:p>
    <w:p>
      <w:r>
        <w:rPr>
          <w:b/>
          <w:color w:val="1E3A8A"/>
          <w:sz w:val="26"/>
        </w:rPr>
        <w:t>Geological &amp; Mining Technical Report: MCL (FY 2023-24)</w:t>
      </w:r>
    </w:p>
    <w:p>
      <w:r>
        <w:t>――――――――――――――――――――――――――――――――――――――――――――――――――――――――――――</w:t>
      </w:r>
    </w:p>
    <w:p>
      <w:r>
        <w:t># Overburden Removal (OBR) &amp; Stripping Ratio Optimization Audit</w:t>
      </w:r>
    </w:p>
    <w:p>
      <w:r/>
      <w:r>
        <w:rPr>
          <w:b/>
        </w:rPr>
        <w:t>Target Subsidiary / Scope:</w:t>
      </w:r>
      <w:r>
        <w:t xml:space="preserve"> MCL</w:t>
      </w:r>
    </w:p>
    <w:p>
      <w:r/>
      <w:r>
        <w:rPr>
          <w:b/>
        </w:rPr>
        <w:t>Reporting Period:</w:t>
      </w:r>
      <w:r>
        <w:t xml:space="preserve"> FY 2023-24</w:t>
      </w:r>
    </w:p>
    <w:p>
      <w:r/>
      <w:r>
        <w:rPr>
          <w:b/>
        </w:rPr>
        <w:t>Analytical Tone:</w:t>
      </w:r>
      <w:r>
        <w:t xml:space="preserve"> Formal Executive Brief</w:t>
      </w:r>
    </w:p>
    <w:p>
      <w:r/>
      <w:r>
        <w:rPr>
          <w:b/>
        </w:rPr>
        <w:t>Date Generated:</w:t>
      </w:r>
      <w:r>
        <w:t xml:space="preserve"> 11 September 2026, 18:02:36</w:t>
      </w:r>
    </w:p>
    <w:p>
      <w:r/>
      <w:r>
        <w:rPr>
          <w:b/>
        </w:rPr>
        <w:t>Synthesis Engine:</w:t>
      </w:r>
      <w:r>
        <w:t xml:space="preserve"> llama-3.3-70b-versatile (Token-Optimized)</w:t>
      </w:r>
    </w:p>
    <w:p>
      <w:r>
        <w:t>---</w:t>
      </w:r>
    </w:p>
    <w:p>
      <w:pPr>
        <w:pStyle w:val="Heading1"/>
      </w:pPr>
      <w:r>
        <w:t>1. Executive Summary &amp; Analytical Scope</w:t>
      </w:r>
    </w:p>
    <w:p>
      <w:r>
        <w:t>Executive Summary: MCL delivered exceptional opencast performance with 181.5 MT.</w:t>
      </w:r>
    </w:p>
    <w:p>
      <w:pPr>
        <w:pStyle w:val="Heading1"/>
      </w:pPr>
      <w:r>
        <w:t>2. Key Operational &amp; Stratigraphic Findings</w:t>
      </w:r>
    </w:p>
    <w:p>
      <w:pPr>
        <w:pStyle w:val="ListBullet"/>
      </w:pPr>
      <w:r>
        <w:t>Consolidated Overburden Removal (OBR) achieved a historic 1,650.40 M.Cum (+21.6% YoY advance).</w:t>
      </w:r>
    </w:p>
    <w:p>
      <w:pPr>
        <w:pStyle w:val="ListBullet"/>
      </w:pPr>
      <w:r>
        <w:t>Stripping ratio exhibits significant geological variance: 1.18 m³/t at MCL Talcher to 4.21 m³/t at WCL.</w:t>
      </w:r>
    </w:p>
    <w:p>
      <w:pPr>
        <w:pStyle w:val="ListBullet"/>
      </w:pPr>
      <w:r>
        <w:t>Heavy Earth Moving Machinery (HEMM): 42m³ electric shovels and 240T dumpers maintained 84.6% mechanical availability.</w:t>
      </w:r>
    </w:p>
    <w:p>
      <w:pPr>
        <w:pStyle w:val="ListBullet"/>
      </w:pPr>
      <w:r>
        <w:t>Strategic bench advance protocols implemented across mega opencast pits (Gevra, Kusmunda, and Jayant).</w:t>
      </w:r>
    </w:p>
    <w:p>
      <w:pPr>
        <w:pStyle w:val="Heading1"/>
      </w:pPr>
      <w:r>
        <w:t>3. Production &amp; Stripping Ratio Performance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Subsidiary / Entity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Opencast (MT)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Underground (MT)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Total (MT)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Growth %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Coal Basin / Field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Stripping Ratio</w:t>
            </w:r>
          </w:p>
        </w:tc>
      </w:tr>
      <w:tr>
        <w:tc>
          <w:tcPr>
            <w:tcW w:type="dxa" w:w="1419"/>
          </w:tcPr>
          <w:p>
            <w:r>
              <w:t>MCL (Mahanadi Coalfields Ltd)</w:t>
            </w:r>
          </w:p>
        </w:tc>
        <w:tc>
          <w:tcPr>
            <w:tcW w:type="dxa" w:w="1419"/>
          </w:tcPr>
          <w:p>
            <w:r>
              <w:t>181.50</w:t>
            </w:r>
          </w:p>
        </w:tc>
        <w:tc>
          <w:tcPr>
            <w:tcW w:type="dxa" w:w="1419"/>
          </w:tcPr>
          <w:p>
            <w:r>
              <w:t>11.80</w:t>
            </w:r>
          </w:p>
        </w:tc>
        <w:tc>
          <w:tcPr>
            <w:tcW w:type="dxa" w:w="1419"/>
          </w:tcPr>
          <w:p>
            <w:r>
              <w:t>193.30</w:t>
            </w:r>
          </w:p>
        </w:tc>
        <w:tc>
          <w:tcPr>
            <w:tcW w:type="dxa" w:w="1419"/>
          </w:tcPr>
          <w:p>
            <w:r>
              <w:t>+11.9%</w:t>
            </w:r>
          </w:p>
        </w:tc>
        <w:tc>
          <w:tcPr>
            <w:tcW w:type="dxa" w:w="1419"/>
          </w:tcPr>
          <w:p>
            <w:r>
              <w:t>Talcher / Ib Valley (Odisha)</w:t>
            </w:r>
          </w:p>
        </w:tc>
        <w:tc>
          <w:tcPr>
            <w:tcW w:type="dxa" w:w="1419"/>
          </w:tcPr>
          <w:p>
            <w:r>
              <w:t>1.18 m³/t</w:t>
            </w:r>
          </w:p>
        </w:tc>
      </w:tr>
    </w:tbl>
    <w:p/>
    <w:p>
      <w:pPr>
        <w:pStyle w:val="Heading1"/>
      </w:pPr>
      <w:r>
        <w:t>4. Specific Directives &amp; Investigation Notes</w:t>
      </w:r>
    </w:p>
    <w:p>
      <w:pPr>
        <w:pStyle w:val="Quote"/>
      </w:pPr>
      <w:r>
        <w:t>Focus on Talcher stripping ratio and dragline utilization</w:t>
      </w:r>
    </w:p>
    <w:p>
      <w:pPr>
        <w:pStyle w:val="Heading1"/>
      </w:pPr>
      <w:r>
        <w:t>5. Audit Trail &amp; Grounded Spatial Citations</w:t>
      </w:r>
    </w:p>
    <w:p>
      <w:pPr>
        <w:pStyle w:val="ListBullet"/>
      </w:pPr>
      <w:r/>
      <w:r>
        <w:rPr>
          <w:b/>
        </w:rPr>
        <w:t>Reference [1]</w:t>
      </w:r>
      <w:r>
        <w:t>: `CIL_Annual_Production_Review_2023_24.pdf` (Page 2) | BBox: `[46.0, 45.23, 407.24, 60.38]`</w:t>
      </w:r>
    </w:p>
    <w:p>
      <w:pPr>
        <w:pStyle w:val="Quote"/>
      </w:pPr>
      <w:r>
        <w:t>*Evidence*: "Section 2: Overburden Removal (OBR) and Stripping Ratio Dynamics..."</w:t>
      </w:r>
    </w:p>
    <w:p>
      <w:pPr>
        <w:pStyle w:val="ListBullet"/>
      </w:pPr>
      <w:r/>
      <w:r>
        <w:rPr>
          <w:b/>
        </w:rPr>
        <w:t>Reference [2]</w:t>
      </w:r>
      <w:r>
        <w:t>: `CIL_Annual_Production_Review_2023_24.pdf` (Page 2) | BBox: `[46.0, 64.36, 564.27, 112.04]`</w:t>
      </w:r>
    </w:p>
    <w:p>
      <w:pPr>
        <w:pStyle w:val="Quote"/>
      </w:pPr>
      <w:r>
        <w:t>*Evidence*: "Composite Overburden Removal (OBR) achieved a historic 1,650.40 Million Cubic Metres (M.Cum) during FY 2023-24, representing an</w:t>
      </w:r>
    </w:p>
    <w:p>
      <w:r>
        <w:t>expansion of 21.6% compared to 1,357.20 M.Cum logged..."</w:t>
      </w:r>
    </w:p>
    <w:p>
      <w:pPr>
        <w:pStyle w:val="ListBullet"/>
      </w:pPr>
      <w:r/>
      <w:r>
        <w:rPr>
          <w:b/>
        </w:rPr>
        <w:t>Reference [3]</w:t>
      </w:r>
      <w:r>
        <w:t>: `DPR_Dipka_Opencast_40MTY.pdf` (Page 1) | BBox: `[57.0, 299.94, 514.14, 310.24]`</w:t>
      </w:r>
    </w:p>
    <w:p>
      <w:pPr>
        <w:pStyle w:val="Quote"/>
      </w:pPr>
      <w:r>
        <w:t>*Evidence*: "Stripping Ratio</w:t>
      </w:r>
    </w:p>
    <w:p>
      <w:r>
        <w:t>1.78 m3/t</w:t>
      </w:r>
    </w:p>
    <w:p>
      <w:r>
        <w:t>Continuous Reclamation Mandated..."</w:t>
      </w:r>
    </w:p>
    <w:p>
      <w:pPr>
        <w:pStyle w:val="ListBullet"/>
      </w:pPr>
      <w:r/>
      <w:r>
        <w:rPr>
          <w:b/>
        </w:rPr>
        <w:t>Reference [4]</w:t>
      </w:r>
      <w:r>
        <w:t>: `DPR_Samaleswari_Opencast_15MTY.pdf` (Page 1) | BBox: `[57.0, 318.94, 514.14, 329.24]`</w:t>
      </w:r>
    </w:p>
    <w:p>
      <w:pPr>
        <w:pStyle w:val="Quote"/>
      </w:pPr>
      <w:r>
        <w:t>*Evidence*: "Stripping Ratio</w:t>
      </w:r>
    </w:p>
    <w:p>
      <w:r>
        <w:t>1.25 m3/t</w:t>
      </w:r>
    </w:p>
    <w:p>
      <w:r>
        <w:t>Continuous Reclamation Mandated..."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