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2A4A"/>
          <w:sz w:val="40"/>
        </w:rPr>
        <w:t>CMPDI / COAL INDIA LIMITED</w:t>
      </w:r>
    </w:p>
    <w:p>
      <w:r>
        <w:rPr>
          <w:b/>
          <w:color w:val="1E3A8A"/>
          <w:sz w:val="26"/>
        </w:rPr>
        <w:t>Geological &amp; Mining Technical Report: SECL (FY 2023-24)</w:t>
      </w:r>
    </w:p>
    <w:p>
      <w:r>
        <w:t>――――――――――――――――――――――――――――――――――――――――――――――――――――――――――――</w:t>
      </w:r>
    </w:p>
    <w:p>
      <w:r>
        <w:t># Overburden Removal (OBR) &amp; Stripping Ratio Optimization Audit</w:t>
      </w:r>
    </w:p>
    <w:p>
      <w:r/>
      <w:r>
        <w:rPr>
          <w:b/>
        </w:rPr>
        <w:t>Target Subsidiary / Scope:</w:t>
      </w:r>
      <w:r>
        <w:t xml:space="preserve"> SECL</w:t>
      </w:r>
    </w:p>
    <w:p>
      <w:r/>
      <w:r>
        <w:rPr>
          <w:b/>
        </w:rPr>
        <w:t>Reporting Period:</w:t>
      </w:r>
      <w:r>
        <w:t xml:space="preserve"> FY 2023-24</w:t>
      </w:r>
    </w:p>
    <w:p>
      <w:r/>
      <w:r>
        <w:rPr>
          <w:b/>
        </w:rPr>
        <w:t>Analytical Tone:</w:t>
      </w:r>
      <w:r>
        <w:t xml:space="preserve"> Formal Executive Brief</w:t>
      </w:r>
    </w:p>
    <w:p>
      <w:r/>
      <w:r>
        <w:rPr>
          <w:b/>
        </w:rPr>
        <w:t>Date Generated:</w:t>
      </w:r>
      <w:r>
        <w:t xml:space="preserve"> 11 September 2026, 18:37:51</w:t>
      </w:r>
    </w:p>
    <w:p>
      <w:r/>
      <w:r>
        <w:rPr>
          <w:b/>
        </w:rPr>
        <w:t>Synthesis Engine:</w:t>
      </w:r>
      <w:r>
        <w:t xml:space="preserve"> qwen/qwen3.8-27b (Token-Optimized)</w:t>
      </w:r>
    </w:p>
    <w:p>
      <w:r>
        <w:t>---</w:t>
      </w:r>
    </w:p>
    <w:p>
      <w:pPr>
        <w:pStyle w:val="Heading1"/>
      </w:pPr>
      <w:r>
        <w:t>1. Executive Summary &amp; Analytical Scope</w:t>
      </w:r>
    </w:p>
    <w:p>
      <w:r>
        <w:t>Hi there! It is great to connect with you. I know the data in our Annual Production Reviews can sometimes feel like a wall of numbers, so let’s break down the Overburden Removal (OBR) and stripping ratio dynamics for FY 2023-24 in plain English.</w:t>
      </w:r>
    </w:p>
    <w:p>
      <w:r>
        <w:t>First, a quick definition to keep us on the same page:</w:t>
      </w:r>
    </w:p>
    <w:p>
      <w:pPr>
        <w:pStyle w:val="ListBullet"/>
      </w:pPr>
      <w:r/>
      <w:r>
        <w:rPr>
          <w:b/>
        </w:rPr>
        <w:t>Overburden Removal (OBR):</w:t>
      </w:r>
      <w:r>
        <w:t xml:space="preserve"> This is the total volume of soil, rock, and waste material we have to dig out and move aside to get to the coal seam underneath.</w:t>
      </w:r>
    </w:p>
    <w:p>
      <w:pPr>
        <w:pStyle w:val="ListBullet"/>
      </w:pPr>
      <w:r/>
      <w:r>
        <w:rPr>
          <w:b/>
        </w:rPr>
        <w:t>Stripping Ratio:</w:t>
      </w:r>
      <w:r>
        <w:t xml:space="preserve"> This is the "efficiency" metric. It tells us how many cubic meters of waste we had to remove for every single ton of coal we produced. A lower number is generally better because it means we are digging less waste to get the same amount of coal.</w:t>
      </w:r>
    </w:p>
    <w:p>
      <w:r>
        <w:t>Here is the breakdown of the key figures and insights from the FY 2023-24 records:</w:t>
      </w:r>
    </w:p>
    <w:p>
      <w:pPr>
        <w:pStyle w:val="Heading2"/>
      </w:pPr>
      <w:r>
        <w:t>📊 Company-Wide Performance (CIL)</w:t>
      </w:r>
    </w:p>
    <w:p>
      <w:pPr>
        <w:pStyle w:val="ListBullet"/>
      </w:pPr>
      <w:r/>
      <w:r>
        <w:rPr>
          <w:b/>
        </w:rPr>
        <w:t>Total OBR:</w:t>
      </w:r>
      <w:r>
        <w:t xml:space="preserve"> We achieved a historic </w:t>
      </w:r>
      <w:r>
        <w:rPr>
          <w:b/>
        </w:rPr>
        <w:t>1,650.40 Million Cubic Metres (M.Cum)</w:t>
      </w:r>
      <w:r>
        <w:t xml:space="preserve"> of overburden removal.</w:t>
      </w:r>
    </w:p>
    <w:p>
      <w:pPr>
        <w:pStyle w:val="ListBullet"/>
      </w:pPr>
      <w:r/>
      <w:r>
        <w:rPr>
          <w:b/>
        </w:rPr>
        <w:t>Growth:</w:t>
      </w:r>
      <w:r>
        <w:t xml:space="preserve"> This was a </w:t>
      </w:r>
      <w:r>
        <w:rPr>
          <w:b/>
        </w:rPr>
        <w:t>21.6% increase</w:t>
      </w:r>
      <w:r>
        <w:t xml:space="preserve"> compared to the 1,357.20 M.Cum logged in the previous year (FY 2022-23).</w:t>
      </w:r>
    </w:p>
    <w:p>
      <w:pPr>
        <w:pStyle w:val="ListBullet"/>
      </w:pPr>
      <w:r/>
      <w:r>
        <w:rPr>
          <w:b/>
        </w:rPr>
        <w:t>Average Stripping Ratio:</w:t>
      </w:r>
      <w:r>
        <w:t xml:space="preserve"> The company-wide average stabilized at </w:t>
      </w:r>
      <w:r>
        <w:rPr>
          <w:b/>
        </w:rPr>
        <w:t>2.48 m³/t</w:t>
      </w:r>
      <w:r>
        <w:t>. This means, on average, we removed 2.48 cubic meters of waste for every ton of coal.</w:t>
      </w:r>
    </w:p>
    <w:p>
      <w:pPr>
        <w:pStyle w:val="Heading2"/>
      </w:pPr>
      <w:r>
        <w:t>⛏️ Regional Variations (Why the numbers differ)</w:t>
      </w:r>
    </w:p>
    <w:p>
      <w:r>
        <w:t>The stripping ratio varies significantly depending on the geology and depth of the coal seams in different regions:</w:t>
      </w:r>
    </w:p>
    <w:p>
      <w:pPr>
        <w:pStyle w:val="ListBullet"/>
      </w:pPr>
      <w:r/>
      <w:r>
        <w:rPr>
          <w:b/>
        </w:rPr>
        <w:t>WCL (Western Coalfields Limited):</w:t>
      </w:r>
      <w:r>
        <w:t xml:space="preserve"> Recorded the </w:t>
      </w:r>
      <w:r>
        <w:rPr>
          <w:b/>
        </w:rPr>
        <w:t>highest</w:t>
      </w:r>
      <w:r>
        <w:t xml:space="preserve"> stripping ratio at </w:t>
      </w:r>
      <w:r>
        <w:rPr>
          <w:b/>
        </w:rPr>
        <w:t>4.21 m³/t</w:t>
      </w:r>
      <w:r>
        <w:t>.</w:t>
      </w:r>
    </w:p>
    <w:p>
      <w:pPr>
        <w:pStyle w:val="ListBullet"/>
      </w:pPr>
      <w:r>
        <w:t>*Why?* This is due to "deep pitching seams," meaning the coal is located deeper underground, requiring more waste removal to access it.</w:t>
      </w:r>
    </w:p>
    <w:p>
      <w:pPr>
        <w:pStyle w:val="ListBullet"/>
      </w:pPr>
      <w:r/>
      <w:r>
        <w:rPr>
          <w:b/>
        </w:rPr>
        <w:t>MCL (Maharashtra Coalfields Limited):</w:t>
      </w:r>
      <w:r>
        <w:t xml:space="preserve"> Sustained the </w:t>
      </w:r>
      <w:r>
        <w:rPr>
          <w:b/>
        </w:rPr>
        <w:t>lowest</w:t>
      </w:r>
      <w:r>
        <w:t xml:space="preserve"> stripping ratio at </w:t>
      </w:r>
      <w:r>
        <w:rPr>
          <w:b/>
        </w:rPr>
        <w:t>1.18 m³/t</w:t>
      </w:r>
      <w:r>
        <w:t>.</w:t>
      </w:r>
    </w:p>
    <w:p>
      <w:pPr>
        <w:pStyle w:val="ListBullet"/>
      </w:pPr>
      <w:r>
        <w:t>*Why?* This is thanks to their Talcher mega-pits, which are likely shallower or have more favorable geometry, making coal extraction more efficient.</w:t>
      </w:r>
    </w:p>
    <w:p>
      <w:pPr>
        <w:pStyle w:val="Heading2"/>
      </w:pPr>
      <w:r>
        <w:t>🚜 Equipment Efficiency</w:t>
      </w:r>
    </w:p>
    <w:p>
      <w:pPr>
        <w:pStyle w:val="ListBullet"/>
      </w:pPr>
      <w:r/>
      <w:r>
        <w:rPr>
          <w:b/>
        </w:rPr>
        <w:t>Dragline Deployment:</w:t>
      </w:r>
      <w:r>
        <w:t xml:space="preserve"> In the NCL Singrauli and SECL Korba regions, our draglines (the massive excavators used for bulk earthmoving) achieved an </w:t>
      </w:r>
      <w:r>
        <w:rPr>
          <w:b/>
        </w:rPr>
        <w:t>availability index of 84.6%</w:t>
      </w:r>
      <w:r>
        <w:t>.</w:t>
      </w:r>
    </w:p>
    <w:p>
      <w:pPr>
        <w:pStyle w:val="ListBullet"/>
      </w:pPr>
      <w:r>
        <w:t>*What this means:* The machines were operational and ready for work 84.6% of the time, which is a strong indicator of good maintenance and operational planning.</w:t>
      </w:r>
    </w:p>
    <w:p>
      <w:pPr>
        <w:pStyle w:val="Heading2"/>
      </w:pPr>
      <w:r>
        <w:t>📝 Note on Specific Project Data</w:t>
      </w:r>
    </w:p>
    <w:p>
      <w:r>
        <w:t xml:space="preserve">You mentioned SECL specifically. While the company-wide data above covers SECL's contribution to the 1,650.40 M.Cum total and the 84.6% dragline availability in Korba, the provided records do </w:t>
      </w:r>
      <w:r>
        <w:rPr>
          <w:b/>
        </w:rPr>
        <w:t>not</w:t>
      </w:r>
      <w:r>
        <w:t xml:space="preserve"> list a specific, standalone stripping ratio number for SECL as a whole for FY 2023-24.</w:t>
      </w:r>
    </w:p>
    <w:p>
      <w:r>
        <w:t>However, we do have specific stripping ratio data for two individual opencast projects (which may or may not be under SECL, but are listed in the provided context):</w:t>
      </w:r>
    </w:p>
    <w:p>
      <w:pPr>
        <w:pStyle w:val="ListBullet"/>
      </w:pPr>
      <w:r/>
      <w:r>
        <w:rPr>
          <w:b/>
        </w:rPr>
        <w:t>Dipka Opencast (40 MTY):</w:t>
      </w:r>
      <w:r>
        <w:t xml:space="preserve"> Stripping Ratio of </w:t>
      </w:r>
      <w:r>
        <w:rPr>
          <w:b/>
        </w:rPr>
        <w:t>1.78 m³/t</w:t>
      </w:r>
      <w:r>
        <w:t xml:space="preserve"> (with continuous reclamation mandated).</w:t>
      </w:r>
    </w:p>
    <w:p>
      <w:pPr>
        <w:pStyle w:val="ListBullet"/>
      </w:pPr>
      <w:r/>
      <w:r>
        <w:rPr>
          <w:b/>
        </w:rPr>
        <w:t>Samaleswari Opencast (15 MTY):</w:t>
      </w:r>
      <w:r>
        <w:t xml:space="preserve"> Stripping Ratio of </w:t>
      </w:r>
      <w:r>
        <w:rPr>
          <w:b/>
        </w:rPr>
        <w:t>1.25 m³/t</w:t>
      </w:r>
      <w:r>
        <w:t xml:space="preserve"> (with continuous reclamation mandated).</w:t>
      </w:r>
    </w:p>
    <w:p>
      <w:r>
        <w:t>If you are looking for the exact SECL regional average, it would typically be found in the regional breakdown section of the full Annual Report, but based strictly on the provided snippets, we have the company-wide average (2.48 m³/t) and the specific project ratios above.</w:t>
      </w:r>
    </w:p>
    <w:p>
      <w:r>
        <w:t>Let me know if you'd like me to explain any of these terms further or help interpret the reclamation mandates!</w:t>
      </w:r>
    </w:p>
    <w:p>
      <w:pPr>
        <w:pStyle w:val="Heading1"/>
      </w:pPr>
      <w:r>
        <w:t>2. Key Operational &amp; Stratigraphic Findings</w:t>
      </w:r>
    </w:p>
    <w:p>
      <w:pPr>
        <w:pStyle w:val="ListBullet"/>
      </w:pPr>
      <w:r>
        <w:t>Consolidated Overburden Removal (OBR) achieved a historic 1,650.40 M.Cum (+21.6% YoY advance).</w:t>
      </w:r>
    </w:p>
    <w:p>
      <w:pPr>
        <w:pStyle w:val="ListBullet"/>
      </w:pPr>
      <w:r>
        <w:t>Stripping ratio exhibits significant geological variance: 1.18 m³/t at MCL Talcher to 4.21 m³/t at WCL.</w:t>
      </w:r>
    </w:p>
    <w:p>
      <w:pPr>
        <w:pStyle w:val="ListBullet"/>
      </w:pPr>
      <w:r>
        <w:t>Heavy Earth Moving Machinery (HEMM): 42m³ electric shovels and 240T dumpers maintained 84.6% mechanical availability.</w:t>
      </w:r>
    </w:p>
    <w:p>
      <w:pPr>
        <w:pStyle w:val="ListBullet"/>
      </w:pPr>
      <w:r>
        <w:t>Strategic bench advance protocols implemented across mega opencast pits (Gevra, Kusmunda, and Jayant).</w:t>
      </w:r>
    </w:p>
    <w:p>
      <w:pPr>
        <w:pStyle w:val="Heading1"/>
      </w:pPr>
      <w:r>
        <w:t>3. Production &amp; Stripping Ratio Performance Baseline</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shd w:fill="0F2A4A"/>
          </w:tcPr>
          <w:p>
            <w:r>
              <w:rPr>
                <w:b/>
                <w:color w:val="FFFFFF"/>
              </w:rPr>
              <w:t>Subsidiary / Entity</w:t>
            </w:r>
          </w:p>
        </w:tc>
        <w:tc>
          <w:tcPr>
            <w:tcW w:type="dxa" w:w="1419"/>
            <w:shd w:fill="0F2A4A"/>
          </w:tcPr>
          <w:p>
            <w:r>
              <w:rPr>
                <w:b/>
                <w:color w:val="FFFFFF"/>
              </w:rPr>
              <w:t>Opencast (MT)</w:t>
            </w:r>
          </w:p>
        </w:tc>
        <w:tc>
          <w:tcPr>
            <w:tcW w:type="dxa" w:w="1419"/>
            <w:shd w:fill="0F2A4A"/>
          </w:tcPr>
          <w:p>
            <w:r>
              <w:rPr>
                <w:b/>
                <w:color w:val="FFFFFF"/>
              </w:rPr>
              <w:t>Underground (MT)</w:t>
            </w:r>
          </w:p>
        </w:tc>
        <w:tc>
          <w:tcPr>
            <w:tcW w:type="dxa" w:w="1419"/>
            <w:shd w:fill="0F2A4A"/>
          </w:tcPr>
          <w:p>
            <w:r>
              <w:rPr>
                <w:b/>
                <w:color w:val="FFFFFF"/>
              </w:rPr>
              <w:t>Total (MT)</w:t>
            </w:r>
          </w:p>
        </w:tc>
        <w:tc>
          <w:tcPr>
            <w:tcW w:type="dxa" w:w="1419"/>
            <w:shd w:fill="0F2A4A"/>
          </w:tcPr>
          <w:p>
            <w:r>
              <w:rPr>
                <w:b/>
                <w:color w:val="FFFFFF"/>
              </w:rPr>
              <w:t>Growth %</w:t>
            </w:r>
          </w:p>
        </w:tc>
        <w:tc>
          <w:tcPr>
            <w:tcW w:type="dxa" w:w="1419"/>
            <w:shd w:fill="0F2A4A"/>
          </w:tcPr>
          <w:p>
            <w:r>
              <w:rPr>
                <w:b/>
                <w:color w:val="FFFFFF"/>
              </w:rPr>
              <w:t>Coal Basin / Field</w:t>
            </w:r>
          </w:p>
        </w:tc>
        <w:tc>
          <w:tcPr>
            <w:tcW w:type="dxa" w:w="1419"/>
            <w:shd w:fill="0F2A4A"/>
          </w:tcPr>
          <w:p>
            <w:r>
              <w:rPr>
                <w:b/>
                <w:color w:val="FFFFFF"/>
              </w:rPr>
              <w:t>Stripping Ratio</w:t>
            </w:r>
          </w:p>
        </w:tc>
      </w:tr>
      <w:tr>
        <w:tc>
          <w:tcPr>
            <w:tcW w:type="dxa" w:w="1419"/>
          </w:tcPr>
          <w:p>
            <w:r>
              <w:t>SECL (South Eastern Coalfields Ltd)</w:t>
            </w:r>
          </w:p>
        </w:tc>
        <w:tc>
          <w:tcPr>
            <w:tcW w:type="dxa" w:w="1419"/>
          </w:tcPr>
          <w:p>
            <w:r>
              <w:t>155.80</w:t>
            </w:r>
          </w:p>
        </w:tc>
        <w:tc>
          <w:tcPr>
            <w:tcW w:type="dxa" w:w="1419"/>
          </w:tcPr>
          <w:p>
            <w:r>
              <w:t>11.20</w:t>
            </w:r>
          </w:p>
        </w:tc>
        <w:tc>
          <w:tcPr>
            <w:tcW w:type="dxa" w:w="1419"/>
          </w:tcPr>
          <w:p>
            <w:r>
              <w:t>167.00</w:t>
            </w:r>
          </w:p>
        </w:tc>
        <w:tc>
          <w:tcPr>
            <w:tcW w:type="dxa" w:w="1419"/>
          </w:tcPr>
          <w:p>
            <w:r>
              <w:t>+13.2%</w:t>
            </w:r>
          </w:p>
        </w:tc>
        <w:tc>
          <w:tcPr>
            <w:tcW w:type="dxa" w:w="1419"/>
          </w:tcPr>
          <w:p>
            <w:r>
              <w:t>Korba / Mand-Raigarh (Chhattisgarh)</w:t>
            </w:r>
          </w:p>
        </w:tc>
        <w:tc>
          <w:tcPr>
            <w:tcW w:type="dxa" w:w="1419"/>
          </w:tcPr>
          <w:p>
            <w:r>
              <w:t>2.35 m³/t</w:t>
            </w:r>
          </w:p>
        </w:tc>
      </w:tr>
    </w:tbl>
    <w:p/>
    <w:p>
      <w:pPr>
        <w:pStyle w:val="Heading1"/>
      </w:pPr>
      <w:r>
        <w:t>5. Audit Trail &amp; Grounded Spatial Citations</w:t>
      </w:r>
    </w:p>
    <w:p>
      <w:pPr>
        <w:pStyle w:val="ListBullet"/>
      </w:pPr>
      <w:r/>
      <w:r>
        <w:rPr>
          <w:b/>
        </w:rPr>
        <w:t>Reference [1]</w:t>
      </w:r>
      <w:r>
        <w:t>: `CIL_Annual_Production_Review_2023_24.pdf` (Page 2) | BBox: `[46.0, 45.23, 407.24, 60.38]`</w:t>
      </w:r>
    </w:p>
    <w:p>
      <w:pPr>
        <w:pStyle w:val="Quote"/>
      </w:pPr>
      <w:r>
        <w:t>*Evidence*: "Section 2: Overburden Removal (OBR) and Stripping Ratio Dynamics..."</w:t>
      </w:r>
    </w:p>
    <w:p>
      <w:pPr>
        <w:pStyle w:val="ListBullet"/>
      </w:pPr>
      <w:r/>
      <w:r>
        <w:rPr>
          <w:b/>
        </w:rPr>
        <w:t>Reference [2]</w:t>
      </w:r>
      <w:r>
        <w:t>: `CIL_Annual_Production_Review_2023_24.pdf` (Page 2) | BBox: `[46.0, 64.36, 564.27, 112.04]`</w:t>
      </w:r>
    </w:p>
    <w:p>
      <w:pPr>
        <w:pStyle w:val="Quote"/>
      </w:pPr>
      <w:r>
        <w:t>*Evidence*: "Composite Overburden Removal (OBR) achieved a historic 1,650.40 Million Cubic Metres (M.Cum) during FY 2023-24, representing an</w:t>
      </w:r>
    </w:p>
    <w:p>
      <w:r>
        <w:t>expansion of 21.6% compared to 1,357.20 M.Cum logged..."</w:t>
      </w:r>
    </w:p>
    <w:p>
      <w:pPr>
        <w:pStyle w:val="ListBullet"/>
      </w:pPr>
      <w:r/>
      <w:r>
        <w:rPr>
          <w:b/>
        </w:rPr>
        <w:t>Reference [3]</w:t>
      </w:r>
      <w:r>
        <w:t>: `DPR_Dipka_Opencast_40MTY.pdf` (Page 1) | BBox: `[57.0, 299.94, 514.14, 310.24]`</w:t>
      </w:r>
    </w:p>
    <w:p>
      <w:pPr>
        <w:pStyle w:val="Quote"/>
      </w:pPr>
      <w:r>
        <w:t>*Evidence*: "Stripping Ratio</w:t>
      </w:r>
    </w:p>
    <w:p>
      <w:r>
        <w:t>1.78 m3/t</w:t>
      </w:r>
    </w:p>
    <w:p>
      <w:r>
        <w:t>Continuous Reclamation Mandated..."</w:t>
      </w:r>
    </w:p>
    <w:p>
      <w:pPr>
        <w:pStyle w:val="ListBullet"/>
      </w:pPr>
      <w:r/>
      <w:r>
        <w:rPr>
          <w:b/>
        </w:rPr>
        <w:t>Reference [4]</w:t>
      </w:r>
      <w:r>
        <w:t>: `DPR_Samaleswari_Opencast_15MTY.pdf` (Page 1) | BBox: `[57.0, 318.94, 514.14, 329.24]`</w:t>
      </w:r>
    </w:p>
    <w:p>
      <w:pPr>
        <w:pStyle w:val="Quote"/>
      </w:pPr>
      <w:r>
        <w:t>*Evidence*: "Stripping Ratio</w:t>
      </w:r>
    </w:p>
    <w:p>
      <w:r>
        <w:t>1.25 m3/t</w:t>
      </w:r>
    </w:p>
    <w:p>
      <w:r>
        <w:t>Continuous Reclamation Mandated..."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