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0F2A4A"/>
          <w:sz w:val="40"/>
        </w:rPr>
        <w:t>CMPDI / COAL INDIA LIMITED</w:t>
      </w:r>
    </w:p>
    <w:p>
      <w:r>
        <w:rPr>
          <w:b/>
          <w:color w:val="1E3A8A"/>
          <w:sz w:val="26"/>
        </w:rPr>
        <w:t>Technical &amp; Analytical Mining Report: Verification Test Report</w:t>
      </w:r>
    </w:p>
    <w:p>
      <w:r>
        <w:rPr>
          <w:sz w:val="18"/>
        </w:rPr>
        <w:t>Generated on: 11 September 2026, 17:02 | Engine: offline-geological-synthesis-engine</w:t>
      </w:r>
    </w:p>
    <w:p>
      <w:r>
        <w:t>――――――――――――――――――――――――――――――――――――――――――――――――――――――――――――</w:t>
      </w:r>
    </w:p>
    <w:p>
      <w:pPr>
        <w:pStyle w:val="Heading1"/>
      </w:pPr>
      <w:r>
        <w:t>1. Executive Summary &amp; Analytical Synthesis</w:t>
      </w:r>
    </w:p>
    <w:p>
      <w:pPr>
        <w:pStyle w:val="Heading2"/>
      </w:pPr>
      <w:r>
        <w:t>Synthesis Response: Verification Test Report</w:t>
      </w:r>
    </w:p>
    <w:p>
      <w:r/>
      <w:r>
        <w:rPr>
          <w:b/>
        </w:rPr>
        <w:t>Direct Document Evidence:</w:t>
      </w:r>
      <w:r/>
    </w:p>
    <w:p>
      <w:r>
        <w:t xml:space="preserve">&gt; </w:t>
      </w:r>
      <w:r>
        <w:rPr>
          <w:b/>
        </w:rPr>
        <w:t>Evidence 1</w:t>
      </w:r>
      <w:r>
        <w:t>: Monthly Coal Logistics, Railway Evacuation &amp; Pithead Stock Report</w:t>
      </w:r>
    </w:p>
    <w:p>
      <w:r>
        <w:t xml:space="preserve">&gt; </w:t>
      </w:r>
      <w:r>
        <w:rPr>
          <w:b/>
        </w:rPr>
        <w:t>Evidence 2</w:t>
      </w:r>
      <w:r>
        <w:t>: During FY 2023-24, total Composite Overburden Removal (OBR) achieved was 1,650.40 M.Cum, representing an</w:t>
      </w:r>
    </w:p>
    <w:p>
      <w:r>
        <w:t>expansion of 21.6% over the previous period. The company-wide average stripping ratio stabilized at 2.48 m3/t. High</w:t>
      </w:r>
    </w:p>
    <w:p>
      <w:r>
        <w:t>stripping ratios were observed at WCL (4.21 m3/t) and BCCL (3.85 m3/t) due to deep-seated seams and steep strata</w:t>
      </w:r>
    </w:p>
    <w:p>
      <w:r>
        <w:t>inclination. Conversely, MCL maintained the lowest operational stripping ratio at 1.18 m3/t in its Talcher opencast</w:t>
      </w:r>
    </w:p>
    <w:p>
      <w:r>
        <w:t>corridor, yielding prime high-volume non-coking thermal feed (Grades G11 to G14).</w:t>
      </w:r>
    </w:p>
    <w:p>
      <w:r>
        <w:t xml:space="preserve">&gt; </w:t>
      </w:r>
      <w:r>
        <w:rPr>
          <w:b/>
        </w:rPr>
        <w:t>Evidence 3</w:t>
      </w:r>
      <w:r>
        <w:t>: 3. Detailed Project Reports (DPR) &amp; Mine Feasibility Studies</w:t>
      </w:r>
    </w:p>
    <w:p>
      <w:r/>
      <w:r>
        <w:rPr>
          <w:b/>
        </w:rPr>
        <w:t>Primary Source Reference:</w:t>
      </w:r>
      <w:r/>
    </w:p>
    <w:p>
      <w:pPr>
        <w:pStyle w:val="ListBullet"/>
      </w:pPr>
      <w:r>
        <w:t>*File*: `Coal_Ministry_Monthly_Statistics_FY24.pdf` (Page 1)</w:t>
      </w:r>
    </w:p>
    <w:p>
      <w:pPr>
        <w:pStyle w:val="ListBullet"/>
      </w:pPr>
      <w:r>
        <w:t>*Verified Snippet*: "Monthly Coal Logistics, Railway Evacuation &amp; Pithead Stock Report..."</w:t>
      </w:r>
    </w:p>
    <w:p>
      <w:r>
        <w:t>*(Click any cited reference on the side to inspect the exact spatial bounding box in the original PDF)*</w:t>
      </w:r>
    </w:p>
    <w:p>
      <w:pPr>
        <w:pStyle w:val="Heading1"/>
      </w:pPr>
      <w:r>
        <w:t>2. Key Operational Metrics &amp; Subsidiary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0F2A4A"/>
          </w:tcPr>
          <w:p>
            <w:r>
              <w:rPr>
                <w:b/>
                <w:color w:val="FFFFFF"/>
              </w:rPr>
              <w:t>Subsidiary</w:t>
            </w:r>
          </w:p>
        </w:tc>
        <w:tc>
          <w:tcPr>
            <w:tcW w:type="dxa" w:w="1987"/>
            <w:shd w:fill="0F2A4A"/>
          </w:tcPr>
          <w:p>
            <w:r>
              <w:rPr>
                <w:b/>
                <w:color w:val="FFFFFF"/>
              </w:rPr>
              <w:t>Opencast (MT)</w:t>
            </w:r>
          </w:p>
        </w:tc>
        <w:tc>
          <w:tcPr>
            <w:tcW w:type="dxa" w:w="1987"/>
            <w:shd w:fill="0F2A4A"/>
          </w:tcPr>
          <w:p>
            <w:r>
              <w:rPr>
                <w:b/>
                <w:color w:val="FFFFFF"/>
              </w:rPr>
              <w:t>Underground (MT)</w:t>
            </w:r>
          </w:p>
        </w:tc>
        <w:tc>
          <w:tcPr>
            <w:tcW w:type="dxa" w:w="1987"/>
            <w:shd w:fill="0F2A4A"/>
          </w:tcPr>
          <w:p>
            <w:r>
              <w:rPr>
                <w:b/>
                <w:color w:val="FFFFFF"/>
              </w:rPr>
              <w:t>Total (MT)</w:t>
            </w:r>
          </w:p>
        </w:tc>
        <w:tc>
          <w:tcPr>
            <w:tcW w:type="dxa" w:w="1987"/>
            <w:shd w:fill="0F2A4A"/>
          </w:tcPr>
          <w:p>
            <w:r>
              <w:rPr>
                <w:b/>
                <w:color w:val="FFFFFF"/>
              </w:rPr>
              <w:t>Growth %</w:t>
            </w:r>
          </w:p>
        </w:tc>
      </w:tr>
      <w:tr>
        <w:tc>
          <w:tcPr>
            <w:tcW w:type="dxa" w:w="1987"/>
          </w:tcPr>
          <w:p>
            <w:r>
              <w:t>Mahanadi Coalfields (MCL)</w:t>
            </w:r>
          </w:p>
        </w:tc>
        <w:tc>
          <w:tcPr>
            <w:tcW w:type="dxa" w:w="1987"/>
          </w:tcPr>
          <w:p>
            <w:r>
              <w:t>181.50</w:t>
            </w:r>
          </w:p>
        </w:tc>
        <w:tc>
          <w:tcPr>
            <w:tcW w:type="dxa" w:w="1987"/>
          </w:tcPr>
          <w:p>
            <w:r>
              <w:t>11.80</w:t>
            </w:r>
          </w:p>
        </w:tc>
        <w:tc>
          <w:tcPr>
            <w:tcW w:type="dxa" w:w="1987"/>
          </w:tcPr>
          <w:p>
            <w:r>
              <w:t>193.30</w:t>
            </w:r>
          </w:p>
        </w:tc>
        <w:tc>
          <w:tcPr>
            <w:tcW w:type="dxa" w:w="1987"/>
          </w:tcPr>
          <w:p>
            <w:r>
              <w:t>+11.9%</w:t>
            </w:r>
          </w:p>
        </w:tc>
      </w:tr>
      <w:tr>
        <w:tc>
          <w:tcPr>
            <w:tcW w:type="dxa" w:w="1987"/>
          </w:tcPr>
          <w:p>
            <w:r>
              <w:t>South Eastern Coalfields (SECL)</w:t>
            </w:r>
          </w:p>
        </w:tc>
        <w:tc>
          <w:tcPr>
            <w:tcW w:type="dxa" w:w="1987"/>
          </w:tcPr>
          <w:p>
            <w:r>
              <w:t>155.80</w:t>
            </w:r>
          </w:p>
        </w:tc>
        <w:tc>
          <w:tcPr>
            <w:tcW w:type="dxa" w:w="1987"/>
          </w:tcPr>
          <w:p>
            <w:r>
              <w:t>11.20</w:t>
            </w:r>
          </w:p>
        </w:tc>
        <w:tc>
          <w:tcPr>
            <w:tcW w:type="dxa" w:w="1987"/>
          </w:tcPr>
          <w:p>
            <w:r>
              <w:t>167.00</w:t>
            </w:r>
          </w:p>
        </w:tc>
        <w:tc>
          <w:tcPr>
            <w:tcW w:type="dxa" w:w="1987"/>
          </w:tcPr>
          <w:p>
            <w:r>
              <w:t>+13.2%</w:t>
            </w:r>
          </w:p>
        </w:tc>
      </w:tr>
      <w:tr>
        <w:tc>
          <w:tcPr>
            <w:tcW w:type="dxa" w:w="1987"/>
          </w:tcPr>
          <w:p>
            <w:r>
              <w:t>Northern Coalfields (NCL)</w:t>
            </w:r>
          </w:p>
        </w:tc>
        <w:tc>
          <w:tcPr>
            <w:tcW w:type="dxa" w:w="1987"/>
          </w:tcPr>
          <w:p>
            <w:r>
              <w:t>131.00</w:t>
            </w:r>
          </w:p>
        </w:tc>
        <w:tc>
          <w:tcPr>
            <w:tcW w:type="dxa" w:w="1987"/>
          </w:tcPr>
          <w:p>
            <w:r>
              <w:t>0.00</w:t>
            </w:r>
          </w:p>
        </w:tc>
        <w:tc>
          <w:tcPr>
            <w:tcW w:type="dxa" w:w="1987"/>
          </w:tcPr>
          <w:p>
            <w:r>
              <w:t>131.00</w:t>
            </w:r>
          </w:p>
        </w:tc>
        <w:tc>
          <w:tcPr>
            <w:tcW w:type="dxa" w:w="1987"/>
          </w:tcPr>
          <w:p>
            <w:r>
              <w:t>+6.8%</w:t>
            </w:r>
          </w:p>
        </w:tc>
      </w:tr>
      <w:tr>
        <w:tc>
          <w:tcPr>
            <w:tcW w:type="dxa" w:w="1987"/>
          </w:tcPr>
          <w:p>
            <w:r>
              <w:t>Central Coalfields (CCL)</w:t>
            </w:r>
          </w:p>
        </w:tc>
        <w:tc>
          <w:tcPr>
            <w:tcW w:type="dxa" w:w="1987"/>
          </w:tcPr>
          <w:p>
            <w:r>
              <w:t>82.90</w:t>
            </w:r>
          </w:p>
        </w:tc>
        <w:tc>
          <w:tcPr>
            <w:tcW w:type="dxa" w:w="1987"/>
          </w:tcPr>
          <w:p>
            <w:r>
              <w:t>1.10</w:t>
            </w:r>
          </w:p>
        </w:tc>
        <w:tc>
          <w:tcPr>
            <w:tcW w:type="dxa" w:w="1987"/>
          </w:tcPr>
          <w:p>
            <w:r>
              <w:t>84.00</w:t>
            </w:r>
          </w:p>
        </w:tc>
        <w:tc>
          <w:tcPr>
            <w:tcW w:type="dxa" w:w="1987"/>
          </w:tcPr>
          <w:p>
            <w:r>
              <w:t>+14.2%</w:t>
            </w:r>
          </w:p>
        </w:tc>
      </w:tr>
      <w:tr>
        <w:tc>
          <w:tcPr>
            <w:tcW w:type="dxa" w:w="1987"/>
          </w:tcPr>
          <w:p>
            <w:r>
              <w:t>Western Coalfields (WCL)</w:t>
            </w:r>
          </w:p>
        </w:tc>
        <w:tc>
          <w:tcPr>
            <w:tcW w:type="dxa" w:w="1987"/>
          </w:tcPr>
          <w:p>
            <w:r>
              <w:t>57.10</w:t>
            </w:r>
          </w:p>
        </w:tc>
        <w:tc>
          <w:tcPr>
            <w:tcW w:type="dxa" w:w="1987"/>
          </w:tcPr>
          <w:p>
            <w:r>
              <w:t>3.20</w:t>
            </w:r>
          </w:p>
        </w:tc>
        <w:tc>
          <w:tcPr>
            <w:tcW w:type="dxa" w:w="1987"/>
          </w:tcPr>
          <w:p>
            <w:r>
              <w:t>60.30</w:t>
            </w:r>
          </w:p>
        </w:tc>
        <w:tc>
          <w:tcPr>
            <w:tcW w:type="dxa" w:w="1987"/>
          </w:tcPr>
          <w:p>
            <w:r>
              <w:t>+4.5%</w:t>
            </w:r>
          </w:p>
        </w:tc>
      </w:tr>
      <w:tr>
        <w:tc>
          <w:tcPr>
            <w:tcW w:type="dxa" w:w="1987"/>
          </w:tcPr>
          <w:p>
            <w:r>
              <w:t>Bharat Coking Coal (BCCL)</w:t>
            </w:r>
          </w:p>
        </w:tc>
        <w:tc>
          <w:tcPr>
            <w:tcW w:type="dxa" w:w="1987"/>
          </w:tcPr>
          <w:p>
            <w:r>
              <w:t>39.80</w:t>
            </w:r>
          </w:p>
        </w:tc>
        <w:tc>
          <w:tcPr>
            <w:tcW w:type="dxa" w:w="1987"/>
          </w:tcPr>
          <w:p>
            <w:r>
              <w:t>1.30</w:t>
            </w:r>
          </w:p>
        </w:tc>
        <w:tc>
          <w:tcPr>
            <w:tcW w:type="dxa" w:w="1987"/>
          </w:tcPr>
          <w:p>
            <w:r>
              <w:t>41.10</w:t>
            </w:r>
          </w:p>
        </w:tc>
        <w:tc>
          <w:tcPr>
            <w:tcW w:type="dxa" w:w="1987"/>
          </w:tcPr>
          <w:p>
            <w:r>
              <w:t>+17.4%</w:t>
            </w:r>
          </w:p>
        </w:tc>
      </w:tr>
      <w:tr>
        <w:tc>
          <w:tcPr>
            <w:tcW w:type="dxa" w:w="1987"/>
          </w:tcPr>
          <w:p>
            <w:r>
              <w:t>Eastern Coalfields (ECL)</w:t>
            </w:r>
          </w:p>
        </w:tc>
        <w:tc>
          <w:tcPr>
            <w:tcW w:type="dxa" w:w="1987"/>
          </w:tcPr>
          <w:p>
            <w:r>
              <w:t>25.90</w:t>
            </w:r>
          </w:p>
        </w:tc>
        <w:tc>
          <w:tcPr>
            <w:tcW w:type="dxa" w:w="1987"/>
          </w:tcPr>
          <w:p>
            <w:r>
              <w:t>9.20</w:t>
            </w:r>
          </w:p>
        </w:tc>
        <w:tc>
          <w:tcPr>
            <w:tcW w:type="dxa" w:w="1987"/>
          </w:tcPr>
          <w:p>
            <w:r>
              <w:t>35.10</w:t>
            </w:r>
          </w:p>
        </w:tc>
        <w:tc>
          <w:tcPr>
            <w:tcW w:type="dxa" w:w="1987"/>
          </w:tcPr>
          <w:p>
            <w:r>
              <w:t>+4.8%</w:t>
            </w:r>
          </w:p>
        </w:tc>
      </w:tr>
      <w:tr>
        <w:tc>
          <w:tcPr>
            <w:tcW w:type="dxa" w:w="1987"/>
          </w:tcPr>
          <w:p>
            <w:r>
              <w:t>CIL Total</w:t>
            </w:r>
          </w:p>
        </w:tc>
        <w:tc>
          <w:tcPr>
            <w:tcW w:type="dxa" w:w="1987"/>
          </w:tcPr>
          <w:p>
            <w:r>
              <w:t>665.40</w:t>
            </w:r>
          </w:p>
        </w:tc>
        <w:tc>
          <w:tcPr>
            <w:tcW w:type="dxa" w:w="1987"/>
          </w:tcPr>
          <w:p>
            <w:r>
              <w:t>37.80</w:t>
            </w:r>
          </w:p>
        </w:tc>
        <w:tc>
          <w:tcPr>
            <w:tcW w:type="dxa" w:w="1987"/>
          </w:tcPr>
          <w:p>
            <w:r>
              <w:t>703.20</w:t>
            </w:r>
          </w:p>
        </w:tc>
        <w:tc>
          <w:tcPr>
            <w:tcW w:type="dxa" w:w="1987"/>
          </w:tcPr>
          <w:p>
            <w:r>
              <w:t>+10.1%</w:t>
            </w:r>
          </w:p>
        </w:tc>
      </w:tr>
    </w:tbl>
    <w:p>
      <w:pPr>
        <w:pStyle w:val="Heading1"/>
      </w:pPr>
      <w:r>
        <w:t>3. Document Citations &amp; Spatial Evidence</w:t>
      </w:r>
    </w:p>
    <w:p>
      <w:r>
        <w:rPr>
          <w:b/>
        </w:rPr>
        <w:t>[1] Source: Coal_Ministry_Monthly_Statistics_FY24.pdf (Page 1)</w:t>
      </w:r>
    </w:p>
    <w:p>
      <w:pPr>
        <w:pStyle w:val="Quote"/>
      </w:pPr>
      <w:r>
        <w:t>Snippet: "Monthly Coal Logistics, Railway Evacuation &amp; Pithead Stock Report"</w:t>
      </w:r>
    </w:p>
    <w:p>
      <w:r>
        <w:rPr>
          <w:b/>
        </w:rPr>
        <w:t>[2] Source: CIL_Annual_Production_Review_2023_24.pdf (Page 1)</w:t>
      </w:r>
    </w:p>
    <w:p>
      <w:pPr>
        <w:pStyle w:val="Quote"/>
      </w:pPr>
      <w:r>
        <w:t>Snippet: "During FY 2023-24, total Composite Overburden Removal (OBR) achieved was 1,650.40 M.Cum, representing an</w:t>
        <w:br/>
        <w:t>expansion of 21.6% over the previous period. The company-wide average stripping ratio stabilized at 2.48 m3/t. High</w:t>
        <w:br/>
        <w:t>stripping ratios were observed at WCL (4.21 m3/t) and BCCL ..."</w:t>
      </w:r>
    </w:p>
    <w:p>
      <w:r>
        <w:rPr>
          <w:b/>
        </w:rPr>
        <w:t>[3] Source: CMPDI_Geological_Exploration_Report_2023_24.pdf (Page 2)</w:t>
      </w:r>
    </w:p>
    <w:p>
      <w:pPr>
        <w:pStyle w:val="Quote"/>
      </w:pPr>
      <w:r>
        <w:t>Snippet: "3. Detailed Project Reports (DPR) &amp; Mine Feasibility Studies"</w:t>
      </w:r>
    </w:p>
    <w:p>
      <w:r>
        <w:rPr>
          <w:b/>
        </w:rPr>
        <w:t>[4] Source: CMPDI_Geological_Exploration_Report_2023_24.pdf (Page 1)</w:t>
      </w:r>
    </w:p>
    <w:p>
      <w:pPr>
        <w:pStyle w:val="Quote"/>
      </w:pPr>
      <w:r>
        <w:t>Snippet: "Geological Drilling, Exploration &amp; Project Planning Report (FY 2023-24)"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