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10BE" w14:textId="77777777" w:rsidR="003F5699" w:rsidRPr="003F5699" w:rsidRDefault="003F5699" w:rsidP="003F5699">
      <w:pPr>
        <w:rPr>
          <w:b/>
          <w:bCs/>
        </w:rPr>
      </w:pPr>
      <w:r w:rsidRPr="003F5699">
        <w:rPr>
          <w:b/>
          <w:bCs/>
        </w:rPr>
        <w:t>1. Key Financial Metrics (FY 2022 – FY 2024)</w:t>
      </w:r>
    </w:p>
    <w:p w14:paraId="78EC0CC1" w14:textId="399BF0C8" w:rsidR="003F5699" w:rsidRPr="003F5699" w:rsidRDefault="003F5699" w:rsidP="003F5699">
      <w:pPr>
        <w:numPr>
          <w:ilvl w:val="0"/>
          <w:numId w:val="4"/>
        </w:numPr>
      </w:pPr>
      <w:r w:rsidRPr="003F5699">
        <w:rPr>
          <w:b/>
          <w:bCs/>
        </w:rPr>
        <w:t>Net Income Volatility (FY 2022):</w:t>
      </w:r>
      <w:r w:rsidRPr="003F5699">
        <w:t xml:space="preserve"> Overall trends turned downward in 2022 primarily due to a </w:t>
      </w:r>
      <w:r w:rsidRPr="003F5699">
        <w:rPr>
          <w:b/>
          <w:bCs/>
        </w:rPr>
        <w:t>$262 million net non-operating loss</w:t>
      </w:r>
      <w:r w:rsidRPr="003F5699">
        <w:t xml:space="preserve">. Significant </w:t>
      </w:r>
      <w:r w:rsidR="003C2752">
        <w:t>changes</w:t>
      </w:r>
      <w:r w:rsidRPr="003F5699">
        <w:t xml:space="preserve"> included:</w:t>
      </w:r>
    </w:p>
    <w:p w14:paraId="12B2501C" w14:textId="77777777" w:rsidR="003F5699" w:rsidRPr="003F5699" w:rsidRDefault="003F5699" w:rsidP="003F5699">
      <w:pPr>
        <w:numPr>
          <w:ilvl w:val="1"/>
          <w:numId w:val="4"/>
        </w:numPr>
      </w:pPr>
      <w:r w:rsidRPr="003F5699">
        <w:rPr>
          <w:b/>
          <w:bCs/>
        </w:rPr>
        <w:t>$371 million loss</w:t>
      </w:r>
      <w:r w:rsidRPr="003F5699">
        <w:t xml:space="preserve"> on equity and debt securities.</w:t>
      </w:r>
    </w:p>
    <w:p w14:paraId="5DB80FB9" w14:textId="77777777" w:rsidR="003F5699" w:rsidRPr="003F5699" w:rsidRDefault="003F5699" w:rsidP="003F5699">
      <w:pPr>
        <w:numPr>
          <w:ilvl w:val="1"/>
          <w:numId w:val="4"/>
        </w:numPr>
      </w:pPr>
      <w:r w:rsidRPr="003F5699">
        <w:rPr>
          <w:b/>
          <w:bCs/>
        </w:rPr>
        <w:t>$236 million</w:t>
      </w:r>
      <w:r w:rsidRPr="003F5699">
        <w:t xml:space="preserve"> in foreign currency losses.</w:t>
      </w:r>
    </w:p>
    <w:p w14:paraId="794005F8" w14:textId="77777777" w:rsidR="003F5699" w:rsidRPr="003F5699" w:rsidRDefault="003F5699" w:rsidP="003F5699">
      <w:pPr>
        <w:numPr>
          <w:ilvl w:val="1"/>
          <w:numId w:val="4"/>
        </w:numPr>
      </w:pPr>
      <w:r w:rsidRPr="003F5699">
        <w:rPr>
          <w:b/>
          <w:bCs/>
        </w:rPr>
        <w:t>$96 million impairment</w:t>
      </w:r>
      <w:r w:rsidRPr="003F5699">
        <w:t xml:space="preserve"> related to Russian operations.</w:t>
      </w:r>
    </w:p>
    <w:p w14:paraId="2831EC2A" w14:textId="77777777" w:rsidR="003F5699" w:rsidRPr="003F5699" w:rsidRDefault="003F5699" w:rsidP="003F5699">
      <w:pPr>
        <w:numPr>
          <w:ilvl w:val="1"/>
          <w:numId w:val="4"/>
        </w:numPr>
      </w:pPr>
      <w:r w:rsidRPr="00E77261">
        <w:t>Offset by:</w:t>
      </w:r>
      <w:r w:rsidRPr="003F5699">
        <w:t xml:space="preserve"> </w:t>
      </w:r>
      <w:r w:rsidRPr="00E77261">
        <w:rPr>
          <w:b/>
          <w:bCs/>
        </w:rPr>
        <w:t>$219 million</w:t>
      </w:r>
      <w:r w:rsidRPr="003F5699">
        <w:t xml:space="preserve"> in pension benefit income and $153 million from refranchising Cambodia bottling operations.</w:t>
      </w:r>
    </w:p>
    <w:p w14:paraId="1E3DBE7B" w14:textId="77777777" w:rsidR="003F5699" w:rsidRPr="003F5699" w:rsidRDefault="003F5699" w:rsidP="003F5699">
      <w:pPr>
        <w:numPr>
          <w:ilvl w:val="0"/>
          <w:numId w:val="4"/>
        </w:numPr>
      </w:pPr>
      <w:r w:rsidRPr="003F5699">
        <w:rPr>
          <w:b/>
          <w:bCs/>
        </w:rPr>
        <w:t>Reporting Boundary Changes:</w:t>
      </w:r>
      <w:r w:rsidRPr="003F5699">
        <w:t xml:space="preserve"> Data for FY 2023 and FY 2024 reflects structural changes in reporting boundaries, impacting year-over-year comparability.</w:t>
      </w:r>
    </w:p>
    <w:p w14:paraId="41C14981" w14:textId="77777777" w:rsidR="003F5699" w:rsidRPr="003F5699" w:rsidRDefault="003F5699" w:rsidP="003F5699">
      <w:pPr>
        <w:numPr>
          <w:ilvl w:val="0"/>
          <w:numId w:val="4"/>
        </w:numPr>
      </w:pPr>
      <w:r w:rsidRPr="003F5699">
        <w:rPr>
          <w:b/>
          <w:bCs/>
        </w:rPr>
        <w:t>Operating Profit Compression (FY 2024):</w:t>
      </w:r>
      <w:r w:rsidRPr="003F5699">
        <w:t xml:space="preserve"> Both EBIT and EBITDA dipped due to </w:t>
      </w:r>
      <w:r w:rsidRPr="003F5699">
        <w:rPr>
          <w:b/>
          <w:bCs/>
        </w:rPr>
        <w:t>$4.16 billion in Other Operating Charges</w:t>
      </w:r>
      <w:r w:rsidRPr="003F5699">
        <w:t>, notably:</w:t>
      </w:r>
    </w:p>
    <w:p w14:paraId="2F2DA505" w14:textId="68A1A0E7" w:rsidR="003F5699" w:rsidRPr="003F5699" w:rsidRDefault="003F5699" w:rsidP="003F5699">
      <w:pPr>
        <w:numPr>
          <w:ilvl w:val="1"/>
          <w:numId w:val="4"/>
        </w:numPr>
      </w:pPr>
      <w:r w:rsidRPr="003F5699">
        <w:rPr>
          <w:b/>
          <w:bCs/>
        </w:rPr>
        <w:t>$3.1 billion</w:t>
      </w:r>
      <w:r w:rsidRPr="003F5699">
        <w:t xml:space="preserve"> for the </w:t>
      </w:r>
      <w:r w:rsidR="008749C3" w:rsidRPr="003F5699">
        <w:t>Fairlife</w:t>
      </w:r>
      <w:r w:rsidRPr="003F5699">
        <w:t xml:space="preserve"> acquisition (contingent liability remeasurement).</w:t>
      </w:r>
    </w:p>
    <w:p w14:paraId="05206B6A" w14:textId="77777777" w:rsidR="003F5699" w:rsidRPr="003F5699" w:rsidRDefault="003F5699" w:rsidP="003F5699">
      <w:pPr>
        <w:numPr>
          <w:ilvl w:val="1"/>
          <w:numId w:val="4"/>
        </w:numPr>
      </w:pPr>
      <w:r w:rsidRPr="003F5699">
        <w:rPr>
          <w:b/>
          <w:bCs/>
        </w:rPr>
        <w:t>$760 million</w:t>
      </w:r>
      <w:r w:rsidRPr="003F5699">
        <w:t xml:space="preserve"> impairment of the BodyArmor trademark.</w:t>
      </w:r>
    </w:p>
    <w:p w14:paraId="47C576A2" w14:textId="77777777" w:rsidR="003F5699" w:rsidRPr="003F5699" w:rsidRDefault="003F5699" w:rsidP="003F5699">
      <w:pPr>
        <w:rPr>
          <w:b/>
          <w:bCs/>
        </w:rPr>
      </w:pPr>
      <w:r w:rsidRPr="003F5699">
        <w:rPr>
          <w:b/>
          <w:bCs/>
        </w:rPr>
        <w:t>2. Profitability and Expense Analysis</w:t>
      </w:r>
    </w:p>
    <w:p w14:paraId="7D64F65F" w14:textId="2625CFD7" w:rsidR="003F5699" w:rsidRPr="003F5699" w:rsidRDefault="003F5699" w:rsidP="003F5699">
      <w:pPr>
        <w:numPr>
          <w:ilvl w:val="0"/>
          <w:numId w:val="5"/>
        </w:numPr>
      </w:pPr>
      <w:r w:rsidRPr="003F5699">
        <w:rPr>
          <w:b/>
          <w:bCs/>
        </w:rPr>
        <w:t>Gross Margin Strength:</w:t>
      </w:r>
      <w:r w:rsidRPr="003F5699">
        <w:t xml:space="preserve"> Gross profit margin rose to </w:t>
      </w:r>
      <w:r w:rsidRPr="003F5699">
        <w:rPr>
          <w:b/>
          <w:bCs/>
        </w:rPr>
        <w:t>61.1% in 2024</w:t>
      </w:r>
      <w:r w:rsidRPr="003F5699">
        <w:t xml:space="preserve"> up from 59.5% in 2023. This was driven by </w:t>
      </w:r>
      <w:r w:rsidR="004E1DEF" w:rsidRPr="003F5699">
        <w:rPr>
          <w:b/>
          <w:bCs/>
        </w:rPr>
        <w:t>favourable</w:t>
      </w:r>
      <w:r w:rsidRPr="003F5699">
        <w:rPr>
          <w:b/>
          <w:bCs/>
        </w:rPr>
        <w:t xml:space="preserve"> pricing</w:t>
      </w:r>
      <w:r w:rsidRPr="003F5699">
        <w:t xml:space="preserve"> and refranchising efforts in Asia, which outweighed higher commodity costs and currency headwinds.</w:t>
      </w:r>
    </w:p>
    <w:p w14:paraId="254C8C54" w14:textId="4FFCD279" w:rsidR="003F5699" w:rsidRPr="003F5699" w:rsidRDefault="003F5699" w:rsidP="003F5699">
      <w:pPr>
        <w:numPr>
          <w:ilvl w:val="0"/>
          <w:numId w:val="5"/>
        </w:numPr>
      </w:pPr>
      <w:r w:rsidRPr="003F5699">
        <w:rPr>
          <w:b/>
          <w:bCs/>
        </w:rPr>
        <w:t>Net Income</w:t>
      </w:r>
      <w:r w:rsidR="008335AD">
        <w:rPr>
          <w:b/>
          <w:bCs/>
        </w:rPr>
        <w:t xml:space="preserve"> change</w:t>
      </w:r>
      <w:r w:rsidRPr="003F5699">
        <w:rPr>
          <w:b/>
          <w:bCs/>
        </w:rPr>
        <w:t>:</w:t>
      </w:r>
      <w:r w:rsidRPr="003F5699">
        <w:t xml:space="preserve"> For FY 2024, Net Income exceeded EBIT. This was caused by substantial </w:t>
      </w:r>
      <w:r w:rsidRPr="003F5699">
        <w:rPr>
          <w:b/>
          <w:bCs/>
        </w:rPr>
        <w:t>non-operating income</w:t>
      </w:r>
      <w:r w:rsidRPr="003F5699">
        <w:t xml:space="preserve"> one-time gains rather than core operational growth.</w:t>
      </w:r>
    </w:p>
    <w:p w14:paraId="04B04910" w14:textId="77777777" w:rsidR="003F5699" w:rsidRPr="003F5699" w:rsidRDefault="003F5699" w:rsidP="003F5699">
      <w:pPr>
        <w:numPr>
          <w:ilvl w:val="0"/>
          <w:numId w:val="5"/>
        </w:numPr>
      </w:pPr>
      <w:r w:rsidRPr="003F5699">
        <w:rPr>
          <w:b/>
          <w:bCs/>
        </w:rPr>
        <w:t>Operating Expenses:</w:t>
      </w:r>
      <w:r w:rsidRPr="003F5699">
        <w:t xml:space="preserve"> SG&amp;A expenses increased by </w:t>
      </w:r>
      <w:r w:rsidRPr="003F5699">
        <w:rPr>
          <w:b/>
          <w:bCs/>
        </w:rPr>
        <w:t>4% ($610 million)</w:t>
      </w:r>
      <w:r w:rsidRPr="003F5699">
        <w:t xml:space="preserve">, </w:t>
      </w:r>
      <w:proofErr w:type="spellStart"/>
      <w:r w:rsidRPr="003F5699">
        <w:t>fueled</w:t>
      </w:r>
      <w:proofErr w:type="spellEnd"/>
      <w:r w:rsidRPr="003F5699">
        <w:t xml:space="preserve"> by higher advertising and stock-based compensation, though partially offset by lower distribution costs.</w:t>
      </w:r>
    </w:p>
    <w:p w14:paraId="79EF966B" w14:textId="77777777" w:rsidR="003F5699" w:rsidRPr="003F5699" w:rsidRDefault="003F5699" w:rsidP="003F5699">
      <w:pPr>
        <w:numPr>
          <w:ilvl w:val="0"/>
          <w:numId w:val="5"/>
        </w:numPr>
      </w:pPr>
      <w:r w:rsidRPr="003F5699">
        <w:rPr>
          <w:b/>
          <w:bCs/>
        </w:rPr>
        <w:t>Refranchising Gains:</w:t>
      </w:r>
      <w:r w:rsidRPr="003F5699">
        <w:t xml:space="preserve"> The company realized significant net gains from divestments, including:</w:t>
      </w:r>
    </w:p>
    <w:p w14:paraId="776A7C21" w14:textId="77777777" w:rsidR="003F5699" w:rsidRPr="003F5699" w:rsidRDefault="003F5699" w:rsidP="003F5699">
      <w:pPr>
        <w:numPr>
          <w:ilvl w:val="1"/>
          <w:numId w:val="5"/>
        </w:numPr>
      </w:pPr>
      <w:r w:rsidRPr="003F5699">
        <w:rPr>
          <w:b/>
          <w:bCs/>
        </w:rPr>
        <w:t>$595 million</w:t>
      </w:r>
      <w:r w:rsidRPr="003F5699">
        <w:t xml:space="preserve"> (Philippines), </w:t>
      </w:r>
      <w:r w:rsidRPr="003F5699">
        <w:rPr>
          <w:b/>
          <w:bCs/>
        </w:rPr>
        <w:t>$506 million</w:t>
      </w:r>
      <w:r w:rsidRPr="003F5699">
        <w:t xml:space="preserve"> (Thailand), </w:t>
      </w:r>
      <w:r w:rsidRPr="003F5699">
        <w:rPr>
          <w:b/>
          <w:bCs/>
        </w:rPr>
        <w:t>$338 million</w:t>
      </w:r>
      <w:r w:rsidRPr="003F5699">
        <w:t xml:space="preserve"> (Coke Consolidated), and </w:t>
      </w:r>
      <w:r w:rsidRPr="003F5699">
        <w:rPr>
          <w:b/>
          <w:bCs/>
        </w:rPr>
        <w:t>$303 million</w:t>
      </w:r>
      <w:r w:rsidRPr="003F5699">
        <w:t xml:space="preserve"> (India).</w:t>
      </w:r>
    </w:p>
    <w:p w14:paraId="24028098" w14:textId="77777777" w:rsidR="00EB2705" w:rsidRDefault="00EB2705" w:rsidP="003F5699">
      <w:pPr>
        <w:rPr>
          <w:b/>
          <w:bCs/>
        </w:rPr>
      </w:pPr>
    </w:p>
    <w:p w14:paraId="5D044926" w14:textId="77777777" w:rsidR="00EB2705" w:rsidRDefault="00EB2705" w:rsidP="003F5699">
      <w:pPr>
        <w:rPr>
          <w:b/>
          <w:bCs/>
        </w:rPr>
      </w:pPr>
    </w:p>
    <w:p w14:paraId="5D4D1E83" w14:textId="77777777" w:rsidR="00EB2705" w:rsidRDefault="00EB2705" w:rsidP="003F5699">
      <w:pPr>
        <w:rPr>
          <w:b/>
          <w:bCs/>
        </w:rPr>
      </w:pPr>
    </w:p>
    <w:p w14:paraId="5F92F472" w14:textId="77777777" w:rsidR="00EB2705" w:rsidRDefault="00EB2705" w:rsidP="003F5699">
      <w:pPr>
        <w:rPr>
          <w:b/>
          <w:bCs/>
        </w:rPr>
      </w:pPr>
    </w:p>
    <w:p w14:paraId="4B290888" w14:textId="729880D2" w:rsidR="003F5699" w:rsidRPr="003F5699" w:rsidRDefault="003F5699" w:rsidP="003F5699">
      <w:pPr>
        <w:rPr>
          <w:b/>
          <w:bCs/>
        </w:rPr>
      </w:pPr>
      <w:r w:rsidRPr="003F5699">
        <w:rPr>
          <w:b/>
          <w:bCs/>
        </w:rPr>
        <w:lastRenderedPageBreak/>
        <w:t>3. Segment and Geographic Performance</w:t>
      </w:r>
    </w:p>
    <w:p w14:paraId="00391DB4" w14:textId="419A2E70" w:rsidR="003F5699" w:rsidRPr="003F5699" w:rsidRDefault="003F5699" w:rsidP="003F5699">
      <w:pPr>
        <w:numPr>
          <w:ilvl w:val="0"/>
          <w:numId w:val="6"/>
        </w:numPr>
      </w:pPr>
      <w:r w:rsidRPr="003F5699">
        <w:rPr>
          <w:b/>
          <w:bCs/>
        </w:rPr>
        <w:t>Business Lines:</w:t>
      </w:r>
      <w:r w:rsidRPr="003F5699">
        <w:t xml:space="preserve"> The company is split between </w:t>
      </w:r>
      <w:r w:rsidRPr="003F5699">
        <w:rPr>
          <w:b/>
          <w:bCs/>
        </w:rPr>
        <w:t>Concentrate</w:t>
      </w:r>
      <w:r w:rsidRPr="003F5699">
        <w:t xml:space="preserve"> and </w:t>
      </w:r>
      <w:r w:rsidRPr="003F5699">
        <w:rPr>
          <w:b/>
          <w:bCs/>
        </w:rPr>
        <w:t>Finished Product</w:t>
      </w:r>
      <w:r w:rsidRPr="003F5699">
        <w:t xml:space="preserve"> operations. The </w:t>
      </w:r>
      <w:r w:rsidRPr="003F5699">
        <w:rPr>
          <w:b/>
          <w:bCs/>
        </w:rPr>
        <w:t>Concentrate segment</w:t>
      </w:r>
      <w:r w:rsidRPr="003F5699">
        <w:t xml:space="preserve"> is currently the primary growth driver</w:t>
      </w:r>
      <w:r w:rsidR="00E769AC">
        <w:t xml:space="preserve"> for the company.</w:t>
      </w:r>
    </w:p>
    <w:p w14:paraId="2A354321" w14:textId="62278A78" w:rsidR="003F5699" w:rsidRPr="003F5699" w:rsidRDefault="003F5699" w:rsidP="003F5699">
      <w:pPr>
        <w:numPr>
          <w:ilvl w:val="0"/>
          <w:numId w:val="6"/>
        </w:numPr>
      </w:pPr>
      <w:r w:rsidRPr="003F5699">
        <w:rPr>
          <w:b/>
          <w:bCs/>
        </w:rPr>
        <w:t>Geography:</w:t>
      </w:r>
      <w:r w:rsidRPr="003F5699">
        <w:t xml:space="preserve"> While </w:t>
      </w:r>
      <w:r w:rsidRPr="003F5699">
        <w:rPr>
          <w:b/>
          <w:bCs/>
        </w:rPr>
        <w:t>North America</w:t>
      </w:r>
      <w:r w:rsidRPr="003F5699">
        <w:t xml:space="preserve"> remains the largest revenue contributor, international regions face heavy </w:t>
      </w:r>
      <w:r w:rsidRPr="003F5699">
        <w:rPr>
          <w:b/>
          <w:bCs/>
        </w:rPr>
        <w:t>foreign currency fluctuations</w:t>
      </w:r>
      <w:r w:rsidRPr="003F5699">
        <w:t xml:space="preserve"> </w:t>
      </w:r>
      <w:r w:rsidR="00350691">
        <w:t>which affect</w:t>
      </w:r>
      <w:r w:rsidRPr="003F5699">
        <w:t xml:space="preserve"> their actual underlying sales growth.</w:t>
      </w:r>
    </w:p>
    <w:p w14:paraId="585D206E" w14:textId="77777777" w:rsidR="003F5699" w:rsidRPr="003F5699" w:rsidRDefault="003F5699" w:rsidP="003F5699">
      <w:pPr>
        <w:rPr>
          <w:b/>
          <w:bCs/>
        </w:rPr>
      </w:pPr>
      <w:r w:rsidRPr="003F5699">
        <w:rPr>
          <w:b/>
          <w:bCs/>
        </w:rPr>
        <w:t>4. Unit Case Volume Trends</w:t>
      </w:r>
    </w:p>
    <w:p w14:paraId="07B20337" w14:textId="0077AA6F" w:rsidR="003F5699" w:rsidRPr="003F5699" w:rsidRDefault="003F5699" w:rsidP="003F5699">
      <w:pPr>
        <w:numPr>
          <w:ilvl w:val="0"/>
          <w:numId w:val="7"/>
        </w:numPr>
      </w:pPr>
      <w:r w:rsidRPr="003F5699">
        <w:rPr>
          <w:b/>
          <w:bCs/>
        </w:rPr>
        <w:t>Global Volume:</w:t>
      </w:r>
      <w:r w:rsidRPr="003F5699">
        <w:t xml:space="preserve"> Total system volume grew slightly to </w:t>
      </w:r>
      <w:r w:rsidR="00A06B43" w:rsidRPr="003F5699">
        <w:rPr>
          <w:b/>
          <w:bCs/>
        </w:rPr>
        <w:t>33.7-billion-unit</w:t>
      </w:r>
      <w:r w:rsidRPr="003F5699">
        <w:rPr>
          <w:b/>
          <w:bCs/>
        </w:rPr>
        <w:t xml:space="preserve"> cases</w:t>
      </w:r>
      <w:r w:rsidRPr="003F5699">
        <w:t xml:space="preserve"> in 2024.</w:t>
      </w:r>
    </w:p>
    <w:p w14:paraId="533213FF" w14:textId="77777777" w:rsidR="003F5699" w:rsidRPr="003F5699" w:rsidRDefault="003F5699" w:rsidP="003F5699">
      <w:pPr>
        <w:numPr>
          <w:ilvl w:val="0"/>
          <w:numId w:val="7"/>
        </w:numPr>
      </w:pPr>
      <w:r w:rsidRPr="003F5699">
        <w:rPr>
          <w:b/>
          <w:bCs/>
        </w:rPr>
        <w:t>Regional Performance:</w:t>
      </w:r>
    </w:p>
    <w:p w14:paraId="4335EE42" w14:textId="77777777" w:rsidR="003F5699" w:rsidRPr="003F5699" w:rsidRDefault="003F5699" w:rsidP="003F5699">
      <w:pPr>
        <w:numPr>
          <w:ilvl w:val="1"/>
          <w:numId w:val="7"/>
        </w:numPr>
      </w:pPr>
      <w:r w:rsidRPr="003F5699">
        <w:rPr>
          <w:b/>
          <w:bCs/>
        </w:rPr>
        <w:t>EMEA:</w:t>
      </w:r>
      <w:r w:rsidRPr="003F5699">
        <w:t xml:space="preserve"> Flat (0%). Growth in water/sports was offset by declines in juice and Trademark Coke.</w:t>
      </w:r>
    </w:p>
    <w:p w14:paraId="070244E7" w14:textId="77777777" w:rsidR="003F5699" w:rsidRPr="003F5699" w:rsidRDefault="003F5699" w:rsidP="003F5699">
      <w:pPr>
        <w:numPr>
          <w:ilvl w:val="1"/>
          <w:numId w:val="7"/>
        </w:numPr>
      </w:pPr>
      <w:r w:rsidRPr="003F5699">
        <w:rPr>
          <w:b/>
          <w:bCs/>
        </w:rPr>
        <w:t>Latin America:</w:t>
      </w:r>
      <w:r w:rsidRPr="003F5699">
        <w:t xml:space="preserve"> </w:t>
      </w:r>
      <w:r w:rsidRPr="003F5699">
        <w:rPr>
          <w:b/>
          <w:bCs/>
        </w:rPr>
        <w:t>+3% growth</w:t>
      </w:r>
      <w:r w:rsidRPr="003F5699">
        <w:t>, led by Brazil (+8%) and Mexico (+2%), despite a sharp decline in Argentina (-12%).</w:t>
      </w:r>
    </w:p>
    <w:p w14:paraId="7D1A0D1C" w14:textId="77777777" w:rsidR="003F5699" w:rsidRPr="003F5699" w:rsidRDefault="003F5699" w:rsidP="003F5699">
      <w:pPr>
        <w:numPr>
          <w:ilvl w:val="1"/>
          <w:numId w:val="7"/>
        </w:numPr>
      </w:pPr>
      <w:r w:rsidRPr="003F5699">
        <w:rPr>
          <w:b/>
          <w:bCs/>
        </w:rPr>
        <w:t>North America:</w:t>
      </w:r>
      <w:r w:rsidRPr="003F5699">
        <w:t xml:space="preserve"> Flat (0%). Growth in juice and dairy was offset by a 4% drop in water and tea.</w:t>
      </w:r>
    </w:p>
    <w:p w14:paraId="6B75D80A" w14:textId="77777777" w:rsidR="003F5699" w:rsidRPr="003F5699" w:rsidRDefault="003F5699" w:rsidP="003F5699">
      <w:pPr>
        <w:numPr>
          <w:ilvl w:val="1"/>
          <w:numId w:val="7"/>
        </w:numPr>
      </w:pPr>
      <w:r w:rsidRPr="003F5699">
        <w:rPr>
          <w:b/>
          <w:bCs/>
        </w:rPr>
        <w:t>Asia Pacific:</w:t>
      </w:r>
      <w:r w:rsidRPr="003F5699">
        <w:t xml:space="preserve"> </w:t>
      </w:r>
      <w:r w:rsidRPr="003F5699">
        <w:rPr>
          <w:b/>
          <w:bCs/>
        </w:rPr>
        <w:t>+1% growth</w:t>
      </w:r>
      <w:r w:rsidRPr="003F5699">
        <w:t xml:space="preserve">, with strong performance in </w:t>
      </w:r>
      <w:r w:rsidRPr="003F5699">
        <w:rPr>
          <w:b/>
          <w:bCs/>
        </w:rPr>
        <w:t>India (+7%)</w:t>
      </w:r>
      <w:r w:rsidRPr="003F5699">
        <w:t xml:space="preserve"> and ASEAN markets, offset by a 5% decline in China.</w:t>
      </w:r>
    </w:p>
    <w:p w14:paraId="22EDF4FD" w14:textId="77777777" w:rsidR="003F5699" w:rsidRPr="003F5699" w:rsidRDefault="003F5699" w:rsidP="003F5699">
      <w:pPr>
        <w:numPr>
          <w:ilvl w:val="0"/>
          <w:numId w:val="7"/>
        </w:numPr>
      </w:pPr>
      <w:r w:rsidRPr="003F5699">
        <w:rPr>
          <w:b/>
          <w:bCs/>
        </w:rPr>
        <w:t>Strategic Shifts:</w:t>
      </w:r>
      <w:r w:rsidRPr="003F5699">
        <w:t xml:space="preserve"> </w:t>
      </w:r>
      <w:r w:rsidRPr="003F5699">
        <w:rPr>
          <w:b/>
          <w:bCs/>
        </w:rPr>
        <w:t>Global Ventures</w:t>
      </w:r>
      <w:r w:rsidRPr="003F5699">
        <w:t xml:space="preserve"> grew by 2% (energy drinks), while </w:t>
      </w:r>
      <w:r w:rsidRPr="003F5699">
        <w:rPr>
          <w:b/>
          <w:bCs/>
        </w:rPr>
        <w:t>Bottling Investments</w:t>
      </w:r>
      <w:r w:rsidRPr="003F5699">
        <w:t xml:space="preserve"> dropped </w:t>
      </w:r>
      <w:r w:rsidRPr="003F5699">
        <w:rPr>
          <w:b/>
          <w:bCs/>
        </w:rPr>
        <w:t>23%</w:t>
      </w:r>
      <w:r w:rsidRPr="003F5699">
        <w:t>—a direct result of the strategic move to refranchise bottling territories.</w:t>
      </w:r>
    </w:p>
    <w:p w14:paraId="1DDC6368" w14:textId="77777777" w:rsidR="003F5699" w:rsidRPr="003F5699" w:rsidRDefault="003F5699" w:rsidP="003F5699">
      <w:pPr>
        <w:rPr>
          <w:b/>
          <w:bCs/>
        </w:rPr>
      </w:pPr>
      <w:r w:rsidRPr="003F5699">
        <w:rPr>
          <w:b/>
          <w:bCs/>
        </w:rPr>
        <w:t>5. Liquidity, Solvency, and Efficiency</w:t>
      </w:r>
    </w:p>
    <w:p w14:paraId="7AD93793" w14:textId="70E0D233" w:rsidR="00EB2705" w:rsidRPr="00865B04" w:rsidRDefault="009B1FB1" w:rsidP="003F5699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Debt Ratios </w:t>
      </w:r>
      <w:r>
        <w:t>is steady across year</w:t>
      </w:r>
      <w:r w:rsidR="00865B04">
        <w:t xml:space="preserve">. There equally proportional growth of assets and liabilities </w:t>
      </w:r>
    </w:p>
    <w:p w14:paraId="4AD2D56A" w14:textId="77777777" w:rsidR="004B1021" w:rsidRDefault="00D34F69" w:rsidP="003F5699">
      <w:pPr>
        <w:numPr>
          <w:ilvl w:val="0"/>
          <w:numId w:val="8"/>
        </w:numPr>
      </w:pPr>
      <w:r>
        <w:rPr>
          <w:b/>
          <w:bCs/>
        </w:rPr>
        <w:t xml:space="preserve">FY 2022 </w:t>
      </w:r>
      <w:r w:rsidR="00FE3955">
        <w:rPr>
          <w:b/>
          <w:bCs/>
        </w:rPr>
        <w:t>–</w:t>
      </w:r>
      <w:r>
        <w:rPr>
          <w:b/>
          <w:bCs/>
        </w:rPr>
        <w:t xml:space="preserve"> </w:t>
      </w:r>
      <w:r w:rsidR="00FE3955" w:rsidRPr="000A4A06">
        <w:rPr>
          <w:b/>
          <w:bCs/>
        </w:rPr>
        <w:t>Interest coverage</w:t>
      </w:r>
      <w:r w:rsidR="00FE3955" w:rsidRPr="00995E02">
        <w:t xml:space="preserve"> ratios spiked primarily due to less</w:t>
      </w:r>
      <w:r w:rsidR="00995E02" w:rsidRPr="00995E02">
        <w:t xml:space="preserve"> Interest expense </w:t>
      </w:r>
      <w:r w:rsidR="00E13B36">
        <w:t xml:space="preserve">of </w:t>
      </w:r>
      <w:r w:rsidR="00995E02" w:rsidRPr="00995E02">
        <w:t xml:space="preserve"> $882 million in 2022</w:t>
      </w:r>
      <w:r w:rsidR="00E13B36">
        <w:t xml:space="preserve">, </w:t>
      </w:r>
      <w:r w:rsidR="00E13B36" w:rsidRPr="00E13B36">
        <w:t xml:space="preserve"> This decrease was primarily due to charges in 2021 of $650 million associated with </w:t>
      </w:r>
      <w:r w:rsidR="00E13B36" w:rsidRPr="00746481">
        <w:rPr>
          <w:b/>
          <w:bCs/>
        </w:rPr>
        <w:t>the extinguishment of long-term debt and certain hedging activities</w:t>
      </w:r>
      <w:r w:rsidR="00E13B36" w:rsidRPr="00E13B36">
        <w:t xml:space="preserve"> that occurred during 2021, partially offset by the impact of higher interest rates in 2022. </w:t>
      </w:r>
      <w:r w:rsidR="000A4A06">
        <w:br/>
      </w:r>
      <w:r w:rsidR="000A4A06">
        <w:br/>
      </w:r>
      <w:r w:rsidR="000A4A06">
        <w:br/>
      </w:r>
      <w:r w:rsidR="000A4A06">
        <w:br/>
      </w:r>
      <w:r w:rsidR="000A4A06">
        <w:br/>
      </w:r>
    </w:p>
    <w:p w14:paraId="1F359886" w14:textId="35E9FC84" w:rsidR="00F72D15" w:rsidRDefault="00F72D15" w:rsidP="003F5699">
      <w:pPr>
        <w:numPr>
          <w:ilvl w:val="0"/>
          <w:numId w:val="8"/>
        </w:numPr>
      </w:pPr>
      <w:r w:rsidRPr="00F72D15">
        <w:lastRenderedPageBreak/>
        <w:t xml:space="preserve">Liquidity ratios declined over the period primarily due to faster growth in </w:t>
      </w:r>
      <w:r w:rsidRPr="009D5FC7">
        <w:rPr>
          <w:b/>
          <w:bCs/>
        </w:rPr>
        <w:t>current liabilities relative to current asset</w:t>
      </w:r>
      <w:r w:rsidR="009D5FC7" w:rsidRPr="009D5FC7">
        <w:rPr>
          <w:b/>
          <w:bCs/>
        </w:rPr>
        <w:t>s</w:t>
      </w:r>
      <w:r w:rsidRPr="00F72D15">
        <w:t xml:space="preserve">. </w:t>
      </w:r>
    </w:p>
    <w:p w14:paraId="2964413A" w14:textId="6A707909" w:rsidR="00D61311" w:rsidRDefault="00F72D15" w:rsidP="003F5699">
      <w:pPr>
        <w:numPr>
          <w:ilvl w:val="0"/>
          <w:numId w:val="8"/>
        </w:numPr>
      </w:pPr>
      <w:r w:rsidRPr="00F72D15">
        <w:t xml:space="preserve">Despite this decline, working capital efficiency improved </w:t>
      </w:r>
      <w:r w:rsidR="00537258">
        <w:t xml:space="preserve">which </w:t>
      </w:r>
      <w:r w:rsidRPr="00F72D15">
        <w:t>reflected in lower DSO and DIO, higher DPO, and a significantly shorter cash conversion cycle.</w:t>
      </w:r>
    </w:p>
    <w:p w14:paraId="4FB3A8D8" w14:textId="0BD80EA3" w:rsidR="004B1021" w:rsidRDefault="00BC2C8A" w:rsidP="003F5699">
      <w:pPr>
        <w:numPr>
          <w:ilvl w:val="0"/>
          <w:numId w:val="8"/>
        </w:numPr>
      </w:pPr>
      <w:r>
        <w:t xml:space="preserve">The </w:t>
      </w:r>
      <w:r w:rsidR="00D61311">
        <w:t>C</w:t>
      </w:r>
      <w:r w:rsidR="00F72D15" w:rsidRPr="00F72D15">
        <w:t xml:space="preserve">ompany’s trade receivables </w:t>
      </w:r>
      <w:r w:rsidR="00F72D15" w:rsidRPr="00F72D15">
        <w:rPr>
          <w:b/>
          <w:bCs/>
        </w:rPr>
        <w:t>factoring program</w:t>
      </w:r>
      <w:r w:rsidR="00F72D15" w:rsidRPr="00F72D15">
        <w:t xml:space="preserve"> reduced reported receivables by accelerating cash inflows,</w:t>
      </w:r>
      <w:r w:rsidR="00D61311">
        <w:t xml:space="preserve"> </w:t>
      </w:r>
      <w:r w:rsidR="00D61311" w:rsidRPr="00D61311">
        <w:t>Company sold $21,873 million and $17,704 million of trade accounts receivables under this program during the years ended December 31, 2024 and 202</w:t>
      </w:r>
      <w:r w:rsidR="004B1021">
        <w:t>2.</w:t>
      </w:r>
    </w:p>
    <w:p w14:paraId="243D660C" w14:textId="4C50962A" w:rsidR="00F5081B" w:rsidRPr="006F1A3D" w:rsidRDefault="0048124F" w:rsidP="00F5081B">
      <w:pPr>
        <w:numPr>
          <w:ilvl w:val="0"/>
          <w:numId w:val="8"/>
        </w:numPr>
      </w:pPr>
      <w:r>
        <w:t>This supporting cash efficiency</w:t>
      </w:r>
      <w:r w:rsidR="00F72D15" w:rsidRPr="00F72D15">
        <w:t xml:space="preserve"> while lowering liquidity ratios. Overall, the trend reflects improved cash discipline rather than liquidity stress.</w:t>
      </w:r>
    </w:p>
    <w:p w14:paraId="056AC1EC" w14:textId="77777777" w:rsidR="00EB2705" w:rsidRDefault="00EB2705" w:rsidP="003F5699">
      <w:pPr>
        <w:rPr>
          <w:b/>
          <w:bCs/>
        </w:rPr>
      </w:pPr>
    </w:p>
    <w:p w14:paraId="2CC6C4F8" w14:textId="497F2F45" w:rsidR="003F5699" w:rsidRPr="003F5699" w:rsidRDefault="003F5699" w:rsidP="003F5699">
      <w:pPr>
        <w:rPr>
          <w:b/>
          <w:bCs/>
        </w:rPr>
      </w:pPr>
      <w:r w:rsidRPr="003F5699">
        <w:rPr>
          <w:b/>
          <w:bCs/>
        </w:rPr>
        <w:t>6. ESG (Environmental, Social, and Governance)</w:t>
      </w:r>
    </w:p>
    <w:p w14:paraId="607F1697" w14:textId="77777777" w:rsidR="003F5699" w:rsidRPr="003F5699" w:rsidRDefault="003F5699" w:rsidP="003F5699">
      <w:pPr>
        <w:numPr>
          <w:ilvl w:val="0"/>
          <w:numId w:val="9"/>
        </w:numPr>
      </w:pPr>
      <w:r w:rsidRPr="003F5699">
        <w:rPr>
          <w:b/>
          <w:bCs/>
        </w:rPr>
        <w:t>Emissions:</w:t>
      </w:r>
      <w:r w:rsidRPr="003F5699">
        <w:t xml:space="preserve"> Scope 1 and 2 emissions remain stable. </w:t>
      </w:r>
      <w:r w:rsidRPr="003F5699">
        <w:rPr>
          <w:b/>
          <w:bCs/>
        </w:rPr>
        <w:t>Scope 3 emissions saw a massive spike</w:t>
      </w:r>
      <w:r w:rsidRPr="003F5699">
        <w:t>, which is attributed to the change in reporting boundaries (acquisitions/refranchising) rather than operational failure.</w:t>
      </w:r>
    </w:p>
    <w:p w14:paraId="0692770D" w14:textId="77777777" w:rsidR="003F5699" w:rsidRPr="003F5699" w:rsidRDefault="003F5699" w:rsidP="003F5699">
      <w:pPr>
        <w:numPr>
          <w:ilvl w:val="0"/>
          <w:numId w:val="9"/>
        </w:numPr>
      </w:pPr>
      <w:r w:rsidRPr="003F5699">
        <w:rPr>
          <w:b/>
          <w:bCs/>
        </w:rPr>
        <w:t>Energy:</w:t>
      </w:r>
      <w:r w:rsidRPr="003F5699">
        <w:t xml:space="preserve"> There is a </w:t>
      </w:r>
      <w:r w:rsidRPr="003F5699">
        <w:rPr>
          <w:b/>
          <w:bCs/>
        </w:rPr>
        <w:t>sharp reduction in total energy consumption</w:t>
      </w:r>
      <w:r w:rsidRPr="003F5699">
        <w:t xml:space="preserve"> alongside a major increase in renewable energy usage. (Note: The specific cause for this steep dip was not explicitly disclosed in the report).</w:t>
      </w:r>
    </w:p>
    <w:p w14:paraId="3BEDD92F" w14:textId="77777777" w:rsidR="003F5699" w:rsidRPr="003F5699" w:rsidRDefault="003F5699" w:rsidP="003F5699">
      <w:pPr>
        <w:numPr>
          <w:ilvl w:val="0"/>
          <w:numId w:val="9"/>
        </w:numPr>
      </w:pPr>
      <w:r w:rsidRPr="003F5699">
        <w:rPr>
          <w:b/>
          <w:bCs/>
        </w:rPr>
        <w:t>Water Stewardship:</w:t>
      </w:r>
      <w:r w:rsidRPr="003F5699">
        <w:t xml:space="preserve"> The company demonstrated improved </w:t>
      </w:r>
      <w:r w:rsidRPr="003F5699">
        <w:rPr>
          <w:b/>
          <w:bCs/>
        </w:rPr>
        <w:t>water efficiency</w:t>
      </w:r>
      <w:r w:rsidRPr="003F5699">
        <w:t xml:space="preserve">. Even as total water usage increased, the </w:t>
      </w:r>
      <w:r w:rsidRPr="003F5699">
        <w:rPr>
          <w:b/>
          <w:bCs/>
        </w:rPr>
        <w:t>water intensity per million in revenue decreased</w:t>
      </w:r>
      <w:r w:rsidRPr="003F5699">
        <w:t>, showing that the company is generating more value for every drop of water used.</w:t>
      </w:r>
    </w:p>
    <w:p w14:paraId="6AE080BA" w14:textId="17ABE872" w:rsidR="00B106E8" w:rsidRPr="003F5699" w:rsidRDefault="00B106E8" w:rsidP="003F5699"/>
    <w:sectPr w:rsidR="00B106E8" w:rsidRPr="003F5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A88"/>
    <w:multiLevelType w:val="multilevel"/>
    <w:tmpl w:val="513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26FB"/>
    <w:multiLevelType w:val="multilevel"/>
    <w:tmpl w:val="30C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65318"/>
    <w:multiLevelType w:val="multilevel"/>
    <w:tmpl w:val="104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20D59"/>
    <w:multiLevelType w:val="multilevel"/>
    <w:tmpl w:val="629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85402"/>
    <w:multiLevelType w:val="multilevel"/>
    <w:tmpl w:val="108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126E0"/>
    <w:multiLevelType w:val="hybridMultilevel"/>
    <w:tmpl w:val="463A78B0"/>
    <w:lvl w:ilvl="0" w:tplc="BDBA3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802CD"/>
    <w:multiLevelType w:val="hybridMultilevel"/>
    <w:tmpl w:val="9DB253BA"/>
    <w:lvl w:ilvl="0" w:tplc="7C8EB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07FD7"/>
    <w:multiLevelType w:val="hybridMultilevel"/>
    <w:tmpl w:val="45D2EA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BE2147"/>
    <w:multiLevelType w:val="multilevel"/>
    <w:tmpl w:val="B3B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43459">
    <w:abstractNumId w:val="6"/>
  </w:num>
  <w:num w:numId="2" w16cid:durableId="928318238">
    <w:abstractNumId w:val="7"/>
  </w:num>
  <w:num w:numId="3" w16cid:durableId="1318345669">
    <w:abstractNumId w:val="5"/>
  </w:num>
  <w:num w:numId="4" w16cid:durableId="1730155870">
    <w:abstractNumId w:val="4"/>
  </w:num>
  <w:num w:numId="5" w16cid:durableId="2108114395">
    <w:abstractNumId w:val="8"/>
  </w:num>
  <w:num w:numId="6" w16cid:durableId="274487385">
    <w:abstractNumId w:val="3"/>
  </w:num>
  <w:num w:numId="7" w16cid:durableId="1087077457">
    <w:abstractNumId w:val="2"/>
  </w:num>
  <w:num w:numId="8" w16cid:durableId="1517496822">
    <w:abstractNumId w:val="1"/>
  </w:num>
  <w:num w:numId="9" w16cid:durableId="55084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C6"/>
    <w:rsid w:val="000070FF"/>
    <w:rsid w:val="00041A19"/>
    <w:rsid w:val="000676CF"/>
    <w:rsid w:val="000773B5"/>
    <w:rsid w:val="000A4A06"/>
    <w:rsid w:val="000A4ECC"/>
    <w:rsid w:val="000E7A0C"/>
    <w:rsid w:val="00160CC2"/>
    <w:rsid w:val="001D658F"/>
    <w:rsid w:val="0020350D"/>
    <w:rsid w:val="0022146D"/>
    <w:rsid w:val="00293095"/>
    <w:rsid w:val="002C0863"/>
    <w:rsid w:val="00311639"/>
    <w:rsid w:val="00350691"/>
    <w:rsid w:val="00392930"/>
    <w:rsid w:val="003B2E05"/>
    <w:rsid w:val="003C2752"/>
    <w:rsid w:val="003F5699"/>
    <w:rsid w:val="00480801"/>
    <w:rsid w:val="0048124F"/>
    <w:rsid w:val="004B1021"/>
    <w:rsid w:val="004E1DEF"/>
    <w:rsid w:val="004F7598"/>
    <w:rsid w:val="00537258"/>
    <w:rsid w:val="00550E30"/>
    <w:rsid w:val="00576F5B"/>
    <w:rsid w:val="005941E5"/>
    <w:rsid w:val="005B23EC"/>
    <w:rsid w:val="005B69F4"/>
    <w:rsid w:val="005C3A01"/>
    <w:rsid w:val="005F541D"/>
    <w:rsid w:val="00676D9E"/>
    <w:rsid w:val="0069254E"/>
    <w:rsid w:val="006A58C6"/>
    <w:rsid w:val="006F1A3D"/>
    <w:rsid w:val="006F6A1E"/>
    <w:rsid w:val="00746481"/>
    <w:rsid w:val="00763572"/>
    <w:rsid w:val="007A41DA"/>
    <w:rsid w:val="008201F8"/>
    <w:rsid w:val="00825488"/>
    <w:rsid w:val="008335AD"/>
    <w:rsid w:val="00865B04"/>
    <w:rsid w:val="008749C3"/>
    <w:rsid w:val="00891870"/>
    <w:rsid w:val="008B326D"/>
    <w:rsid w:val="008B63DE"/>
    <w:rsid w:val="00900186"/>
    <w:rsid w:val="0090026B"/>
    <w:rsid w:val="009077C1"/>
    <w:rsid w:val="00995E02"/>
    <w:rsid w:val="009B1FB1"/>
    <w:rsid w:val="009C4D8C"/>
    <w:rsid w:val="009D5FC7"/>
    <w:rsid w:val="00A06B43"/>
    <w:rsid w:val="00A66854"/>
    <w:rsid w:val="00A8422D"/>
    <w:rsid w:val="00AB0D49"/>
    <w:rsid w:val="00AB16EC"/>
    <w:rsid w:val="00B106E8"/>
    <w:rsid w:val="00B4398A"/>
    <w:rsid w:val="00B6611A"/>
    <w:rsid w:val="00B84DCC"/>
    <w:rsid w:val="00B877E1"/>
    <w:rsid w:val="00BC2C8A"/>
    <w:rsid w:val="00BC3B77"/>
    <w:rsid w:val="00BE23D5"/>
    <w:rsid w:val="00BE7632"/>
    <w:rsid w:val="00C046D4"/>
    <w:rsid w:val="00D1180B"/>
    <w:rsid w:val="00D34F69"/>
    <w:rsid w:val="00D61311"/>
    <w:rsid w:val="00D74DF4"/>
    <w:rsid w:val="00D831C2"/>
    <w:rsid w:val="00D8711A"/>
    <w:rsid w:val="00DC0941"/>
    <w:rsid w:val="00DC3977"/>
    <w:rsid w:val="00DD23EB"/>
    <w:rsid w:val="00E10035"/>
    <w:rsid w:val="00E1156F"/>
    <w:rsid w:val="00E13B36"/>
    <w:rsid w:val="00E2556B"/>
    <w:rsid w:val="00E45F25"/>
    <w:rsid w:val="00E769AC"/>
    <w:rsid w:val="00E77261"/>
    <w:rsid w:val="00EB2705"/>
    <w:rsid w:val="00EB410E"/>
    <w:rsid w:val="00EF4425"/>
    <w:rsid w:val="00F5081B"/>
    <w:rsid w:val="00F72D15"/>
    <w:rsid w:val="00F972BD"/>
    <w:rsid w:val="00FD1CC3"/>
    <w:rsid w:val="00FE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0E3E"/>
  <w15:chartTrackingRefBased/>
  <w15:docId w15:val="{6FEA298C-3BF4-4DA6-BA71-112B41CE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Sankarnarayanan B</dc:creator>
  <cp:keywords/>
  <dc:description/>
  <cp:lastModifiedBy>Sankarnarayanan B</cp:lastModifiedBy>
  <cp:revision>92</cp:revision>
  <dcterms:created xsi:type="dcterms:W3CDTF">2026-01-03T11:09:00Z</dcterms:created>
  <dcterms:modified xsi:type="dcterms:W3CDTF">2026-01-11T16:44:00Z</dcterms:modified>
</cp:coreProperties>
</file>