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5E3C1" w14:textId="77777777" w:rsidR="00097B70" w:rsidRPr="00097B70" w:rsidRDefault="00097B70" w:rsidP="00097B70">
      <w:pPr>
        <w:rPr>
          <w:b/>
          <w:bCs/>
        </w:rPr>
      </w:pPr>
      <w:r w:rsidRPr="00097B70">
        <w:rPr>
          <w:b/>
          <w:bCs/>
        </w:rPr>
        <w:t>1. Key Financial Metrics</w:t>
      </w:r>
    </w:p>
    <w:p w14:paraId="737F40D9" w14:textId="77777777" w:rsidR="00097B70" w:rsidRPr="00097B70" w:rsidRDefault="00097B70" w:rsidP="00097B70">
      <w:r w:rsidRPr="00097B70">
        <w:rPr>
          <w:b/>
          <w:bCs/>
        </w:rPr>
        <w:t>Net Income Volatility (FY 2022):</w:t>
      </w:r>
      <w:r w:rsidRPr="00097B70">
        <w:br/>
        <w:t xml:space="preserve">Overall performance weakened in 2022 mainly because of a </w:t>
      </w:r>
      <w:r w:rsidRPr="00097B70">
        <w:rPr>
          <w:b/>
          <w:bCs/>
        </w:rPr>
        <w:t>$262 million net non-operating loss</w:t>
      </w:r>
      <w:r w:rsidRPr="00097B70">
        <w:t>. This was caused by:</w:t>
      </w:r>
    </w:p>
    <w:p w14:paraId="73E7A796" w14:textId="77777777" w:rsidR="00097B70" w:rsidRPr="00097B70" w:rsidRDefault="00097B70" w:rsidP="00097B70">
      <w:pPr>
        <w:numPr>
          <w:ilvl w:val="0"/>
          <w:numId w:val="10"/>
        </w:numPr>
      </w:pPr>
      <w:r w:rsidRPr="00097B70">
        <w:t>$371 million loss on equity and debt investments</w:t>
      </w:r>
    </w:p>
    <w:p w14:paraId="19150EEB" w14:textId="77777777" w:rsidR="00097B70" w:rsidRPr="00097B70" w:rsidRDefault="00097B70" w:rsidP="00097B70">
      <w:pPr>
        <w:numPr>
          <w:ilvl w:val="0"/>
          <w:numId w:val="10"/>
        </w:numPr>
      </w:pPr>
      <w:r w:rsidRPr="00097B70">
        <w:t>$236 million loss from foreign currency movements</w:t>
      </w:r>
    </w:p>
    <w:p w14:paraId="57EA16BA" w14:textId="77777777" w:rsidR="00097B70" w:rsidRPr="00097B70" w:rsidRDefault="00097B70" w:rsidP="00097B70">
      <w:pPr>
        <w:numPr>
          <w:ilvl w:val="0"/>
          <w:numId w:val="10"/>
        </w:numPr>
      </w:pPr>
      <w:r w:rsidRPr="00097B70">
        <w:t>$96 million impairment related to Russian operations</w:t>
      </w:r>
    </w:p>
    <w:p w14:paraId="4A76B0BE" w14:textId="77777777" w:rsidR="00097B70" w:rsidRPr="00097B70" w:rsidRDefault="00097B70" w:rsidP="00097B70">
      <w:r w:rsidRPr="00097B70">
        <w:t>These were partly offset by:</w:t>
      </w:r>
    </w:p>
    <w:p w14:paraId="46673454" w14:textId="77777777" w:rsidR="00097B70" w:rsidRPr="00097B70" w:rsidRDefault="00097B70" w:rsidP="00097B70">
      <w:pPr>
        <w:numPr>
          <w:ilvl w:val="0"/>
          <w:numId w:val="11"/>
        </w:numPr>
      </w:pPr>
      <w:r w:rsidRPr="00097B70">
        <w:t>$219 million pension benefit income</w:t>
      </w:r>
    </w:p>
    <w:p w14:paraId="004F430D" w14:textId="77777777" w:rsidR="00097B70" w:rsidRPr="00097B70" w:rsidRDefault="00097B70" w:rsidP="00097B70">
      <w:pPr>
        <w:numPr>
          <w:ilvl w:val="0"/>
          <w:numId w:val="11"/>
        </w:numPr>
      </w:pPr>
      <w:r w:rsidRPr="00097B70">
        <w:t>$153 million gain from refranchising Cambodia bottling operations</w:t>
      </w:r>
    </w:p>
    <w:p w14:paraId="7BCBF69A" w14:textId="77777777" w:rsidR="00097B70" w:rsidRPr="00097B70" w:rsidRDefault="00097B70" w:rsidP="00097B70">
      <w:r w:rsidRPr="00097B70">
        <w:rPr>
          <w:b/>
          <w:bCs/>
        </w:rPr>
        <w:t>Reporting Boundary Changes:</w:t>
      </w:r>
      <w:r w:rsidRPr="00097B70">
        <w:br/>
        <w:t>Data for FY 2023 and FY 2024 includes changes in reporting structure due to acquisitions and refranchising, which affects year-over-year comparison.</w:t>
      </w:r>
    </w:p>
    <w:p w14:paraId="5AC06A94" w14:textId="77777777" w:rsidR="00097B70" w:rsidRPr="00097B70" w:rsidRDefault="00097B70" w:rsidP="00097B70">
      <w:r w:rsidRPr="00097B70">
        <w:rPr>
          <w:b/>
          <w:bCs/>
        </w:rPr>
        <w:t>Operating Profit Pressure (FY 2024):</w:t>
      </w:r>
      <w:r w:rsidRPr="00097B70">
        <w:br/>
        <w:t xml:space="preserve">EBIT and EBITDA declined mainly due to </w:t>
      </w:r>
      <w:r w:rsidRPr="00097B70">
        <w:rPr>
          <w:b/>
          <w:bCs/>
        </w:rPr>
        <w:t>$4.16 billion in Other Operating Charges</w:t>
      </w:r>
      <w:r w:rsidRPr="00097B70">
        <w:t>, including:</w:t>
      </w:r>
    </w:p>
    <w:p w14:paraId="22C5A8ED" w14:textId="77777777" w:rsidR="00097B70" w:rsidRPr="00097B70" w:rsidRDefault="00097B70" w:rsidP="00097B70">
      <w:pPr>
        <w:numPr>
          <w:ilvl w:val="0"/>
          <w:numId w:val="12"/>
        </w:numPr>
      </w:pPr>
      <w:r w:rsidRPr="00097B70">
        <w:t>$3.1 billion related to the Fairlife acquisition (liability remeasurement)</w:t>
      </w:r>
    </w:p>
    <w:p w14:paraId="13EE5AED" w14:textId="77777777" w:rsidR="00097B70" w:rsidRPr="00097B70" w:rsidRDefault="00097B70" w:rsidP="00097B70">
      <w:pPr>
        <w:numPr>
          <w:ilvl w:val="0"/>
          <w:numId w:val="12"/>
        </w:numPr>
      </w:pPr>
      <w:r w:rsidRPr="00097B70">
        <w:t>$760 million impairment of the BodyArmor brand</w:t>
      </w:r>
    </w:p>
    <w:p w14:paraId="3A22ECDF" w14:textId="77777777" w:rsidR="00097B70" w:rsidRPr="00097B70" w:rsidRDefault="00097B70" w:rsidP="00097B70">
      <w:r w:rsidRPr="00097B70">
        <w:pict w14:anchorId="3706292C">
          <v:rect id="_x0000_i1115" style="width:0;height:1.5pt" o:hralign="center" o:hrstd="t" o:hr="t" fillcolor="#a0a0a0" stroked="f"/>
        </w:pict>
      </w:r>
    </w:p>
    <w:p w14:paraId="68E5F862" w14:textId="77777777" w:rsidR="00097B70" w:rsidRPr="00097B70" w:rsidRDefault="00097B70" w:rsidP="00097B70">
      <w:pPr>
        <w:rPr>
          <w:b/>
          <w:bCs/>
        </w:rPr>
      </w:pPr>
      <w:r w:rsidRPr="00097B70">
        <w:rPr>
          <w:b/>
          <w:bCs/>
        </w:rPr>
        <w:t>2. Profitability and Expense Analysis</w:t>
      </w:r>
    </w:p>
    <w:p w14:paraId="5976AB7B" w14:textId="77777777" w:rsidR="00097B70" w:rsidRPr="00097B70" w:rsidRDefault="00097B70" w:rsidP="00097B70">
      <w:r w:rsidRPr="00097B70">
        <w:rPr>
          <w:b/>
          <w:bCs/>
        </w:rPr>
        <w:t>Gross Margin Improvement:</w:t>
      </w:r>
      <w:r w:rsidRPr="00097B70">
        <w:br/>
        <w:t xml:space="preserve">Gross margin increased to </w:t>
      </w:r>
      <w:r w:rsidRPr="00097B70">
        <w:rPr>
          <w:b/>
          <w:bCs/>
        </w:rPr>
        <w:t>61.1% in 2024</w:t>
      </w:r>
      <w:r w:rsidRPr="00097B70">
        <w:t xml:space="preserve"> from </w:t>
      </w:r>
      <w:r w:rsidRPr="00097B70">
        <w:rPr>
          <w:b/>
          <w:bCs/>
        </w:rPr>
        <w:t>59.5% in 2023</w:t>
      </w:r>
      <w:r w:rsidRPr="00097B70">
        <w:t>. This was mainly due to better pricing and refranchising in Asia, which helped offset higher commodity costs and currency impact.</w:t>
      </w:r>
    </w:p>
    <w:p w14:paraId="389D6C65" w14:textId="77777777" w:rsidR="00097B70" w:rsidRPr="00097B70" w:rsidRDefault="00097B70" w:rsidP="00097B70">
      <w:r w:rsidRPr="00097B70">
        <w:rPr>
          <w:b/>
          <w:bCs/>
        </w:rPr>
        <w:t>Net Income vs EBIT:</w:t>
      </w:r>
      <w:r w:rsidRPr="00097B70">
        <w:br/>
        <w:t xml:space="preserve">In FY 2024, Net Income was higher than EBIT because of </w:t>
      </w:r>
      <w:r w:rsidRPr="00097B70">
        <w:rPr>
          <w:b/>
          <w:bCs/>
        </w:rPr>
        <w:t>one-time non-operating gains</w:t>
      </w:r>
      <w:r w:rsidRPr="00097B70">
        <w:t>, not because of stronger core operations.</w:t>
      </w:r>
    </w:p>
    <w:p w14:paraId="0A5428F3" w14:textId="77777777" w:rsidR="00097B70" w:rsidRPr="00097B70" w:rsidRDefault="00097B70" w:rsidP="00097B70">
      <w:r w:rsidRPr="00097B70">
        <w:rPr>
          <w:b/>
          <w:bCs/>
        </w:rPr>
        <w:t>Operating Expenses:</w:t>
      </w:r>
      <w:r w:rsidRPr="00097B70">
        <w:br/>
        <w:t xml:space="preserve">SG&amp;A expenses increased by </w:t>
      </w:r>
      <w:r w:rsidRPr="00097B70">
        <w:rPr>
          <w:b/>
          <w:bCs/>
        </w:rPr>
        <w:t>4% ($610 million)</w:t>
      </w:r>
      <w:r w:rsidRPr="00097B70">
        <w:t xml:space="preserve"> due to higher advertising and stock-based compensation. This was partly offset by lower distribution costs.</w:t>
      </w:r>
    </w:p>
    <w:p w14:paraId="59B3A5FA" w14:textId="77777777" w:rsidR="00097B70" w:rsidRPr="00097B70" w:rsidRDefault="00097B70" w:rsidP="00097B70">
      <w:r w:rsidRPr="00097B70">
        <w:rPr>
          <w:b/>
          <w:bCs/>
        </w:rPr>
        <w:t>Refranchising Gains:</w:t>
      </w:r>
      <w:r w:rsidRPr="00097B70">
        <w:br/>
        <w:t>The company recorded gains from selling bottling operations:</w:t>
      </w:r>
    </w:p>
    <w:p w14:paraId="5BF34E65" w14:textId="77777777" w:rsidR="00097B70" w:rsidRPr="00097B70" w:rsidRDefault="00097B70" w:rsidP="00097B70">
      <w:pPr>
        <w:numPr>
          <w:ilvl w:val="0"/>
          <w:numId w:val="13"/>
        </w:numPr>
      </w:pPr>
      <w:r w:rsidRPr="00097B70">
        <w:t>$595 million (Philippines)</w:t>
      </w:r>
    </w:p>
    <w:p w14:paraId="20136C15" w14:textId="77777777" w:rsidR="00097B70" w:rsidRPr="00097B70" w:rsidRDefault="00097B70" w:rsidP="00097B70">
      <w:pPr>
        <w:numPr>
          <w:ilvl w:val="0"/>
          <w:numId w:val="13"/>
        </w:numPr>
      </w:pPr>
      <w:r w:rsidRPr="00097B70">
        <w:lastRenderedPageBreak/>
        <w:t>$506 million (Thailand)</w:t>
      </w:r>
    </w:p>
    <w:p w14:paraId="242630FB" w14:textId="77777777" w:rsidR="00097B70" w:rsidRPr="00097B70" w:rsidRDefault="00097B70" w:rsidP="00097B70">
      <w:pPr>
        <w:numPr>
          <w:ilvl w:val="0"/>
          <w:numId w:val="13"/>
        </w:numPr>
      </w:pPr>
      <w:r w:rsidRPr="00097B70">
        <w:t>$338 million (Coke Consolidated)</w:t>
      </w:r>
    </w:p>
    <w:p w14:paraId="6831CE5E" w14:textId="77777777" w:rsidR="00097B70" w:rsidRPr="00097B70" w:rsidRDefault="00097B70" w:rsidP="00097B70">
      <w:pPr>
        <w:numPr>
          <w:ilvl w:val="0"/>
          <w:numId w:val="13"/>
        </w:numPr>
      </w:pPr>
      <w:r w:rsidRPr="00097B70">
        <w:t>$303 million (India)</w:t>
      </w:r>
    </w:p>
    <w:p w14:paraId="59C6ED66" w14:textId="77777777" w:rsidR="00097B70" w:rsidRPr="00097B70" w:rsidRDefault="00097B70" w:rsidP="00097B70">
      <w:r w:rsidRPr="00097B70">
        <w:pict w14:anchorId="026659F9">
          <v:rect id="_x0000_i1116" style="width:0;height:1.5pt" o:hralign="center" o:hrstd="t" o:hr="t" fillcolor="#a0a0a0" stroked="f"/>
        </w:pict>
      </w:r>
    </w:p>
    <w:p w14:paraId="3F8E488F" w14:textId="77777777" w:rsidR="00097B70" w:rsidRPr="00097B70" w:rsidRDefault="00097B70" w:rsidP="00097B70">
      <w:pPr>
        <w:rPr>
          <w:b/>
          <w:bCs/>
        </w:rPr>
      </w:pPr>
      <w:r w:rsidRPr="00097B70">
        <w:rPr>
          <w:b/>
          <w:bCs/>
        </w:rPr>
        <w:t>3. Segment and Geographic Performance</w:t>
      </w:r>
    </w:p>
    <w:p w14:paraId="50825C02" w14:textId="77777777" w:rsidR="00097B70" w:rsidRPr="00097B70" w:rsidRDefault="00097B70" w:rsidP="00097B70">
      <w:r w:rsidRPr="00097B70">
        <w:rPr>
          <w:b/>
          <w:bCs/>
        </w:rPr>
        <w:t>Business Segments:</w:t>
      </w:r>
      <w:r w:rsidRPr="00097B70">
        <w:br/>
        <w:t xml:space="preserve">The company operates through </w:t>
      </w:r>
      <w:r w:rsidRPr="00097B70">
        <w:rPr>
          <w:b/>
          <w:bCs/>
        </w:rPr>
        <w:t>Concentrate</w:t>
      </w:r>
      <w:r w:rsidRPr="00097B70">
        <w:t xml:space="preserve"> and </w:t>
      </w:r>
      <w:r w:rsidRPr="00097B70">
        <w:rPr>
          <w:b/>
          <w:bCs/>
        </w:rPr>
        <w:t>Finished Product</w:t>
      </w:r>
      <w:r w:rsidRPr="00097B70">
        <w:t xml:space="preserve"> segments. The Concentrate segment is currently the main growth driver.</w:t>
      </w:r>
    </w:p>
    <w:p w14:paraId="34108C33" w14:textId="77777777" w:rsidR="00097B70" w:rsidRPr="00097B70" w:rsidRDefault="00097B70" w:rsidP="00097B70">
      <w:r w:rsidRPr="00097B70">
        <w:rPr>
          <w:b/>
          <w:bCs/>
        </w:rPr>
        <w:t>Geographic Performance:</w:t>
      </w:r>
      <w:r w:rsidRPr="00097B70">
        <w:br/>
        <w:t>North America remains the largest revenue contributor. International regions were affected by foreign currency changes, which impacted reported growth even when underlying demand was stable.</w:t>
      </w:r>
    </w:p>
    <w:p w14:paraId="79DF4156" w14:textId="77777777" w:rsidR="00097B70" w:rsidRPr="00097B70" w:rsidRDefault="00097B70" w:rsidP="00097B70">
      <w:r w:rsidRPr="00097B70">
        <w:pict w14:anchorId="2B9668E5">
          <v:rect id="_x0000_i1117" style="width:0;height:1.5pt" o:hralign="center" o:hrstd="t" o:hr="t" fillcolor="#a0a0a0" stroked="f"/>
        </w:pict>
      </w:r>
    </w:p>
    <w:p w14:paraId="04DA8505" w14:textId="77777777" w:rsidR="00097B70" w:rsidRPr="00097B70" w:rsidRDefault="00097B70" w:rsidP="00097B70">
      <w:pPr>
        <w:rPr>
          <w:b/>
          <w:bCs/>
        </w:rPr>
      </w:pPr>
      <w:r w:rsidRPr="00097B70">
        <w:rPr>
          <w:b/>
          <w:bCs/>
        </w:rPr>
        <w:t>4. Unit Case Volume Trends</w:t>
      </w:r>
    </w:p>
    <w:p w14:paraId="4E2DBF32" w14:textId="77777777" w:rsidR="00097B70" w:rsidRPr="00097B70" w:rsidRDefault="00097B70" w:rsidP="00097B70">
      <w:r w:rsidRPr="00097B70">
        <w:rPr>
          <w:b/>
          <w:bCs/>
        </w:rPr>
        <w:t>Global Volume:</w:t>
      </w:r>
      <w:r w:rsidRPr="00097B70">
        <w:br/>
        <w:t xml:space="preserve">Total system volume increased slightly to </w:t>
      </w:r>
      <w:proofErr w:type="gramStart"/>
      <w:r w:rsidRPr="00097B70">
        <w:rPr>
          <w:b/>
          <w:bCs/>
        </w:rPr>
        <w:t>33.7 billion unit</w:t>
      </w:r>
      <w:proofErr w:type="gramEnd"/>
      <w:r w:rsidRPr="00097B70">
        <w:rPr>
          <w:b/>
          <w:bCs/>
        </w:rPr>
        <w:t xml:space="preserve"> cases</w:t>
      </w:r>
      <w:r w:rsidRPr="00097B70">
        <w:t xml:space="preserve"> in 2024.</w:t>
      </w:r>
    </w:p>
    <w:p w14:paraId="4C0CCBB6" w14:textId="77777777" w:rsidR="00097B70" w:rsidRPr="00097B70" w:rsidRDefault="00097B70" w:rsidP="00097B70">
      <w:r w:rsidRPr="00097B70">
        <w:rPr>
          <w:b/>
          <w:bCs/>
        </w:rPr>
        <w:t>Regional Performance:</w:t>
      </w:r>
    </w:p>
    <w:p w14:paraId="21EFEA33" w14:textId="77777777" w:rsidR="00097B70" w:rsidRPr="00097B70" w:rsidRDefault="00097B70" w:rsidP="00097B70">
      <w:pPr>
        <w:numPr>
          <w:ilvl w:val="0"/>
          <w:numId w:val="14"/>
        </w:numPr>
      </w:pPr>
      <w:r w:rsidRPr="00097B70">
        <w:rPr>
          <w:b/>
          <w:bCs/>
        </w:rPr>
        <w:t>EMEA:</w:t>
      </w:r>
      <w:r w:rsidRPr="00097B70">
        <w:t xml:space="preserve"> Flat growth (0%). Growth in water and sports drinks was offset by declines in juice and Trademark Coke.</w:t>
      </w:r>
    </w:p>
    <w:p w14:paraId="0BF85B48" w14:textId="77777777" w:rsidR="00097B70" w:rsidRPr="00097B70" w:rsidRDefault="00097B70" w:rsidP="00097B70">
      <w:pPr>
        <w:numPr>
          <w:ilvl w:val="0"/>
          <w:numId w:val="14"/>
        </w:numPr>
      </w:pPr>
      <w:r w:rsidRPr="00097B70">
        <w:rPr>
          <w:b/>
          <w:bCs/>
        </w:rPr>
        <w:t>Latin America:</w:t>
      </w:r>
      <w:r w:rsidRPr="00097B70">
        <w:t xml:space="preserve"> +3% growth, driven by Brazil (+8%) and Mexico (+2%), despite a sharp decline in Argentina (-12%).</w:t>
      </w:r>
    </w:p>
    <w:p w14:paraId="51D287D6" w14:textId="77777777" w:rsidR="00097B70" w:rsidRPr="00097B70" w:rsidRDefault="00097B70" w:rsidP="00097B70">
      <w:pPr>
        <w:numPr>
          <w:ilvl w:val="0"/>
          <w:numId w:val="14"/>
        </w:numPr>
      </w:pPr>
      <w:r w:rsidRPr="00097B70">
        <w:rPr>
          <w:b/>
          <w:bCs/>
        </w:rPr>
        <w:t>North America:</w:t>
      </w:r>
      <w:r w:rsidRPr="00097B70">
        <w:t xml:space="preserve"> Flat growth (0%). Growth in juice and dairy was offset by a 4% decline in water and tea.</w:t>
      </w:r>
    </w:p>
    <w:p w14:paraId="14B1FCCE" w14:textId="77777777" w:rsidR="00097B70" w:rsidRPr="00097B70" w:rsidRDefault="00097B70" w:rsidP="00097B70">
      <w:pPr>
        <w:numPr>
          <w:ilvl w:val="0"/>
          <w:numId w:val="14"/>
        </w:numPr>
      </w:pPr>
      <w:r w:rsidRPr="00097B70">
        <w:rPr>
          <w:b/>
          <w:bCs/>
        </w:rPr>
        <w:t>Asia Pacific:</w:t>
      </w:r>
      <w:r w:rsidRPr="00097B70">
        <w:t xml:space="preserve"> +1% growth, supported by India (+7%) and ASEAN markets, offset by a 5% decline in China.</w:t>
      </w:r>
    </w:p>
    <w:p w14:paraId="0B3C1912" w14:textId="77777777" w:rsidR="00097B70" w:rsidRPr="00097B70" w:rsidRDefault="00097B70" w:rsidP="00097B70">
      <w:r w:rsidRPr="00097B70">
        <w:rPr>
          <w:b/>
          <w:bCs/>
        </w:rPr>
        <w:t>Strategic Changes:</w:t>
      </w:r>
      <w:r w:rsidRPr="00097B70">
        <w:br/>
        <w:t>Global Ventures grew by 2% (mainly energy drinks), while Bottling Investments fell by 23% due to continued refranchising of bottling operations.</w:t>
      </w:r>
    </w:p>
    <w:p w14:paraId="1B9A7DCA" w14:textId="77777777" w:rsidR="00097B70" w:rsidRPr="00097B70" w:rsidRDefault="00097B70" w:rsidP="00097B70">
      <w:r w:rsidRPr="00097B70">
        <w:pict w14:anchorId="4442DEF4">
          <v:rect id="_x0000_i1118" style="width:0;height:1.5pt" o:hralign="center" o:hrstd="t" o:hr="t" fillcolor="#a0a0a0" stroked="f"/>
        </w:pict>
      </w:r>
    </w:p>
    <w:p w14:paraId="4E94238D" w14:textId="77777777" w:rsidR="00097B70" w:rsidRDefault="00097B70" w:rsidP="00097B70">
      <w:pPr>
        <w:rPr>
          <w:b/>
          <w:bCs/>
        </w:rPr>
      </w:pPr>
    </w:p>
    <w:p w14:paraId="31C0FF9A" w14:textId="77777777" w:rsidR="00097B70" w:rsidRDefault="00097B70" w:rsidP="00097B70">
      <w:pPr>
        <w:rPr>
          <w:b/>
          <w:bCs/>
        </w:rPr>
      </w:pPr>
    </w:p>
    <w:p w14:paraId="194B4B0A" w14:textId="77777777" w:rsidR="00097B70" w:rsidRDefault="00097B70" w:rsidP="00097B70">
      <w:pPr>
        <w:rPr>
          <w:b/>
          <w:bCs/>
        </w:rPr>
      </w:pPr>
    </w:p>
    <w:p w14:paraId="10D87558" w14:textId="541A8ACA" w:rsidR="00097B70" w:rsidRPr="00097B70" w:rsidRDefault="00097B70" w:rsidP="00097B70">
      <w:pPr>
        <w:rPr>
          <w:b/>
          <w:bCs/>
        </w:rPr>
      </w:pPr>
      <w:r w:rsidRPr="00097B70">
        <w:rPr>
          <w:b/>
          <w:bCs/>
        </w:rPr>
        <w:lastRenderedPageBreak/>
        <w:t>5. Liquidity, Solvency, and Efficiency</w:t>
      </w:r>
    </w:p>
    <w:p w14:paraId="5B1A64F8" w14:textId="77777777" w:rsidR="00097B70" w:rsidRPr="00097B70" w:rsidRDefault="00097B70" w:rsidP="00097B70">
      <w:r w:rsidRPr="00097B70">
        <w:rPr>
          <w:b/>
          <w:bCs/>
        </w:rPr>
        <w:t>Debt Levels:</w:t>
      </w:r>
      <w:r w:rsidRPr="00097B70">
        <w:br/>
        <w:t>Debt ratios remained stable over the years, showing balanced growth in assets and liabilities.</w:t>
      </w:r>
    </w:p>
    <w:p w14:paraId="1EA05A2F" w14:textId="77777777" w:rsidR="00097B70" w:rsidRPr="00097B70" w:rsidRDefault="00097B70" w:rsidP="00097B70">
      <w:r w:rsidRPr="00097B70">
        <w:rPr>
          <w:b/>
          <w:bCs/>
        </w:rPr>
        <w:t>Interest Coverage (FY 2022):</w:t>
      </w:r>
      <w:r w:rsidRPr="00097B70">
        <w:br/>
        <w:t xml:space="preserve">Interest coverage increased in 2022 mainly because interest expense fell to </w:t>
      </w:r>
      <w:r w:rsidRPr="00097B70">
        <w:rPr>
          <w:b/>
          <w:bCs/>
        </w:rPr>
        <w:t>$882 million</w:t>
      </w:r>
      <w:r w:rsidRPr="00097B70">
        <w:t xml:space="preserve">. This was due to one-time charges of </w:t>
      </w:r>
      <w:r w:rsidRPr="00097B70">
        <w:rPr>
          <w:b/>
          <w:bCs/>
        </w:rPr>
        <w:t>$650 million in 2021</w:t>
      </w:r>
      <w:r w:rsidRPr="00097B70">
        <w:t xml:space="preserve"> related to debt repayment and hedging activities. Higher interest rates in 2022 partly reduced this benefit.</w:t>
      </w:r>
    </w:p>
    <w:p w14:paraId="08B0799F" w14:textId="77777777" w:rsidR="00097B70" w:rsidRPr="00097B70" w:rsidRDefault="00097B70" w:rsidP="00097B70">
      <w:r w:rsidRPr="00097B70">
        <w:rPr>
          <w:b/>
          <w:bCs/>
        </w:rPr>
        <w:t>Liquidity Ratios:</w:t>
      </w:r>
      <w:r w:rsidRPr="00097B70">
        <w:br/>
        <w:t xml:space="preserve">Current, quick, and cash ratios declined mainly because </w:t>
      </w:r>
      <w:r w:rsidRPr="00097B70">
        <w:rPr>
          <w:b/>
          <w:bCs/>
        </w:rPr>
        <w:t>current liabilities grew faster than current assets</w:t>
      </w:r>
      <w:r w:rsidRPr="00097B70">
        <w:t>.</w:t>
      </w:r>
    </w:p>
    <w:p w14:paraId="7536733E" w14:textId="77777777" w:rsidR="00097B70" w:rsidRPr="00097B70" w:rsidRDefault="00097B70" w:rsidP="00097B70">
      <w:r w:rsidRPr="00097B70">
        <w:rPr>
          <w:b/>
          <w:bCs/>
        </w:rPr>
        <w:t>Working Capital Efficiency:</w:t>
      </w:r>
      <w:r w:rsidRPr="00097B70">
        <w:br/>
        <w:t>Despite lower liquidity ratios, efficiency improved as seen in:</w:t>
      </w:r>
    </w:p>
    <w:p w14:paraId="44F0115A" w14:textId="77777777" w:rsidR="00097B70" w:rsidRPr="00097B70" w:rsidRDefault="00097B70" w:rsidP="00097B70">
      <w:pPr>
        <w:numPr>
          <w:ilvl w:val="0"/>
          <w:numId w:val="15"/>
        </w:numPr>
      </w:pPr>
      <w:r w:rsidRPr="00097B70">
        <w:t>Lower DSO and DIO</w:t>
      </w:r>
    </w:p>
    <w:p w14:paraId="48D67F0A" w14:textId="77777777" w:rsidR="00097B70" w:rsidRPr="00097B70" w:rsidRDefault="00097B70" w:rsidP="00097B70">
      <w:pPr>
        <w:numPr>
          <w:ilvl w:val="0"/>
          <w:numId w:val="15"/>
        </w:numPr>
      </w:pPr>
      <w:r w:rsidRPr="00097B70">
        <w:t>Higher DPO</w:t>
      </w:r>
    </w:p>
    <w:p w14:paraId="67D47833" w14:textId="77777777" w:rsidR="00097B70" w:rsidRPr="00097B70" w:rsidRDefault="00097B70" w:rsidP="00097B70">
      <w:pPr>
        <w:numPr>
          <w:ilvl w:val="0"/>
          <w:numId w:val="15"/>
        </w:numPr>
      </w:pPr>
      <w:r w:rsidRPr="00097B70">
        <w:t>Much shorter Cash Conversion Cycle (CCC)</w:t>
      </w:r>
    </w:p>
    <w:p w14:paraId="5D142700" w14:textId="77777777" w:rsidR="00097B70" w:rsidRPr="00097B70" w:rsidRDefault="00097B70" w:rsidP="00097B70">
      <w:r w:rsidRPr="00097B70">
        <w:rPr>
          <w:b/>
          <w:bCs/>
        </w:rPr>
        <w:t>Receivables Factoring:</w:t>
      </w:r>
      <w:r w:rsidRPr="00097B70">
        <w:br/>
        <w:t>The company sold trade receivables to financial institutions to receive cash faster. It sold:</w:t>
      </w:r>
    </w:p>
    <w:p w14:paraId="6929091C" w14:textId="77777777" w:rsidR="00097B70" w:rsidRPr="00097B70" w:rsidRDefault="00097B70" w:rsidP="00097B70">
      <w:pPr>
        <w:numPr>
          <w:ilvl w:val="0"/>
          <w:numId w:val="16"/>
        </w:numPr>
      </w:pPr>
      <w:r w:rsidRPr="00097B70">
        <w:t>$21,873 million in 2024</w:t>
      </w:r>
    </w:p>
    <w:p w14:paraId="664F5667" w14:textId="77777777" w:rsidR="00097B70" w:rsidRPr="00097B70" w:rsidRDefault="00097B70" w:rsidP="00097B70">
      <w:pPr>
        <w:numPr>
          <w:ilvl w:val="0"/>
          <w:numId w:val="16"/>
        </w:numPr>
      </w:pPr>
      <w:r w:rsidRPr="00097B70">
        <w:t>$17,704 million in 2022</w:t>
      </w:r>
    </w:p>
    <w:p w14:paraId="0CB2A874" w14:textId="77777777" w:rsidR="00097B70" w:rsidRPr="00097B70" w:rsidRDefault="00097B70" w:rsidP="00097B70">
      <w:r w:rsidRPr="00097B70">
        <w:t>This reduced reported receivables, improved cash flow, and lowered liquidity ratios.</w:t>
      </w:r>
    </w:p>
    <w:p w14:paraId="3CF5275C" w14:textId="77777777" w:rsidR="00097B70" w:rsidRPr="00097B70" w:rsidRDefault="00097B70" w:rsidP="00097B70">
      <w:r w:rsidRPr="00097B70">
        <w:rPr>
          <w:b/>
          <w:bCs/>
        </w:rPr>
        <w:t>Overall View:</w:t>
      </w:r>
      <w:r w:rsidRPr="00097B70">
        <w:br/>
        <w:t>These trends show better cash management and efficiency, not liquidity problems.</w:t>
      </w:r>
    </w:p>
    <w:p w14:paraId="23F3B743" w14:textId="77777777" w:rsidR="00097B70" w:rsidRPr="00097B70" w:rsidRDefault="00097B70" w:rsidP="00097B70">
      <w:r w:rsidRPr="00097B70">
        <w:pict w14:anchorId="5470053D">
          <v:rect id="_x0000_i1119" style="width:0;height:1.5pt" o:hralign="center" o:hrstd="t" o:hr="t" fillcolor="#a0a0a0" stroked="f"/>
        </w:pict>
      </w:r>
    </w:p>
    <w:p w14:paraId="57CA39B7" w14:textId="77777777" w:rsidR="00097B70" w:rsidRPr="00097B70" w:rsidRDefault="00097B70" w:rsidP="00097B70">
      <w:pPr>
        <w:rPr>
          <w:b/>
          <w:bCs/>
        </w:rPr>
      </w:pPr>
      <w:r w:rsidRPr="00097B70">
        <w:rPr>
          <w:b/>
          <w:bCs/>
        </w:rPr>
        <w:t>6. ESG (Environmental, Social, and Governance)</w:t>
      </w:r>
    </w:p>
    <w:p w14:paraId="0414FA0D" w14:textId="77777777" w:rsidR="00097B70" w:rsidRPr="00097B70" w:rsidRDefault="00097B70" w:rsidP="00097B70">
      <w:r w:rsidRPr="00097B70">
        <w:rPr>
          <w:b/>
          <w:bCs/>
        </w:rPr>
        <w:t>Emissions:</w:t>
      </w:r>
      <w:r w:rsidRPr="00097B70">
        <w:br/>
        <w:t>Scope 1 and Scope 2 emissions stayed stable. The large increase in Scope 3 emissions was mainly due to reporting changes from acquisitions and refranchising, not operational issues.</w:t>
      </w:r>
    </w:p>
    <w:p w14:paraId="33C96CA9" w14:textId="77777777" w:rsidR="00097B70" w:rsidRPr="00097B70" w:rsidRDefault="00097B70" w:rsidP="00097B70">
      <w:r w:rsidRPr="00097B70">
        <w:rPr>
          <w:b/>
          <w:bCs/>
        </w:rPr>
        <w:t>Energy:</w:t>
      </w:r>
      <w:r w:rsidRPr="00097B70">
        <w:br/>
        <w:t>Total energy use dropped sharply while renewable energy use increased significantly. The report does not clearly explain the exact reason for this change.</w:t>
      </w:r>
    </w:p>
    <w:p w14:paraId="515A621D" w14:textId="77777777" w:rsidR="00097B70" w:rsidRPr="00097B70" w:rsidRDefault="00097B70" w:rsidP="00097B70">
      <w:r w:rsidRPr="00097B70">
        <w:rPr>
          <w:b/>
          <w:bCs/>
        </w:rPr>
        <w:t>Water Management:</w:t>
      </w:r>
      <w:r w:rsidRPr="00097B70">
        <w:br/>
        <w:t xml:space="preserve">Water efficiency improved. Even though total water use increased, water used per unit of </w:t>
      </w:r>
      <w:r w:rsidRPr="00097B70">
        <w:lastRenderedPageBreak/>
        <w:t>revenue decreased, meaning the company generated more value using less water per revenue.</w:t>
      </w:r>
    </w:p>
    <w:p w14:paraId="6AE080BA" w14:textId="17ABE872" w:rsidR="00B106E8" w:rsidRPr="003F5699" w:rsidRDefault="00B106E8" w:rsidP="003F5699"/>
    <w:sectPr w:rsidR="00B106E8" w:rsidRPr="003F5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58B"/>
    <w:multiLevelType w:val="multilevel"/>
    <w:tmpl w:val="6EE0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70A88"/>
    <w:multiLevelType w:val="multilevel"/>
    <w:tmpl w:val="5136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826FB"/>
    <w:multiLevelType w:val="multilevel"/>
    <w:tmpl w:val="30C2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73518"/>
    <w:multiLevelType w:val="multilevel"/>
    <w:tmpl w:val="3B30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31261"/>
    <w:multiLevelType w:val="multilevel"/>
    <w:tmpl w:val="9DE4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7385E"/>
    <w:multiLevelType w:val="multilevel"/>
    <w:tmpl w:val="404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44B04"/>
    <w:multiLevelType w:val="multilevel"/>
    <w:tmpl w:val="4E1A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65318"/>
    <w:multiLevelType w:val="multilevel"/>
    <w:tmpl w:val="1040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20D59"/>
    <w:multiLevelType w:val="multilevel"/>
    <w:tmpl w:val="6292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85402"/>
    <w:multiLevelType w:val="multilevel"/>
    <w:tmpl w:val="1088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94462"/>
    <w:multiLevelType w:val="multilevel"/>
    <w:tmpl w:val="4390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F7E4D"/>
    <w:multiLevelType w:val="multilevel"/>
    <w:tmpl w:val="335C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126E0"/>
    <w:multiLevelType w:val="hybridMultilevel"/>
    <w:tmpl w:val="463A78B0"/>
    <w:lvl w:ilvl="0" w:tplc="BDBA3C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0802CD"/>
    <w:multiLevelType w:val="hybridMultilevel"/>
    <w:tmpl w:val="9DB253BA"/>
    <w:lvl w:ilvl="0" w:tplc="7C8EB2A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A07FD7"/>
    <w:multiLevelType w:val="hybridMultilevel"/>
    <w:tmpl w:val="45D2EA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BE2147"/>
    <w:multiLevelType w:val="multilevel"/>
    <w:tmpl w:val="B3B8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543459">
    <w:abstractNumId w:val="13"/>
  </w:num>
  <w:num w:numId="2" w16cid:durableId="928318238">
    <w:abstractNumId w:val="14"/>
  </w:num>
  <w:num w:numId="3" w16cid:durableId="1318345669">
    <w:abstractNumId w:val="12"/>
  </w:num>
  <w:num w:numId="4" w16cid:durableId="1730155870">
    <w:abstractNumId w:val="9"/>
  </w:num>
  <w:num w:numId="5" w16cid:durableId="2108114395">
    <w:abstractNumId w:val="15"/>
  </w:num>
  <w:num w:numId="6" w16cid:durableId="274487385">
    <w:abstractNumId w:val="8"/>
  </w:num>
  <w:num w:numId="7" w16cid:durableId="1087077457">
    <w:abstractNumId w:val="7"/>
  </w:num>
  <w:num w:numId="8" w16cid:durableId="1517496822">
    <w:abstractNumId w:val="2"/>
  </w:num>
  <w:num w:numId="9" w16cid:durableId="550846107">
    <w:abstractNumId w:val="1"/>
  </w:num>
  <w:num w:numId="10" w16cid:durableId="1473402145">
    <w:abstractNumId w:val="6"/>
  </w:num>
  <w:num w:numId="11" w16cid:durableId="1934972103">
    <w:abstractNumId w:val="5"/>
  </w:num>
  <w:num w:numId="12" w16cid:durableId="1521241527">
    <w:abstractNumId w:val="10"/>
  </w:num>
  <w:num w:numId="13" w16cid:durableId="842205271">
    <w:abstractNumId w:val="4"/>
  </w:num>
  <w:num w:numId="14" w16cid:durableId="705907456">
    <w:abstractNumId w:val="3"/>
  </w:num>
  <w:num w:numId="15" w16cid:durableId="48967110">
    <w:abstractNumId w:val="0"/>
  </w:num>
  <w:num w:numId="16" w16cid:durableId="18383745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8C6"/>
    <w:rsid w:val="000070FF"/>
    <w:rsid w:val="00041A19"/>
    <w:rsid w:val="000676CF"/>
    <w:rsid w:val="000773B5"/>
    <w:rsid w:val="00097B70"/>
    <w:rsid w:val="000A4A06"/>
    <w:rsid w:val="000A4ECC"/>
    <w:rsid w:val="000E7A0C"/>
    <w:rsid w:val="00160CC2"/>
    <w:rsid w:val="001D658F"/>
    <w:rsid w:val="0020350D"/>
    <w:rsid w:val="0022146D"/>
    <w:rsid w:val="00293095"/>
    <w:rsid w:val="002C0863"/>
    <w:rsid w:val="00311639"/>
    <w:rsid w:val="00350691"/>
    <w:rsid w:val="00392930"/>
    <w:rsid w:val="003B2E05"/>
    <w:rsid w:val="003C2752"/>
    <w:rsid w:val="003F5699"/>
    <w:rsid w:val="00480801"/>
    <w:rsid w:val="0048124F"/>
    <w:rsid w:val="004B1021"/>
    <w:rsid w:val="004E1DEF"/>
    <w:rsid w:val="004F7598"/>
    <w:rsid w:val="00537258"/>
    <w:rsid w:val="00550E30"/>
    <w:rsid w:val="00576F5B"/>
    <w:rsid w:val="005941E5"/>
    <w:rsid w:val="005B23EC"/>
    <w:rsid w:val="005B69F4"/>
    <w:rsid w:val="005C3A01"/>
    <w:rsid w:val="005F541D"/>
    <w:rsid w:val="00676D9E"/>
    <w:rsid w:val="0069254E"/>
    <w:rsid w:val="006A58C6"/>
    <w:rsid w:val="006F1A3D"/>
    <w:rsid w:val="006F6A1E"/>
    <w:rsid w:val="00746481"/>
    <w:rsid w:val="00763572"/>
    <w:rsid w:val="007A41DA"/>
    <w:rsid w:val="008201F8"/>
    <w:rsid w:val="00825488"/>
    <w:rsid w:val="008335AD"/>
    <w:rsid w:val="00865B04"/>
    <w:rsid w:val="008749C3"/>
    <w:rsid w:val="00891870"/>
    <w:rsid w:val="00893E04"/>
    <w:rsid w:val="008B326D"/>
    <w:rsid w:val="008B63DE"/>
    <w:rsid w:val="00900186"/>
    <w:rsid w:val="0090026B"/>
    <w:rsid w:val="009077C1"/>
    <w:rsid w:val="00995E02"/>
    <w:rsid w:val="009B1FB1"/>
    <w:rsid w:val="009C4D8C"/>
    <w:rsid w:val="009D5FC7"/>
    <w:rsid w:val="00A06B43"/>
    <w:rsid w:val="00A66854"/>
    <w:rsid w:val="00A8422D"/>
    <w:rsid w:val="00AB0D49"/>
    <w:rsid w:val="00AB16EC"/>
    <w:rsid w:val="00B106E8"/>
    <w:rsid w:val="00B4398A"/>
    <w:rsid w:val="00B6611A"/>
    <w:rsid w:val="00B84DCC"/>
    <w:rsid w:val="00B877E1"/>
    <w:rsid w:val="00BC2C8A"/>
    <w:rsid w:val="00BC3B77"/>
    <w:rsid w:val="00BE23D5"/>
    <w:rsid w:val="00BE7632"/>
    <w:rsid w:val="00C046D4"/>
    <w:rsid w:val="00C816B2"/>
    <w:rsid w:val="00D1180B"/>
    <w:rsid w:val="00D34F69"/>
    <w:rsid w:val="00D61311"/>
    <w:rsid w:val="00D74DF4"/>
    <w:rsid w:val="00D831C2"/>
    <w:rsid w:val="00D8711A"/>
    <w:rsid w:val="00DC0941"/>
    <w:rsid w:val="00DC3977"/>
    <w:rsid w:val="00DD23EB"/>
    <w:rsid w:val="00E10035"/>
    <w:rsid w:val="00E1156F"/>
    <w:rsid w:val="00E13B36"/>
    <w:rsid w:val="00E2556B"/>
    <w:rsid w:val="00E45F25"/>
    <w:rsid w:val="00E769AC"/>
    <w:rsid w:val="00E77261"/>
    <w:rsid w:val="00EB2705"/>
    <w:rsid w:val="00EB410E"/>
    <w:rsid w:val="00EF4425"/>
    <w:rsid w:val="00F5081B"/>
    <w:rsid w:val="00F72D15"/>
    <w:rsid w:val="00F972BD"/>
    <w:rsid w:val="00FD1CC3"/>
    <w:rsid w:val="00FE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B0E3E"/>
  <w15:chartTrackingRefBased/>
  <w15:docId w15:val="{6FEA298C-3BF4-4DA6-BA71-112B41CE0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4</Pages>
  <Words>665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Sankarnarayanan B</dc:creator>
  <cp:keywords/>
  <dc:description/>
  <cp:lastModifiedBy>Sankarnarayanan B</cp:lastModifiedBy>
  <cp:revision>94</cp:revision>
  <dcterms:created xsi:type="dcterms:W3CDTF">2026-01-03T11:09:00Z</dcterms:created>
  <dcterms:modified xsi:type="dcterms:W3CDTF">2026-01-11T16:58:00Z</dcterms:modified>
</cp:coreProperties>
</file>