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4D78"/>
          <w:sz w:val="22"/>
        </w:rPr>
        <w:t>PAWTRACK</w:t>
      </w:r>
    </w:p>
    <w:p>
      <w:pPr>
        <w:spacing w:after="80"/>
      </w:pPr>
      <w:r>
        <w:rPr>
          <w:rFonts w:ascii="Calibri" w:hAnsi="Calibri"/>
          <w:b/>
          <w:color w:val="0B2545"/>
          <w:sz w:val="46"/>
        </w:rPr>
        <w:t>Current Build QA Status Report</w:t>
      </w:r>
    </w:p>
    <w:p>
      <w:pPr>
        <w:spacing w:after="320"/>
      </w:pPr>
      <w:r>
        <w:rPr>
          <w:rFonts w:ascii="Calibri" w:hAnsi="Calibri"/>
          <w:b w:val="0"/>
          <w:color w:val="555555"/>
          <w:sz w:val="22"/>
        </w:rPr>
        <w:t>Scope: repository implementation available on 18 August 2026</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Assessment item</w:t>
            </w:r>
          </w:p>
        </w:tc>
        <w:tc>
          <w:tcPr>
            <w:tcW w:type="dxa" w:w="686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Result</w:t>
            </w:r>
          </w:p>
        </w:tc>
      </w:tr>
      <w:tr>
        <w:tc>
          <w:tcPr>
            <w:tcW w:type="dxa" w:w="2500"/>
          </w:tcPr>
          <w:p>
            <w:pPr>
              <w:spacing w:after="0" w:line="264" w:lineRule="auto"/>
            </w:pPr>
            <w:r/>
            <w:r>
              <w:rPr>
                <w:rFonts w:ascii="Calibri" w:hAnsi="Calibri"/>
                <w:b w:val="0"/>
                <w:color w:val="0B2545"/>
                <w:sz w:val="18"/>
              </w:rPr>
              <w:t>Repository reviewed</w:t>
            </w:r>
          </w:p>
        </w:tc>
        <w:tc>
          <w:tcPr>
            <w:tcW w:type="dxa" w:w="6860"/>
          </w:tcPr>
          <w:p>
            <w:pPr>
              <w:spacing w:after="0" w:line="264" w:lineRule="auto"/>
            </w:pPr>
            <w:r/>
            <w:r>
              <w:rPr>
                <w:rFonts w:ascii="Calibri" w:hAnsi="Calibri"/>
                <w:b w:val="0"/>
                <w:color w:val="0B2545"/>
                <w:sz w:val="18"/>
              </w:rPr>
              <w:t>Sankarsh369/Paw_Track</w:t>
            </w:r>
          </w:p>
        </w:tc>
      </w:tr>
      <w:tr>
        <w:tc>
          <w:tcPr>
            <w:tcW w:type="dxa" w:w="2500"/>
          </w:tcPr>
          <w:p>
            <w:pPr>
              <w:spacing w:after="0" w:line="264" w:lineRule="auto"/>
            </w:pPr>
            <w:r/>
            <w:r>
              <w:rPr>
                <w:rFonts w:ascii="Calibri" w:hAnsi="Calibri"/>
                <w:b w:val="0"/>
                <w:color w:val="0B2545"/>
                <w:sz w:val="18"/>
              </w:rPr>
              <w:t>Testing target</w:t>
            </w:r>
          </w:p>
        </w:tc>
        <w:tc>
          <w:tcPr>
            <w:tcW w:type="dxa" w:w="6860"/>
          </w:tcPr>
          <w:p>
            <w:pPr>
              <w:spacing w:after="0" w:line="264" w:lineRule="auto"/>
            </w:pPr>
            <w:r/>
            <w:r>
              <w:rPr>
                <w:rFonts w:ascii="Calibri" w:hAnsi="Calibri"/>
                <w:b w:val="0"/>
                <w:color w:val="0B2545"/>
                <w:sz w:val="18"/>
              </w:rPr>
              <w:t>origin/dev at commit ef85ee7 (default branch contains no application code)</w:t>
            </w:r>
          </w:p>
        </w:tc>
      </w:tr>
      <w:tr>
        <w:tc>
          <w:tcPr>
            <w:tcW w:type="dxa" w:w="2500"/>
          </w:tcPr>
          <w:p>
            <w:pPr>
              <w:spacing w:after="0" w:line="264" w:lineRule="auto"/>
            </w:pPr>
            <w:r/>
            <w:r>
              <w:rPr>
                <w:rFonts w:ascii="Calibri" w:hAnsi="Calibri"/>
                <w:b w:val="0"/>
                <w:color w:val="0B2545"/>
                <w:sz w:val="18"/>
              </w:rPr>
              <w:t>Test date</w:t>
            </w:r>
          </w:p>
        </w:tc>
        <w:tc>
          <w:tcPr>
            <w:tcW w:type="dxa" w:w="6860"/>
          </w:tcPr>
          <w:p>
            <w:pPr>
              <w:spacing w:after="0" w:line="264" w:lineRule="auto"/>
            </w:pPr>
            <w:r/>
            <w:r>
              <w:rPr>
                <w:rFonts w:ascii="Calibri" w:hAnsi="Calibri"/>
                <w:b w:val="0"/>
                <w:color w:val="0B2545"/>
                <w:sz w:val="18"/>
              </w:rPr>
              <w:t>18 August 2026</w:t>
            </w:r>
          </w:p>
        </w:tc>
      </w:tr>
      <w:tr>
        <w:tc>
          <w:tcPr>
            <w:tcW w:type="dxa" w:w="2500"/>
          </w:tcPr>
          <w:p>
            <w:pPr>
              <w:spacing w:after="0" w:line="264" w:lineRule="auto"/>
            </w:pPr>
            <w:r/>
            <w:r>
              <w:rPr>
                <w:rFonts w:ascii="Calibri" w:hAnsi="Calibri"/>
                <w:b w:val="0"/>
                <w:color w:val="0B2545"/>
                <w:sz w:val="18"/>
              </w:rPr>
              <w:t>Overall release decision</w:t>
            </w:r>
          </w:p>
        </w:tc>
        <w:tc>
          <w:tcPr>
            <w:tcW w:type="dxa" w:w="6860"/>
          </w:tcPr>
          <w:p>
            <w:pPr>
              <w:spacing w:after="0" w:line="264" w:lineRule="auto"/>
            </w:pPr>
            <w:r/>
            <w:r>
              <w:rPr>
                <w:rFonts w:ascii="Calibri" w:hAnsi="Calibri"/>
                <w:b w:val="0"/>
                <w:color w:val="0B2545"/>
                <w:sz w:val="18"/>
              </w:rPr>
              <w:t>NOT READY FOR FUNCTIONAL/UAT TESTING</w:t>
            </w:r>
          </w:p>
        </w:tc>
      </w:tr>
    </w:tbl>
    <w:p>
      <w:pPr>
        <w:spacing w:after="40"/>
      </w:pPr>
    </w:p>
    <w:p>
      <w:pPr>
        <w:spacing w:before="320" w:after="160"/>
      </w:pPr>
      <w:r>
        <w:rPr>
          <w:rFonts w:ascii="Calibri" w:hAnsi="Calibri"/>
          <w:b/>
          <w:color w:val="2E74B5"/>
          <w:sz w:val="32"/>
        </w:rPr>
        <w:t>1. Executive summary</w:t>
      </w:r>
    </w:p>
    <w:p>
      <w:pPr>
        <w:spacing w:after="120" w:line="264" w:lineRule="auto"/>
      </w:pPr>
      <w:r>
        <w:rPr>
          <w:rFonts w:ascii="Calibri" w:hAnsi="Calibri"/>
          <w:b w:val="0"/>
          <w:color w:val="0B2545"/>
          <w:sz w:val="21"/>
        </w:rPr>
        <w:t>The current implementation is an early backend foundation, not a complete PawTrack application. The dev branch contains authentication, a Branch model, a User model, an EF Core database context, an initial SQL Server migration, and two branch endpoints. No frontend, test suite, or business modules for the rescue-to-adoption lifecycle were found.</w:t>
      </w:r>
    </w:p>
    <w:p>
      <w:pPr>
        <w:spacing w:after="120" w:line="264" w:lineRule="auto"/>
      </w:pPr>
      <w:r>
        <w:rPr>
          <w:rFonts w:ascii="Calibri" w:hAnsi="Calibri"/>
          <w:b w:val="0"/>
          <w:color w:val="0B2545"/>
          <w:sz w:val="21"/>
        </w:rPr>
        <w:t>Functional execution could not begin because the project targets .NET 10 but the available test environment has .NET 7. The configured database is Windows LocalDB, which is not available on the macOS test environment. These are release-blocking setup issues.</w:t>
      </w:r>
    </w:p>
    <w:p>
      <w:pPr>
        <w:spacing w:before="320" w:after="160"/>
      </w:pPr>
      <w:r>
        <w:rPr>
          <w:rFonts w:ascii="Calibri" w:hAnsi="Calibri"/>
          <w:b/>
          <w:color w:val="2E74B5"/>
          <w:sz w:val="32"/>
        </w:rPr>
        <w:t>2. Test scope and evidence</w:t>
      </w:r>
    </w:p>
    <w:tbl>
      <w:tblPr>
        <w:tblStyle w:val="TableGrid"/>
        <w:tblW w:type="dxa" w:w="9360"/>
        <w:jc w:val="left"/>
        <w:tblLayout w:type="fixed"/>
        <w:tblLook w:firstColumn="1" w:firstRow="1" w:lastColumn="0" w:lastRow="0" w:noHBand="0" w:noVBand="1" w:val="04A0"/>
        <w:tblInd w:w="120" w:type="dxa"/>
      </w:tblPr>
      <w:tblGrid>
        <w:gridCol w:w="2600"/>
        <w:gridCol w:w="1200"/>
        <w:gridCol w:w="5560"/>
      </w:tblGrid>
      <w:tr>
        <w:tc>
          <w:tcPr>
            <w:tcW w:type="dxa" w:w="26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Test activity</w:t>
            </w:r>
          </w:p>
        </w:tc>
        <w:tc>
          <w:tcPr>
            <w:tcW w:type="dxa" w:w="12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Outcome</w:t>
            </w:r>
          </w:p>
        </w:tc>
        <w:tc>
          <w:tcPr>
            <w:tcW w:type="dxa" w:w="556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Evidence / note</w:t>
            </w:r>
          </w:p>
        </w:tc>
      </w:tr>
      <w:tr>
        <w:tc>
          <w:tcPr>
            <w:tcW w:type="dxa" w:w="2600"/>
          </w:tcPr>
          <w:p>
            <w:pPr>
              <w:spacing w:after="0" w:line="264" w:lineRule="auto"/>
            </w:pPr>
            <w:r/>
            <w:r>
              <w:rPr>
                <w:rFonts w:ascii="Calibri" w:hAnsi="Calibri"/>
                <w:b w:val="0"/>
                <w:color w:val="0B2545"/>
                <w:sz w:val="18"/>
              </w:rPr>
              <w:t>Repository and branch inspection</w:t>
            </w:r>
          </w:p>
        </w:tc>
        <w:tc>
          <w:tcPr>
            <w:tcW w:type="dxa" w:w="1200"/>
          </w:tcPr>
          <w:p>
            <w:pPr>
              <w:spacing w:after="0" w:line="264" w:lineRule="auto"/>
            </w:pPr>
            <w:r/>
            <w:r>
              <w:rPr>
                <w:rFonts w:ascii="Calibri" w:hAnsi="Calibri"/>
                <w:b/>
                <w:color w:val="0B2545"/>
                <w:sz w:val="18"/>
              </w:rPr>
              <w:t>Pass</w:t>
            </w:r>
          </w:p>
        </w:tc>
        <w:tc>
          <w:tcPr>
            <w:tcW w:type="dxa" w:w="5560"/>
          </w:tcPr>
          <w:p>
            <w:pPr>
              <w:spacing w:after="0" w:line="264" w:lineRule="auto"/>
            </w:pPr>
            <w:r/>
            <w:r>
              <w:rPr>
                <w:rFonts w:ascii="Calibri" w:hAnsi="Calibri"/>
                <w:b w:val="0"/>
                <w:color w:val="0B2545"/>
                <w:sz w:val="18"/>
              </w:rPr>
              <w:t>Default branch is empty; dev contains the only current API implementation.</w:t>
            </w:r>
          </w:p>
        </w:tc>
      </w:tr>
      <w:tr>
        <w:tc>
          <w:tcPr>
            <w:tcW w:type="dxa" w:w="2600"/>
          </w:tcPr>
          <w:p>
            <w:pPr>
              <w:spacing w:after="0" w:line="264" w:lineRule="auto"/>
            </w:pPr>
            <w:r/>
            <w:r>
              <w:rPr>
                <w:rFonts w:ascii="Calibri" w:hAnsi="Calibri"/>
                <w:b w:val="0"/>
                <w:color w:val="0B2545"/>
                <w:sz w:val="18"/>
              </w:rPr>
              <w:t>Static implementation review</w:t>
            </w:r>
          </w:p>
        </w:tc>
        <w:tc>
          <w:tcPr>
            <w:tcW w:type="dxa" w:w="1200"/>
          </w:tcPr>
          <w:p>
            <w:pPr>
              <w:spacing w:after="0" w:line="264" w:lineRule="auto"/>
            </w:pPr>
            <w:r/>
            <w:r>
              <w:rPr>
                <w:rFonts w:ascii="Calibri" w:hAnsi="Calibri"/>
                <w:b/>
                <w:color w:val="0B2545"/>
                <w:sz w:val="18"/>
              </w:rPr>
              <w:t>Pass</w:t>
            </w:r>
          </w:p>
        </w:tc>
        <w:tc>
          <w:tcPr>
            <w:tcW w:type="dxa" w:w="5560"/>
          </w:tcPr>
          <w:p>
            <w:pPr>
              <w:spacing w:after="0" w:line="264" w:lineRule="auto"/>
            </w:pPr>
            <w:r/>
            <w:r>
              <w:rPr>
                <w:rFonts w:ascii="Calibri" w:hAnsi="Calibri"/>
                <w:b w:val="0"/>
                <w:color w:val="0B2545"/>
                <w:sz w:val="18"/>
              </w:rPr>
              <w:t>Controllers, models, DbContext, migration, configuration and project file reviewed.</w:t>
            </w:r>
          </w:p>
        </w:tc>
      </w:tr>
      <w:tr>
        <w:tc>
          <w:tcPr>
            <w:tcW w:type="dxa" w:w="2600"/>
          </w:tcPr>
          <w:p>
            <w:pPr>
              <w:spacing w:after="0" w:line="264" w:lineRule="auto"/>
            </w:pPr>
            <w:r/>
            <w:r>
              <w:rPr>
                <w:rFonts w:ascii="Calibri" w:hAnsi="Calibri"/>
                <w:b w:val="0"/>
                <w:color w:val="0B2545"/>
                <w:sz w:val="18"/>
              </w:rPr>
              <w:t>Build verification</w:t>
            </w:r>
          </w:p>
        </w:tc>
        <w:tc>
          <w:tcPr>
            <w:tcW w:type="dxa" w:w="1200"/>
          </w:tcPr>
          <w:p>
            <w:pPr>
              <w:spacing w:after="0" w:line="264" w:lineRule="auto"/>
            </w:pPr>
            <w:r/>
            <w:r>
              <w:rPr>
                <w:rFonts w:ascii="Calibri" w:hAnsi="Calibri"/>
                <w:b/>
                <w:color w:val="9B1C1C"/>
                <w:sz w:val="18"/>
              </w:rPr>
              <w:t>Blocked</w:t>
            </w:r>
          </w:p>
        </w:tc>
        <w:tc>
          <w:tcPr>
            <w:tcW w:type="dxa" w:w="5560"/>
          </w:tcPr>
          <w:p>
            <w:pPr>
              <w:spacing w:after="0" w:line="264" w:lineRule="auto"/>
            </w:pPr>
            <w:r/>
            <w:r>
              <w:rPr>
                <w:rFonts w:ascii="Calibri" w:hAnsi="Calibri"/>
                <w:b w:val="0"/>
                <w:color w:val="0B2545"/>
                <w:sz w:val="18"/>
              </w:rPr>
              <w:t>dotnet build returned NETSDK1045: installed SDK does not support target net10.0.</w:t>
            </w:r>
          </w:p>
        </w:tc>
      </w:tr>
      <w:tr>
        <w:tc>
          <w:tcPr>
            <w:tcW w:type="dxa" w:w="2600"/>
          </w:tcPr>
          <w:p>
            <w:pPr>
              <w:spacing w:after="0" w:line="264" w:lineRule="auto"/>
            </w:pPr>
            <w:r/>
            <w:r>
              <w:rPr>
                <w:rFonts w:ascii="Calibri" w:hAnsi="Calibri"/>
                <w:b w:val="0"/>
                <w:color w:val="0B2545"/>
                <w:sz w:val="18"/>
              </w:rPr>
              <w:t>API smoke test</w:t>
            </w:r>
          </w:p>
        </w:tc>
        <w:tc>
          <w:tcPr>
            <w:tcW w:type="dxa" w:w="1200"/>
          </w:tcPr>
          <w:p>
            <w:pPr>
              <w:spacing w:after="0" w:line="264" w:lineRule="auto"/>
            </w:pPr>
            <w:r/>
            <w:r>
              <w:rPr>
                <w:rFonts w:ascii="Calibri" w:hAnsi="Calibri"/>
                <w:b/>
                <w:color w:val="9B1C1C"/>
                <w:sz w:val="18"/>
              </w:rPr>
              <w:t>Blocked</w:t>
            </w:r>
          </w:p>
        </w:tc>
        <w:tc>
          <w:tcPr>
            <w:tcW w:type="dxa" w:w="5560"/>
          </w:tcPr>
          <w:p>
            <w:pPr>
              <w:spacing w:after="0" w:line="264" w:lineRule="auto"/>
            </w:pPr>
            <w:r/>
            <w:r>
              <w:rPr>
                <w:rFonts w:ascii="Calibri" w:hAnsi="Calibri"/>
                <w:b w:val="0"/>
                <w:color w:val="0B2545"/>
                <w:sz w:val="18"/>
              </w:rPr>
              <w:t>Application could not be started; database also points to Windows-only LocalDB.</w:t>
            </w:r>
          </w:p>
        </w:tc>
      </w:tr>
      <w:tr>
        <w:tc>
          <w:tcPr>
            <w:tcW w:type="dxa" w:w="2600"/>
          </w:tcPr>
          <w:p>
            <w:pPr>
              <w:spacing w:after="0" w:line="264" w:lineRule="auto"/>
            </w:pPr>
            <w:r/>
            <w:r>
              <w:rPr>
                <w:rFonts w:ascii="Calibri" w:hAnsi="Calibri"/>
                <w:b w:val="0"/>
                <w:color w:val="0B2545"/>
                <w:sz w:val="18"/>
              </w:rPr>
              <w:t>Automated test execution</w:t>
            </w:r>
          </w:p>
        </w:tc>
        <w:tc>
          <w:tcPr>
            <w:tcW w:type="dxa" w:w="1200"/>
          </w:tcPr>
          <w:p>
            <w:pPr>
              <w:spacing w:after="0" w:line="264" w:lineRule="auto"/>
            </w:pPr>
            <w:r/>
            <w:r>
              <w:rPr>
                <w:rFonts w:ascii="Calibri" w:hAnsi="Calibri"/>
                <w:b/>
                <w:color w:val="7A5A00"/>
                <w:sz w:val="18"/>
              </w:rPr>
              <w:t>Not executed</w:t>
            </w:r>
          </w:p>
        </w:tc>
        <w:tc>
          <w:tcPr>
            <w:tcW w:type="dxa" w:w="5560"/>
          </w:tcPr>
          <w:p>
            <w:pPr>
              <w:spacing w:after="0" w:line="264" w:lineRule="auto"/>
            </w:pPr>
            <w:r/>
            <w:r>
              <w:rPr>
                <w:rFonts w:ascii="Calibri" w:hAnsi="Calibri"/>
                <w:b w:val="0"/>
                <w:color w:val="0B2545"/>
                <w:sz w:val="18"/>
              </w:rPr>
              <w:t>No unit/integration test project or test files found.</w:t>
            </w:r>
          </w:p>
        </w:tc>
      </w:tr>
      <w:tr>
        <w:tc>
          <w:tcPr>
            <w:tcW w:type="dxa" w:w="2600"/>
          </w:tcPr>
          <w:p>
            <w:pPr>
              <w:spacing w:after="0" w:line="264" w:lineRule="auto"/>
            </w:pPr>
            <w:r/>
            <w:r>
              <w:rPr>
                <w:rFonts w:ascii="Calibri" w:hAnsi="Calibri"/>
                <w:b w:val="0"/>
                <w:color w:val="0B2545"/>
                <w:sz w:val="18"/>
              </w:rPr>
              <w:t>Frontend / usability testing</w:t>
            </w:r>
          </w:p>
        </w:tc>
        <w:tc>
          <w:tcPr>
            <w:tcW w:type="dxa" w:w="1200"/>
          </w:tcPr>
          <w:p>
            <w:pPr>
              <w:spacing w:after="0" w:line="264" w:lineRule="auto"/>
            </w:pPr>
            <w:r/>
            <w:r>
              <w:rPr>
                <w:rFonts w:ascii="Calibri" w:hAnsi="Calibri"/>
                <w:b/>
                <w:color w:val="9B1C1C"/>
                <w:sz w:val="18"/>
              </w:rPr>
              <w:t>Blocked</w:t>
            </w:r>
          </w:p>
        </w:tc>
        <w:tc>
          <w:tcPr>
            <w:tcW w:type="dxa" w:w="5560"/>
          </w:tcPr>
          <w:p>
            <w:pPr>
              <w:spacing w:after="0" w:line="264" w:lineRule="auto"/>
            </w:pPr>
            <w:r/>
            <w:r>
              <w:rPr>
                <w:rFonts w:ascii="Calibri" w:hAnsi="Calibri"/>
                <w:b w:val="0"/>
                <w:color w:val="0B2545"/>
                <w:sz w:val="18"/>
              </w:rPr>
              <w:t>No frontend/client project was found in the dev branch.</w:t>
            </w:r>
          </w:p>
        </w:tc>
      </w:tr>
    </w:tbl>
    <w:p>
      <w:pPr>
        <w:spacing w:after="40"/>
      </w:pPr>
    </w:p>
    <w:p>
      <w:r>
        <w:br w:type="page"/>
      </w:r>
    </w:p>
    <w:p>
      <w:pPr>
        <w:spacing w:before="320" w:after="160"/>
      </w:pPr>
      <w:r>
        <w:rPr>
          <w:rFonts w:ascii="Calibri" w:hAnsi="Calibri"/>
          <w:b/>
          <w:color w:val="2E74B5"/>
          <w:sz w:val="32"/>
        </w:rPr>
        <w:t>3. What is built now</w:t>
      </w:r>
    </w:p>
    <w:tbl>
      <w:tblPr>
        <w:tblStyle w:val="TableGrid"/>
        <w:tblW w:type="dxa" w:w="9360"/>
        <w:jc w:val="left"/>
        <w:tblLayout w:type="fixed"/>
        <w:tblLook w:firstColumn="1" w:firstRow="1" w:lastColumn="0" w:lastRow="0" w:noHBand="0" w:noVBand="1" w:val="04A0"/>
        <w:tblInd w:w="120" w:type="dxa"/>
      </w:tblPr>
      <w:tblGrid>
        <w:gridCol w:w="2250"/>
        <w:gridCol w:w="1250"/>
        <w:gridCol w:w="5860"/>
      </w:tblGrid>
      <w:tr>
        <w:tc>
          <w:tcPr>
            <w:tcW w:type="dxa" w:w="225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Area</w:t>
            </w:r>
          </w:p>
        </w:tc>
        <w:tc>
          <w:tcPr>
            <w:tcW w:type="dxa" w:w="125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Status</w:t>
            </w:r>
          </w:p>
        </w:tc>
        <w:tc>
          <w:tcPr>
            <w:tcW w:type="dxa" w:w="586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Current implementation</w:t>
            </w:r>
          </w:p>
        </w:tc>
      </w:tr>
      <w:tr>
        <w:tc>
          <w:tcPr>
            <w:tcW w:type="dxa" w:w="2250"/>
          </w:tcPr>
          <w:p>
            <w:pPr>
              <w:spacing w:after="0" w:line="264" w:lineRule="auto"/>
            </w:pPr>
            <w:r/>
            <w:r>
              <w:rPr>
                <w:rFonts w:ascii="Calibri" w:hAnsi="Calibri"/>
                <w:b w:val="0"/>
                <w:color w:val="0B2545"/>
                <w:sz w:val="18"/>
              </w:rPr>
              <w:t>ASP.NET Core API setup</w:t>
            </w:r>
          </w:p>
        </w:tc>
        <w:tc>
          <w:tcPr>
            <w:tcW w:type="dxa" w:w="1250"/>
          </w:tcPr>
          <w:p>
            <w:pPr>
              <w:spacing w:after="0" w:line="264" w:lineRule="auto"/>
            </w:pPr>
            <w:r/>
            <w:r>
              <w:rPr>
                <w:rFonts w:ascii="Calibri" w:hAnsi="Calibri"/>
                <w:b/>
                <w:color w:val="1F3A5F"/>
                <w:sz w:val="18"/>
              </w:rPr>
              <w:t>Implemented</w:t>
            </w:r>
          </w:p>
        </w:tc>
        <w:tc>
          <w:tcPr>
            <w:tcW w:type="dxa" w:w="5860"/>
          </w:tcPr>
          <w:p>
            <w:pPr>
              <w:spacing w:after="0" w:line="264" w:lineRule="auto"/>
            </w:pPr>
            <w:r/>
            <w:r>
              <w:rPr>
                <w:rFonts w:ascii="Calibri" w:hAnsi="Calibri"/>
                <w:b w:val="0"/>
                <w:color w:val="0B2545"/>
                <w:sz w:val="18"/>
              </w:rPr>
              <w:t>Program setup with controllers, Swagger/OpenAPI in Development, JWT authentication services and EF Core SQL Server provider.</w:t>
            </w:r>
          </w:p>
        </w:tc>
      </w:tr>
      <w:tr>
        <w:tc>
          <w:tcPr>
            <w:tcW w:type="dxa" w:w="2250"/>
          </w:tcPr>
          <w:p>
            <w:pPr>
              <w:spacing w:after="0" w:line="264" w:lineRule="auto"/>
            </w:pPr>
            <w:r/>
            <w:r>
              <w:rPr>
                <w:rFonts w:ascii="Calibri" w:hAnsi="Calibri"/>
                <w:b w:val="0"/>
                <w:color w:val="0B2545"/>
                <w:sz w:val="18"/>
              </w:rPr>
              <w:t>User model and roles</w:t>
            </w:r>
          </w:p>
        </w:tc>
        <w:tc>
          <w:tcPr>
            <w:tcW w:type="dxa" w:w="1250"/>
          </w:tcPr>
          <w:p>
            <w:pPr>
              <w:spacing w:after="0" w:line="264" w:lineRule="auto"/>
            </w:pPr>
            <w:r/>
            <w:r>
              <w:rPr>
                <w:rFonts w:ascii="Calibri" w:hAnsi="Calibri"/>
                <w:b/>
                <w:color w:val="7A5A00"/>
                <w:sz w:val="18"/>
              </w:rPr>
              <w:t>Partial</w:t>
            </w:r>
          </w:p>
        </w:tc>
        <w:tc>
          <w:tcPr>
            <w:tcW w:type="dxa" w:w="5860"/>
          </w:tcPr>
          <w:p>
            <w:pPr>
              <w:spacing w:after="0" w:line="264" w:lineRule="auto"/>
            </w:pPr>
            <w:r/>
            <w:r>
              <w:rPr>
                <w:rFonts w:ascii="Calibri" w:hAnsi="Calibri"/>
                <w:b w:val="0"/>
                <w:color w:val="0B2545"/>
                <w:sz w:val="18"/>
              </w:rPr>
              <w:t>User has name, email, password hash, role and optional BranchId. Roles exist: OrgAdmin, BranchAdmin, RescueStaff, Veterinarian and Adopter.</w:t>
            </w:r>
          </w:p>
        </w:tc>
      </w:tr>
      <w:tr>
        <w:tc>
          <w:tcPr>
            <w:tcW w:type="dxa" w:w="2250"/>
          </w:tcPr>
          <w:p>
            <w:pPr>
              <w:spacing w:after="0" w:line="264" w:lineRule="auto"/>
            </w:pPr>
            <w:r/>
            <w:r>
              <w:rPr>
                <w:rFonts w:ascii="Calibri" w:hAnsi="Calibri"/>
                <w:b w:val="0"/>
                <w:color w:val="0B2545"/>
                <w:sz w:val="18"/>
              </w:rPr>
              <w:t>Registration and login endpoints</w:t>
            </w:r>
          </w:p>
        </w:tc>
        <w:tc>
          <w:tcPr>
            <w:tcW w:type="dxa" w:w="1250"/>
          </w:tcPr>
          <w:p>
            <w:pPr>
              <w:spacing w:after="0" w:line="264" w:lineRule="auto"/>
            </w:pPr>
            <w:r/>
            <w:r>
              <w:rPr>
                <w:rFonts w:ascii="Calibri" w:hAnsi="Calibri"/>
                <w:b/>
                <w:color w:val="7A5A00"/>
                <w:sz w:val="18"/>
              </w:rPr>
              <w:t>Partial</w:t>
            </w:r>
          </w:p>
        </w:tc>
        <w:tc>
          <w:tcPr>
            <w:tcW w:type="dxa" w:w="5860"/>
          </w:tcPr>
          <w:p>
            <w:pPr>
              <w:spacing w:after="0" w:line="264" w:lineRule="auto"/>
            </w:pPr>
            <w:r/>
            <w:r>
              <w:rPr>
                <w:rFonts w:ascii="Calibri" w:hAnsi="Calibri"/>
                <w:b w:val="0"/>
                <w:color w:val="0B2545"/>
                <w:sz w:val="18"/>
              </w:rPr>
              <w:t>POST /api/Auth/register and POST /api/Auth/login exist; password uses BCrypt and login returns a JWT.</w:t>
            </w:r>
          </w:p>
        </w:tc>
      </w:tr>
      <w:tr>
        <w:tc>
          <w:tcPr>
            <w:tcW w:type="dxa" w:w="2250"/>
          </w:tcPr>
          <w:p>
            <w:pPr>
              <w:spacing w:after="0" w:line="264" w:lineRule="auto"/>
            </w:pPr>
            <w:r/>
            <w:r>
              <w:rPr>
                <w:rFonts w:ascii="Calibri" w:hAnsi="Calibri"/>
                <w:b w:val="0"/>
                <w:color w:val="0B2545"/>
                <w:sz w:val="18"/>
              </w:rPr>
              <w:t>Branch data model</w:t>
            </w:r>
          </w:p>
        </w:tc>
        <w:tc>
          <w:tcPr>
            <w:tcW w:type="dxa" w:w="1250"/>
          </w:tcPr>
          <w:p>
            <w:pPr>
              <w:spacing w:after="0" w:line="264" w:lineRule="auto"/>
            </w:pPr>
            <w:r/>
            <w:r>
              <w:rPr>
                <w:rFonts w:ascii="Calibri" w:hAnsi="Calibri"/>
                <w:b/>
                <w:color w:val="7A5A00"/>
                <w:sz w:val="18"/>
              </w:rPr>
              <w:t>Partial</w:t>
            </w:r>
          </w:p>
        </w:tc>
        <w:tc>
          <w:tcPr>
            <w:tcW w:type="dxa" w:w="5860"/>
          </w:tcPr>
          <w:p>
            <w:pPr>
              <w:spacing w:after="0" w:line="264" w:lineRule="auto"/>
            </w:pPr>
            <w:r/>
            <w:r>
              <w:rPr>
                <w:rFonts w:ascii="Calibri" w:hAnsi="Calibri"/>
                <w:b w:val="0"/>
                <w:color w:val="0B2545"/>
                <w:sz w:val="18"/>
              </w:rPr>
              <w:t>Branch has name, region/city, address, optional phone and user relationship.</w:t>
            </w:r>
          </w:p>
        </w:tc>
      </w:tr>
      <w:tr>
        <w:tc>
          <w:tcPr>
            <w:tcW w:type="dxa" w:w="2250"/>
          </w:tcPr>
          <w:p>
            <w:pPr>
              <w:spacing w:after="0" w:line="264" w:lineRule="auto"/>
            </w:pPr>
            <w:r/>
            <w:r>
              <w:rPr>
                <w:rFonts w:ascii="Calibri" w:hAnsi="Calibri"/>
                <w:b w:val="0"/>
                <w:color w:val="0B2545"/>
                <w:sz w:val="18"/>
              </w:rPr>
              <w:t>Branch endpoints</w:t>
            </w:r>
          </w:p>
        </w:tc>
        <w:tc>
          <w:tcPr>
            <w:tcW w:type="dxa" w:w="1250"/>
          </w:tcPr>
          <w:p>
            <w:pPr>
              <w:spacing w:after="0" w:line="264" w:lineRule="auto"/>
            </w:pPr>
            <w:r/>
            <w:r>
              <w:rPr>
                <w:rFonts w:ascii="Calibri" w:hAnsi="Calibri"/>
                <w:b/>
                <w:color w:val="7A5A00"/>
                <w:sz w:val="18"/>
              </w:rPr>
              <w:t>Partial</w:t>
            </w:r>
          </w:p>
        </w:tc>
        <w:tc>
          <w:tcPr>
            <w:tcW w:type="dxa" w:w="5860"/>
          </w:tcPr>
          <w:p>
            <w:pPr>
              <w:spacing w:after="0" w:line="264" w:lineRule="auto"/>
            </w:pPr>
            <w:r/>
            <w:r>
              <w:rPr>
                <w:rFonts w:ascii="Calibri" w:hAnsi="Calibri"/>
                <w:b w:val="0"/>
                <w:color w:val="0B2545"/>
                <w:sz w:val="18"/>
              </w:rPr>
              <w:t>GET /api/Branch and POST /api/Branch exist.</w:t>
            </w:r>
          </w:p>
        </w:tc>
      </w:tr>
      <w:tr>
        <w:tc>
          <w:tcPr>
            <w:tcW w:type="dxa" w:w="2250"/>
          </w:tcPr>
          <w:p>
            <w:pPr>
              <w:spacing w:after="0" w:line="264" w:lineRule="auto"/>
            </w:pPr>
            <w:r/>
            <w:r>
              <w:rPr>
                <w:rFonts w:ascii="Calibri" w:hAnsi="Calibri"/>
                <w:b w:val="0"/>
                <w:color w:val="0B2545"/>
                <w:sz w:val="18"/>
              </w:rPr>
              <w:t>Database migration</w:t>
            </w:r>
          </w:p>
        </w:tc>
        <w:tc>
          <w:tcPr>
            <w:tcW w:type="dxa" w:w="1250"/>
          </w:tcPr>
          <w:p>
            <w:pPr>
              <w:spacing w:after="0" w:line="264" w:lineRule="auto"/>
            </w:pPr>
            <w:r/>
            <w:r>
              <w:rPr>
                <w:rFonts w:ascii="Calibri" w:hAnsi="Calibri"/>
                <w:b/>
                <w:color w:val="7A5A00"/>
                <w:sz w:val="18"/>
              </w:rPr>
              <w:t>Partial</w:t>
            </w:r>
          </w:p>
        </w:tc>
        <w:tc>
          <w:tcPr>
            <w:tcW w:type="dxa" w:w="5860"/>
          </w:tcPr>
          <w:p>
            <w:pPr>
              <w:spacing w:after="0" w:line="264" w:lineRule="auto"/>
            </w:pPr>
            <w:r/>
            <w:r>
              <w:rPr>
                <w:rFonts w:ascii="Calibri" w:hAnsi="Calibri"/>
                <w:b w:val="0"/>
                <w:color w:val="0B2545"/>
                <w:sz w:val="18"/>
              </w:rPr>
              <w:t>Initial migration creates only Branches and Users tables, including unique email index.</w:t>
            </w:r>
          </w:p>
        </w:tc>
      </w:tr>
    </w:tbl>
    <w:p>
      <w:pPr>
        <w:spacing w:after="40"/>
      </w:pPr>
    </w:p>
    <w:p>
      <w:pPr>
        <w:spacing w:before="320" w:after="160"/>
      </w:pPr>
      <w:r>
        <w:rPr>
          <w:rFonts w:ascii="Calibri" w:hAnsi="Calibri"/>
          <w:b/>
          <w:color w:val="2E74B5"/>
          <w:sz w:val="32"/>
        </w:rPr>
        <w:t>4. Requirements coverage</w:t>
      </w:r>
    </w:p>
    <w:tbl>
      <w:tblPr>
        <w:tblStyle w:val="TableGrid"/>
        <w:tblW w:type="dxa" w:w="9360"/>
        <w:jc w:val="left"/>
        <w:tblLayout w:type="fixed"/>
        <w:tblLook w:firstColumn="1" w:firstRow="1" w:lastColumn="0" w:lastRow="0" w:noHBand="0" w:noVBand="1" w:val="04A0"/>
        <w:tblInd w:w="120" w:type="dxa"/>
      </w:tblPr>
      <w:tblGrid>
        <w:gridCol w:w="2900"/>
        <w:gridCol w:w="1200"/>
        <w:gridCol w:w="5260"/>
      </w:tblGrid>
      <w:tr>
        <w:tc>
          <w:tcPr>
            <w:tcW w:type="dxa" w:w="29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Requirement module</w:t>
            </w:r>
          </w:p>
        </w:tc>
        <w:tc>
          <w:tcPr>
            <w:tcW w:type="dxa" w:w="12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Status</w:t>
            </w:r>
          </w:p>
        </w:tc>
        <w:tc>
          <w:tcPr>
            <w:tcW w:type="dxa" w:w="526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QA assessment</w:t>
            </w:r>
          </w:p>
        </w:tc>
      </w:tr>
      <w:tr>
        <w:tc>
          <w:tcPr>
            <w:tcW w:type="dxa" w:w="2900"/>
          </w:tcPr>
          <w:p>
            <w:pPr>
              <w:spacing w:after="0" w:line="264" w:lineRule="auto"/>
            </w:pPr>
            <w:r/>
            <w:r>
              <w:rPr>
                <w:rFonts w:ascii="Calibri" w:hAnsi="Calibri"/>
                <w:b w:val="0"/>
                <w:color w:val="0B2545"/>
                <w:sz w:val="18"/>
              </w:rPr>
              <w:t>Branch management</w:t>
            </w:r>
          </w:p>
        </w:tc>
        <w:tc>
          <w:tcPr>
            <w:tcW w:type="dxa" w:w="1200"/>
          </w:tcPr>
          <w:p>
            <w:pPr>
              <w:spacing w:after="0" w:line="264" w:lineRule="auto"/>
            </w:pPr>
            <w:r/>
            <w:r>
              <w:rPr>
                <w:rFonts w:ascii="Calibri" w:hAnsi="Calibri"/>
                <w:b/>
                <w:color w:val="7A5A00"/>
                <w:sz w:val="18"/>
              </w:rPr>
              <w:t>Partial</w:t>
            </w:r>
          </w:p>
        </w:tc>
        <w:tc>
          <w:tcPr>
            <w:tcW w:type="dxa" w:w="5260"/>
          </w:tcPr>
          <w:p>
            <w:pPr>
              <w:spacing w:after="0" w:line="264" w:lineRule="auto"/>
            </w:pPr>
            <w:r/>
            <w:r>
              <w:rPr>
                <w:rFonts w:ascii="Calibri" w:hAnsi="Calibri"/>
                <w:b w:val="0"/>
                <w:color w:val="0B2545"/>
                <w:sz w:val="18"/>
              </w:rPr>
              <w:t>Basic create/list endpoints exist, but no update/delete, validation, filtering or Org Admin authorization.</w:t>
            </w:r>
          </w:p>
        </w:tc>
      </w:tr>
      <w:tr>
        <w:tc>
          <w:tcPr>
            <w:tcW w:type="dxa" w:w="2900"/>
          </w:tcPr>
          <w:p>
            <w:pPr>
              <w:spacing w:after="0" w:line="264" w:lineRule="auto"/>
            </w:pPr>
            <w:r/>
            <w:r>
              <w:rPr>
                <w:rFonts w:ascii="Calibri" w:hAnsi="Calibri"/>
                <w:b w:val="0"/>
                <w:color w:val="0B2545"/>
                <w:sz w:val="18"/>
              </w:rPr>
              <w:t>Authentication and role access</w:t>
            </w:r>
          </w:p>
        </w:tc>
        <w:tc>
          <w:tcPr>
            <w:tcW w:type="dxa" w:w="1200"/>
          </w:tcPr>
          <w:p>
            <w:pPr>
              <w:spacing w:after="0" w:line="264" w:lineRule="auto"/>
            </w:pPr>
            <w:r/>
            <w:r>
              <w:rPr>
                <w:rFonts w:ascii="Calibri" w:hAnsi="Calibri"/>
                <w:b/>
                <w:color w:val="7A5A00"/>
                <w:sz w:val="18"/>
              </w:rPr>
              <w:t>Partial</w:t>
            </w:r>
          </w:p>
        </w:tc>
        <w:tc>
          <w:tcPr>
            <w:tcW w:type="dxa" w:w="5260"/>
          </w:tcPr>
          <w:p>
            <w:pPr>
              <w:spacing w:after="0" w:line="264" w:lineRule="auto"/>
            </w:pPr>
            <w:r/>
            <w:r>
              <w:rPr>
                <w:rFonts w:ascii="Calibri" w:hAnsi="Calibri"/>
                <w:b w:val="0"/>
                <w:color w:val="0B2545"/>
                <w:sz w:val="18"/>
              </w:rPr>
              <w:t>Register/login and role values exist, but endpoints are not protected and role/branch permissions are not enforced.</w:t>
            </w:r>
          </w:p>
        </w:tc>
      </w:tr>
      <w:tr>
        <w:tc>
          <w:tcPr>
            <w:tcW w:type="dxa" w:w="2900"/>
          </w:tcPr>
          <w:p>
            <w:pPr>
              <w:spacing w:after="0" w:line="264" w:lineRule="auto"/>
            </w:pPr>
            <w:r/>
            <w:r>
              <w:rPr>
                <w:rFonts w:ascii="Calibri" w:hAnsi="Calibri"/>
                <w:b w:val="0"/>
                <w:color w:val="0B2545"/>
                <w:sz w:val="18"/>
              </w:rPr>
              <w:t>Animal management</w:t>
            </w:r>
          </w:p>
        </w:tc>
        <w:tc>
          <w:tcPr>
            <w:tcW w:type="dxa" w:w="1200"/>
          </w:tcPr>
          <w:p>
            <w:pPr>
              <w:spacing w:after="0" w:line="264" w:lineRule="auto"/>
            </w:pPr>
            <w:r/>
            <w:r>
              <w:rPr>
                <w:rFonts w:ascii="Calibri" w:hAnsi="Calibri"/>
                <w:b/>
                <w:color w:val="9B1C1C"/>
                <w:sz w:val="18"/>
              </w:rPr>
              <w:t>Not built</w:t>
            </w:r>
          </w:p>
        </w:tc>
        <w:tc>
          <w:tcPr>
            <w:tcW w:type="dxa" w:w="5260"/>
          </w:tcPr>
          <w:p>
            <w:pPr>
              <w:spacing w:after="0" w:line="264" w:lineRule="auto"/>
            </w:pPr>
            <w:r/>
            <w:r>
              <w:rPr>
                <w:rFonts w:ascii="Calibri" w:hAnsi="Calibri"/>
                <w:b w:val="0"/>
                <w:color w:val="0B2545"/>
                <w:sz w:val="18"/>
              </w:rPr>
              <w:t>No Animal entity, migration, controller, service or endpoints in dev.</w:t>
            </w:r>
          </w:p>
        </w:tc>
      </w:tr>
      <w:tr>
        <w:tc>
          <w:tcPr>
            <w:tcW w:type="dxa" w:w="2900"/>
          </w:tcPr>
          <w:p>
            <w:pPr>
              <w:spacing w:after="0" w:line="264" w:lineRule="auto"/>
            </w:pPr>
            <w:r/>
            <w:r>
              <w:rPr>
                <w:rFonts w:ascii="Calibri" w:hAnsi="Calibri"/>
                <w:b w:val="0"/>
                <w:color w:val="0B2545"/>
                <w:sz w:val="18"/>
              </w:rPr>
              <w:t>Medical management</w:t>
            </w:r>
          </w:p>
        </w:tc>
        <w:tc>
          <w:tcPr>
            <w:tcW w:type="dxa" w:w="1200"/>
          </w:tcPr>
          <w:p>
            <w:pPr>
              <w:spacing w:after="0" w:line="264" w:lineRule="auto"/>
            </w:pPr>
            <w:r/>
            <w:r>
              <w:rPr>
                <w:rFonts w:ascii="Calibri" w:hAnsi="Calibri"/>
                <w:b/>
                <w:color w:val="9B1C1C"/>
                <w:sz w:val="18"/>
              </w:rPr>
              <w:t>Not built</w:t>
            </w:r>
          </w:p>
        </w:tc>
        <w:tc>
          <w:tcPr>
            <w:tcW w:type="dxa" w:w="5260"/>
          </w:tcPr>
          <w:p>
            <w:pPr>
              <w:spacing w:after="0" w:line="264" w:lineRule="auto"/>
            </w:pPr>
            <w:r/>
            <w:r>
              <w:rPr>
                <w:rFonts w:ascii="Calibri" w:hAnsi="Calibri"/>
                <w:b w:val="0"/>
                <w:color w:val="0B2545"/>
                <w:sz w:val="18"/>
              </w:rPr>
              <w:t>No MedicalRecord implementation in dev.</w:t>
            </w:r>
          </w:p>
        </w:tc>
      </w:tr>
      <w:tr>
        <w:tc>
          <w:tcPr>
            <w:tcW w:type="dxa" w:w="2900"/>
          </w:tcPr>
          <w:p>
            <w:pPr>
              <w:spacing w:after="0" w:line="264" w:lineRule="auto"/>
            </w:pPr>
            <w:r/>
            <w:r>
              <w:rPr>
                <w:rFonts w:ascii="Calibri" w:hAnsi="Calibri"/>
                <w:b w:val="0"/>
                <w:color w:val="0B2545"/>
                <w:sz w:val="18"/>
              </w:rPr>
              <w:t>Behaviour assessment</w:t>
            </w:r>
          </w:p>
        </w:tc>
        <w:tc>
          <w:tcPr>
            <w:tcW w:type="dxa" w:w="1200"/>
          </w:tcPr>
          <w:p>
            <w:pPr>
              <w:spacing w:after="0" w:line="264" w:lineRule="auto"/>
            </w:pPr>
            <w:r/>
            <w:r>
              <w:rPr>
                <w:rFonts w:ascii="Calibri" w:hAnsi="Calibri"/>
                <w:b/>
                <w:color w:val="9B1C1C"/>
                <w:sz w:val="18"/>
              </w:rPr>
              <w:t>Not built</w:t>
            </w:r>
          </w:p>
        </w:tc>
        <w:tc>
          <w:tcPr>
            <w:tcW w:type="dxa" w:w="5260"/>
          </w:tcPr>
          <w:p>
            <w:pPr>
              <w:spacing w:after="0" w:line="264" w:lineRule="auto"/>
            </w:pPr>
            <w:r/>
            <w:r>
              <w:rPr>
                <w:rFonts w:ascii="Calibri" w:hAnsi="Calibri"/>
                <w:b w:val="0"/>
                <w:color w:val="0B2545"/>
                <w:sz w:val="18"/>
              </w:rPr>
              <w:t>No BehaviorRecord implementation in dev.</w:t>
            </w:r>
          </w:p>
        </w:tc>
      </w:tr>
      <w:tr>
        <w:tc>
          <w:tcPr>
            <w:tcW w:type="dxa" w:w="2900"/>
          </w:tcPr>
          <w:p>
            <w:pPr>
              <w:spacing w:after="0" w:line="264" w:lineRule="auto"/>
            </w:pPr>
            <w:r/>
            <w:r>
              <w:rPr>
                <w:rFonts w:ascii="Calibri" w:hAnsi="Calibri"/>
                <w:b w:val="0"/>
                <w:color w:val="0B2545"/>
                <w:sz w:val="18"/>
              </w:rPr>
              <w:t>Visit slots and booking</w:t>
            </w:r>
          </w:p>
        </w:tc>
        <w:tc>
          <w:tcPr>
            <w:tcW w:type="dxa" w:w="1200"/>
          </w:tcPr>
          <w:p>
            <w:pPr>
              <w:spacing w:after="0" w:line="264" w:lineRule="auto"/>
            </w:pPr>
            <w:r/>
            <w:r>
              <w:rPr>
                <w:rFonts w:ascii="Calibri" w:hAnsi="Calibri"/>
                <w:b/>
                <w:color w:val="9B1C1C"/>
                <w:sz w:val="18"/>
              </w:rPr>
              <w:t>Not built</w:t>
            </w:r>
          </w:p>
        </w:tc>
        <w:tc>
          <w:tcPr>
            <w:tcW w:type="dxa" w:w="5260"/>
          </w:tcPr>
          <w:p>
            <w:pPr>
              <w:spacing w:after="0" w:line="264" w:lineRule="auto"/>
            </w:pPr>
            <w:r/>
            <w:r>
              <w:rPr>
                <w:rFonts w:ascii="Calibri" w:hAnsi="Calibri"/>
                <w:b w:val="0"/>
                <w:color w:val="0B2545"/>
                <w:sz w:val="18"/>
              </w:rPr>
              <w:t>No VisitSlot or VisitBooking implementation in dev.</w:t>
            </w:r>
          </w:p>
        </w:tc>
      </w:tr>
      <w:tr>
        <w:tc>
          <w:tcPr>
            <w:tcW w:type="dxa" w:w="2900"/>
          </w:tcPr>
          <w:p>
            <w:pPr>
              <w:spacing w:after="0" w:line="264" w:lineRule="auto"/>
            </w:pPr>
            <w:r/>
            <w:r>
              <w:rPr>
                <w:rFonts w:ascii="Calibri" w:hAnsi="Calibri"/>
                <w:b w:val="0"/>
                <w:color w:val="0B2545"/>
                <w:sz w:val="18"/>
              </w:rPr>
              <w:t>Adoption applications and approvals</w:t>
            </w:r>
          </w:p>
        </w:tc>
        <w:tc>
          <w:tcPr>
            <w:tcW w:type="dxa" w:w="1200"/>
          </w:tcPr>
          <w:p>
            <w:pPr>
              <w:spacing w:after="0" w:line="264" w:lineRule="auto"/>
            </w:pPr>
            <w:r/>
            <w:r>
              <w:rPr>
                <w:rFonts w:ascii="Calibri" w:hAnsi="Calibri"/>
                <w:b/>
                <w:color w:val="9B1C1C"/>
                <w:sz w:val="18"/>
              </w:rPr>
              <w:t>Not built</w:t>
            </w:r>
          </w:p>
        </w:tc>
        <w:tc>
          <w:tcPr>
            <w:tcW w:type="dxa" w:w="5260"/>
          </w:tcPr>
          <w:p>
            <w:pPr>
              <w:spacing w:after="0" w:line="264" w:lineRule="auto"/>
            </w:pPr>
            <w:r/>
            <w:r>
              <w:rPr>
                <w:rFonts w:ascii="Calibri" w:hAnsi="Calibri"/>
                <w:b w:val="0"/>
                <w:color w:val="0B2545"/>
                <w:sz w:val="18"/>
              </w:rPr>
              <w:t>No AdoptionApplication, Adoption workflow or status transitions in dev.</w:t>
            </w:r>
          </w:p>
        </w:tc>
      </w:tr>
      <w:tr>
        <w:tc>
          <w:tcPr>
            <w:tcW w:type="dxa" w:w="2900"/>
          </w:tcPr>
          <w:p>
            <w:pPr>
              <w:spacing w:after="0" w:line="264" w:lineRule="auto"/>
            </w:pPr>
            <w:r/>
            <w:r>
              <w:rPr>
                <w:rFonts w:ascii="Calibri" w:hAnsi="Calibri"/>
                <w:b w:val="0"/>
                <w:color w:val="0B2545"/>
                <w:sz w:val="18"/>
              </w:rPr>
              <w:t>Payment and donations</w:t>
            </w:r>
          </w:p>
        </w:tc>
        <w:tc>
          <w:tcPr>
            <w:tcW w:type="dxa" w:w="1200"/>
          </w:tcPr>
          <w:p>
            <w:pPr>
              <w:spacing w:after="0" w:line="264" w:lineRule="auto"/>
            </w:pPr>
            <w:r/>
            <w:r>
              <w:rPr>
                <w:rFonts w:ascii="Calibri" w:hAnsi="Calibri"/>
                <w:b/>
                <w:color w:val="9B1C1C"/>
                <w:sz w:val="18"/>
              </w:rPr>
              <w:t>Not built</w:t>
            </w:r>
          </w:p>
        </w:tc>
        <w:tc>
          <w:tcPr>
            <w:tcW w:type="dxa" w:w="5260"/>
          </w:tcPr>
          <w:p>
            <w:pPr>
              <w:spacing w:after="0" w:line="264" w:lineRule="auto"/>
            </w:pPr>
            <w:r/>
            <w:r>
              <w:rPr>
                <w:rFonts w:ascii="Calibri" w:hAnsi="Calibri"/>
                <w:b w:val="0"/>
                <w:color w:val="0B2545"/>
                <w:sz w:val="18"/>
              </w:rPr>
              <w:t>No payment gateway abstraction, checkout, webhook or Payment entity in dev.</w:t>
            </w:r>
          </w:p>
        </w:tc>
      </w:tr>
      <w:tr>
        <w:tc>
          <w:tcPr>
            <w:tcW w:type="dxa" w:w="2900"/>
          </w:tcPr>
          <w:p>
            <w:pPr>
              <w:spacing w:after="0" w:line="264" w:lineRule="auto"/>
            </w:pPr>
            <w:r/>
            <w:r>
              <w:rPr>
                <w:rFonts w:ascii="Calibri" w:hAnsi="Calibri"/>
                <w:b w:val="0"/>
                <w:color w:val="0B2545"/>
                <w:sz w:val="18"/>
              </w:rPr>
              <w:t>Post-adoption follow-up</w:t>
            </w:r>
          </w:p>
        </w:tc>
        <w:tc>
          <w:tcPr>
            <w:tcW w:type="dxa" w:w="1200"/>
          </w:tcPr>
          <w:p>
            <w:pPr>
              <w:spacing w:after="0" w:line="264" w:lineRule="auto"/>
            </w:pPr>
            <w:r/>
            <w:r>
              <w:rPr>
                <w:rFonts w:ascii="Calibri" w:hAnsi="Calibri"/>
                <w:b/>
                <w:color w:val="9B1C1C"/>
                <w:sz w:val="18"/>
              </w:rPr>
              <w:t>Not built</w:t>
            </w:r>
          </w:p>
        </w:tc>
        <w:tc>
          <w:tcPr>
            <w:tcW w:type="dxa" w:w="5260"/>
          </w:tcPr>
          <w:p>
            <w:pPr>
              <w:spacing w:after="0" w:line="264" w:lineRule="auto"/>
            </w:pPr>
            <w:r/>
            <w:r>
              <w:rPr>
                <w:rFonts w:ascii="Calibri" w:hAnsi="Calibri"/>
                <w:b w:val="0"/>
                <w:color w:val="0B2545"/>
                <w:sz w:val="18"/>
              </w:rPr>
              <w:t>No FollowUp entity, scheduling or endpoints in dev.</w:t>
            </w:r>
          </w:p>
        </w:tc>
      </w:tr>
      <w:tr>
        <w:tc>
          <w:tcPr>
            <w:tcW w:type="dxa" w:w="2900"/>
          </w:tcPr>
          <w:p>
            <w:pPr>
              <w:spacing w:after="0" w:line="264" w:lineRule="auto"/>
            </w:pPr>
            <w:r/>
            <w:r>
              <w:rPr>
                <w:rFonts w:ascii="Calibri" w:hAnsi="Calibri"/>
                <w:b w:val="0"/>
                <w:color w:val="0B2545"/>
                <w:sz w:val="18"/>
              </w:rPr>
              <w:t>AI description generation/chatbot</w:t>
            </w:r>
          </w:p>
        </w:tc>
        <w:tc>
          <w:tcPr>
            <w:tcW w:type="dxa" w:w="1200"/>
          </w:tcPr>
          <w:p>
            <w:pPr>
              <w:spacing w:after="0" w:line="264" w:lineRule="auto"/>
            </w:pPr>
            <w:r/>
            <w:r>
              <w:rPr>
                <w:rFonts w:ascii="Calibri" w:hAnsi="Calibri"/>
                <w:b/>
                <w:color w:val="9B1C1C"/>
                <w:sz w:val="18"/>
              </w:rPr>
              <w:t>Not built</w:t>
            </w:r>
          </w:p>
        </w:tc>
        <w:tc>
          <w:tcPr>
            <w:tcW w:type="dxa" w:w="5260"/>
          </w:tcPr>
          <w:p>
            <w:pPr>
              <w:spacing w:after="0" w:line="264" w:lineRule="auto"/>
            </w:pPr>
            <w:r/>
            <w:r>
              <w:rPr>
                <w:rFonts w:ascii="Calibri" w:hAnsi="Calibri"/>
                <w:b w:val="0"/>
                <w:color w:val="0B2545"/>
                <w:sz w:val="18"/>
              </w:rPr>
              <w:t>No AI orchestration, approval gate, chatbot or message logging in dev.</w:t>
            </w:r>
          </w:p>
        </w:tc>
      </w:tr>
      <w:tr>
        <w:tc>
          <w:tcPr>
            <w:tcW w:type="dxa" w:w="2900"/>
          </w:tcPr>
          <w:p>
            <w:pPr>
              <w:spacing w:after="0" w:line="264" w:lineRule="auto"/>
            </w:pPr>
            <w:r/>
            <w:r>
              <w:rPr>
                <w:rFonts w:ascii="Calibri" w:hAnsi="Calibri"/>
                <w:b w:val="0"/>
                <w:color w:val="0B2545"/>
                <w:sz w:val="18"/>
              </w:rPr>
              <w:t>Reports and cross-branch dashboard</w:t>
            </w:r>
          </w:p>
        </w:tc>
        <w:tc>
          <w:tcPr>
            <w:tcW w:type="dxa" w:w="1200"/>
          </w:tcPr>
          <w:p>
            <w:pPr>
              <w:spacing w:after="0" w:line="264" w:lineRule="auto"/>
            </w:pPr>
            <w:r/>
            <w:r>
              <w:rPr>
                <w:rFonts w:ascii="Calibri" w:hAnsi="Calibri"/>
                <w:b/>
                <w:color w:val="9B1C1C"/>
                <w:sz w:val="18"/>
              </w:rPr>
              <w:t>Not built</w:t>
            </w:r>
          </w:p>
        </w:tc>
        <w:tc>
          <w:tcPr>
            <w:tcW w:type="dxa" w:w="5260"/>
          </w:tcPr>
          <w:p>
            <w:pPr>
              <w:spacing w:after="0" w:line="264" w:lineRule="auto"/>
            </w:pPr>
            <w:r/>
            <w:r>
              <w:rPr>
                <w:rFonts w:ascii="Calibri" w:hAnsi="Calibri"/>
                <w:b w:val="0"/>
                <w:color w:val="0B2545"/>
                <w:sz w:val="18"/>
              </w:rPr>
              <w:t>No reporting endpoints, dashboard implementation or aggregation logic found.</w:t>
            </w:r>
          </w:p>
        </w:tc>
      </w:tr>
      <w:tr>
        <w:tc>
          <w:tcPr>
            <w:tcW w:type="dxa" w:w="2900"/>
          </w:tcPr>
          <w:p>
            <w:pPr>
              <w:spacing w:after="0" w:line="264" w:lineRule="auto"/>
            </w:pPr>
            <w:r/>
            <w:r>
              <w:rPr>
                <w:rFonts w:ascii="Calibri" w:hAnsi="Calibri"/>
                <w:b w:val="0"/>
                <w:color w:val="0B2545"/>
                <w:sz w:val="18"/>
              </w:rPr>
              <w:t>Frontend / responsive UI</w:t>
            </w:r>
          </w:p>
        </w:tc>
        <w:tc>
          <w:tcPr>
            <w:tcW w:type="dxa" w:w="1200"/>
          </w:tcPr>
          <w:p>
            <w:pPr>
              <w:spacing w:after="0" w:line="264" w:lineRule="auto"/>
            </w:pPr>
            <w:r/>
            <w:r>
              <w:rPr>
                <w:rFonts w:ascii="Calibri" w:hAnsi="Calibri"/>
                <w:b/>
                <w:color w:val="9B1C1C"/>
                <w:sz w:val="18"/>
              </w:rPr>
              <w:t>Not built</w:t>
            </w:r>
          </w:p>
        </w:tc>
        <w:tc>
          <w:tcPr>
            <w:tcW w:type="dxa" w:w="5260"/>
          </w:tcPr>
          <w:p>
            <w:pPr>
              <w:spacing w:after="0" w:line="264" w:lineRule="auto"/>
            </w:pPr>
            <w:r/>
            <w:r>
              <w:rPr>
                <w:rFonts w:ascii="Calibri" w:hAnsi="Calibri"/>
                <w:b w:val="0"/>
                <w:color w:val="0B2545"/>
                <w:sz w:val="18"/>
              </w:rPr>
              <w:t>No frontend project or UI assets found in dev.</w:t>
            </w:r>
          </w:p>
        </w:tc>
      </w:tr>
    </w:tbl>
    <w:p>
      <w:pPr>
        <w:spacing w:after="40"/>
      </w:pPr>
    </w:p>
    <w:p>
      <w:r>
        <w:br w:type="page"/>
      </w:r>
    </w:p>
    <w:p>
      <w:pPr>
        <w:spacing w:before="320" w:after="160"/>
      </w:pPr>
      <w:r>
        <w:rPr>
          <w:rFonts w:ascii="Calibri" w:hAnsi="Calibri"/>
          <w:b/>
          <w:color w:val="2E74B5"/>
          <w:sz w:val="32"/>
        </w:rPr>
        <w:t>5. Confirmed defects and release blockers</w:t>
      </w:r>
    </w:p>
    <w:tbl>
      <w:tblPr>
        <w:tblStyle w:val="TableGrid"/>
        <w:tblW w:type="dxa" w:w="9360"/>
        <w:jc w:val="left"/>
        <w:tblLayout w:type="fixed"/>
        <w:tblLook w:firstColumn="1" w:firstRow="1" w:lastColumn="0" w:lastRow="0" w:noHBand="0" w:noVBand="1" w:val="04A0"/>
        <w:tblInd w:w="120" w:type="dxa"/>
      </w:tblPr>
      <w:tblGrid>
        <w:gridCol w:w="700"/>
        <w:gridCol w:w="900"/>
        <w:gridCol w:w="3440"/>
        <w:gridCol w:w="4320"/>
      </w:tblGrid>
      <w:tr>
        <w:tc>
          <w:tcPr>
            <w:tcW w:type="dxa" w:w="7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ID</w:t>
            </w:r>
          </w:p>
        </w:tc>
        <w:tc>
          <w:tcPr>
            <w:tcW w:type="dxa" w:w="9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Severity</w:t>
            </w:r>
          </w:p>
        </w:tc>
        <w:tc>
          <w:tcPr>
            <w:tcW w:type="dxa" w:w="344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Finding</w:t>
            </w:r>
          </w:p>
        </w:tc>
        <w:tc>
          <w:tcPr>
            <w:tcW w:type="dxa" w:w="432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Impact / required action</w:t>
            </w:r>
          </w:p>
        </w:tc>
      </w:tr>
      <w:tr>
        <w:tc>
          <w:tcPr>
            <w:tcW w:type="dxa" w:w="700"/>
          </w:tcPr>
          <w:p>
            <w:pPr>
              <w:spacing w:after="0" w:line="264" w:lineRule="auto"/>
            </w:pPr>
            <w:r/>
            <w:r>
              <w:rPr>
                <w:rFonts w:ascii="Calibri" w:hAnsi="Calibri"/>
                <w:b w:val="0"/>
                <w:color w:val="0B2545"/>
                <w:sz w:val="18"/>
              </w:rPr>
              <w:t>QA-01</w:t>
            </w:r>
          </w:p>
        </w:tc>
        <w:tc>
          <w:tcPr>
            <w:tcW w:type="dxa" w:w="900"/>
          </w:tcPr>
          <w:p>
            <w:pPr>
              <w:spacing w:after="0" w:line="264" w:lineRule="auto"/>
            </w:pPr>
            <w:r/>
            <w:r>
              <w:rPr>
                <w:rFonts w:ascii="Calibri" w:hAnsi="Calibri"/>
                <w:b/>
                <w:color w:val="0B2545"/>
                <w:sz w:val="18"/>
              </w:rPr>
              <w:t>Blocker</w:t>
            </w:r>
          </w:p>
        </w:tc>
        <w:tc>
          <w:tcPr>
            <w:tcW w:type="dxa" w:w="3440"/>
          </w:tcPr>
          <w:p>
            <w:pPr>
              <w:spacing w:after="0" w:line="264" w:lineRule="auto"/>
            </w:pPr>
            <w:r/>
            <w:r>
              <w:rPr>
                <w:rFonts w:ascii="Calibri" w:hAnsi="Calibri"/>
                <w:b w:val="0"/>
                <w:color w:val="0B2545"/>
                <w:sz w:val="18"/>
              </w:rPr>
              <w:t>Default branch has no application code; it contains only the supplied design documents.</w:t>
            </w:r>
          </w:p>
        </w:tc>
        <w:tc>
          <w:tcPr>
            <w:tcW w:type="dxa" w:w="4320"/>
          </w:tcPr>
          <w:p>
            <w:pPr>
              <w:spacing w:after="0" w:line="264" w:lineRule="auto"/>
            </w:pPr>
            <w:r/>
            <w:r>
              <w:rPr>
                <w:rFonts w:ascii="Calibri" w:hAnsi="Calibri"/>
                <w:b w:val="0"/>
                <w:color w:val="0B2545"/>
                <w:sz w:val="18"/>
              </w:rPr>
              <w:t>Merge/rebase the intended build into the default release branch, or document dev as the deployment branch.</w:t>
            </w:r>
          </w:p>
        </w:tc>
      </w:tr>
      <w:tr>
        <w:tc>
          <w:tcPr>
            <w:tcW w:type="dxa" w:w="700"/>
          </w:tcPr>
          <w:p>
            <w:pPr>
              <w:spacing w:after="0" w:line="264" w:lineRule="auto"/>
            </w:pPr>
            <w:r/>
            <w:r>
              <w:rPr>
                <w:rFonts w:ascii="Calibri" w:hAnsi="Calibri"/>
                <w:b w:val="0"/>
                <w:color w:val="0B2545"/>
                <w:sz w:val="18"/>
              </w:rPr>
              <w:t>QA-02</w:t>
            </w:r>
          </w:p>
        </w:tc>
        <w:tc>
          <w:tcPr>
            <w:tcW w:type="dxa" w:w="900"/>
          </w:tcPr>
          <w:p>
            <w:pPr>
              <w:spacing w:after="0" w:line="264" w:lineRule="auto"/>
            </w:pPr>
            <w:r/>
            <w:r>
              <w:rPr>
                <w:rFonts w:ascii="Calibri" w:hAnsi="Calibri"/>
                <w:b/>
                <w:color w:val="0B2545"/>
                <w:sz w:val="18"/>
              </w:rPr>
              <w:t>Blocker</w:t>
            </w:r>
          </w:p>
        </w:tc>
        <w:tc>
          <w:tcPr>
            <w:tcW w:type="dxa" w:w="3440"/>
          </w:tcPr>
          <w:p>
            <w:pPr>
              <w:spacing w:after="0" w:line="264" w:lineRule="auto"/>
            </w:pPr>
            <w:r/>
            <w:r>
              <w:rPr>
                <w:rFonts w:ascii="Calibri" w:hAnsi="Calibri"/>
                <w:b w:val="0"/>
                <w:color w:val="0B2545"/>
                <w:sz w:val="18"/>
              </w:rPr>
              <w:t>Project targets net10.0 but the available environment has .NET SDK 7.0. Build fails with NETSDK1045.</w:t>
            </w:r>
          </w:p>
        </w:tc>
        <w:tc>
          <w:tcPr>
            <w:tcW w:type="dxa" w:w="4320"/>
          </w:tcPr>
          <w:p>
            <w:pPr>
              <w:spacing w:after="0" w:line="264" w:lineRule="auto"/>
            </w:pPr>
            <w:r/>
            <w:r>
              <w:rPr>
                <w:rFonts w:ascii="Calibri" w:hAnsi="Calibri"/>
                <w:b w:val="0"/>
                <w:color w:val="0B2545"/>
                <w:sz w:val="18"/>
              </w:rPr>
              <w:t>Install/use .NET 10 SDK in CI and developer setup, then rerun build and API smoke tests.</w:t>
            </w:r>
          </w:p>
        </w:tc>
      </w:tr>
      <w:tr>
        <w:tc>
          <w:tcPr>
            <w:tcW w:type="dxa" w:w="700"/>
          </w:tcPr>
          <w:p>
            <w:pPr>
              <w:spacing w:after="0" w:line="264" w:lineRule="auto"/>
            </w:pPr>
            <w:r/>
            <w:r>
              <w:rPr>
                <w:rFonts w:ascii="Calibri" w:hAnsi="Calibri"/>
                <w:b w:val="0"/>
                <w:color w:val="0B2545"/>
                <w:sz w:val="18"/>
              </w:rPr>
              <w:t>QA-03</w:t>
            </w:r>
          </w:p>
        </w:tc>
        <w:tc>
          <w:tcPr>
            <w:tcW w:type="dxa" w:w="900"/>
          </w:tcPr>
          <w:p>
            <w:pPr>
              <w:spacing w:after="0" w:line="264" w:lineRule="auto"/>
            </w:pPr>
            <w:r/>
            <w:r>
              <w:rPr>
                <w:rFonts w:ascii="Calibri" w:hAnsi="Calibri"/>
                <w:b/>
                <w:color w:val="0B2545"/>
                <w:sz w:val="18"/>
              </w:rPr>
              <w:t>Blocker</w:t>
            </w:r>
          </w:p>
        </w:tc>
        <w:tc>
          <w:tcPr>
            <w:tcW w:type="dxa" w:w="3440"/>
          </w:tcPr>
          <w:p>
            <w:pPr>
              <w:spacing w:after="0" w:line="264" w:lineRule="auto"/>
            </w:pPr>
            <w:r/>
            <w:r>
              <w:rPr>
                <w:rFonts w:ascii="Calibri" w:hAnsi="Calibri"/>
                <w:b w:val="0"/>
                <w:color w:val="0B2545"/>
                <w:sz w:val="18"/>
              </w:rPr>
              <w:t>Default connection string uses (localdb)\MSSQLLocalDB, a Windows LocalDB configuration.</w:t>
            </w:r>
          </w:p>
        </w:tc>
        <w:tc>
          <w:tcPr>
            <w:tcW w:type="dxa" w:w="4320"/>
          </w:tcPr>
          <w:p>
            <w:pPr>
              <w:spacing w:after="0" w:line="264" w:lineRule="auto"/>
            </w:pPr>
            <w:r/>
            <w:r>
              <w:rPr>
                <w:rFonts w:ascii="Calibri" w:hAnsi="Calibri"/>
                <w:b w:val="0"/>
                <w:color w:val="0B2545"/>
                <w:sz w:val="18"/>
              </w:rPr>
              <w:t>Provide a reachable SQL Server instance/container and environment-specific secrets/configuration.</w:t>
            </w:r>
          </w:p>
        </w:tc>
      </w:tr>
      <w:tr>
        <w:tc>
          <w:tcPr>
            <w:tcW w:type="dxa" w:w="700"/>
          </w:tcPr>
          <w:p>
            <w:pPr>
              <w:spacing w:after="0" w:line="264" w:lineRule="auto"/>
            </w:pPr>
            <w:r/>
            <w:r>
              <w:rPr>
                <w:rFonts w:ascii="Calibri" w:hAnsi="Calibri"/>
                <w:b w:val="0"/>
                <w:color w:val="0B2545"/>
                <w:sz w:val="18"/>
              </w:rPr>
              <w:t>QA-04</w:t>
            </w:r>
          </w:p>
        </w:tc>
        <w:tc>
          <w:tcPr>
            <w:tcW w:type="dxa" w:w="900"/>
          </w:tcPr>
          <w:p>
            <w:pPr>
              <w:spacing w:after="0" w:line="264" w:lineRule="auto"/>
            </w:pPr>
            <w:r/>
            <w:r>
              <w:rPr>
                <w:rFonts w:ascii="Calibri" w:hAnsi="Calibri"/>
                <w:b/>
                <w:color w:val="0B2545"/>
                <w:sz w:val="18"/>
              </w:rPr>
              <w:t>Critical</w:t>
            </w:r>
          </w:p>
        </w:tc>
        <w:tc>
          <w:tcPr>
            <w:tcW w:type="dxa" w:w="3440"/>
          </w:tcPr>
          <w:p>
            <w:pPr>
              <w:spacing w:after="0" w:line="264" w:lineRule="auto"/>
            </w:pPr>
            <w:r/>
            <w:r>
              <w:rPr>
                <w:rFonts w:ascii="Calibri" w:hAnsi="Calibri"/>
                <w:b w:val="0"/>
                <w:color w:val="0B2545"/>
                <w:sz w:val="18"/>
              </w:rPr>
              <w:t>Branch GET and POST endpoints have no [Authorize] attribute or role checks.</w:t>
            </w:r>
          </w:p>
        </w:tc>
        <w:tc>
          <w:tcPr>
            <w:tcW w:type="dxa" w:w="4320"/>
          </w:tcPr>
          <w:p>
            <w:pPr>
              <w:spacing w:after="0" w:line="264" w:lineRule="auto"/>
            </w:pPr>
            <w:r/>
            <w:r>
              <w:rPr>
                <w:rFonts w:ascii="Calibri" w:hAnsi="Calibri"/>
                <w:b w:val="0"/>
                <w:color w:val="0B2545"/>
                <w:sz w:val="18"/>
              </w:rPr>
              <w:t>Require authentication and restrict branch creation/listing to the correct organization roles.</w:t>
            </w:r>
          </w:p>
        </w:tc>
      </w:tr>
      <w:tr>
        <w:tc>
          <w:tcPr>
            <w:tcW w:type="dxa" w:w="700"/>
          </w:tcPr>
          <w:p>
            <w:pPr>
              <w:spacing w:after="0" w:line="264" w:lineRule="auto"/>
            </w:pPr>
            <w:r/>
            <w:r>
              <w:rPr>
                <w:rFonts w:ascii="Calibri" w:hAnsi="Calibri"/>
                <w:b w:val="0"/>
                <w:color w:val="0B2545"/>
                <w:sz w:val="18"/>
              </w:rPr>
              <w:t>QA-05</w:t>
            </w:r>
          </w:p>
        </w:tc>
        <w:tc>
          <w:tcPr>
            <w:tcW w:type="dxa" w:w="900"/>
          </w:tcPr>
          <w:p>
            <w:pPr>
              <w:spacing w:after="0" w:line="264" w:lineRule="auto"/>
            </w:pPr>
            <w:r/>
            <w:r>
              <w:rPr>
                <w:rFonts w:ascii="Calibri" w:hAnsi="Calibri"/>
                <w:b/>
                <w:color w:val="0B2545"/>
                <w:sz w:val="18"/>
              </w:rPr>
              <w:t>High</w:t>
            </w:r>
          </w:p>
        </w:tc>
        <w:tc>
          <w:tcPr>
            <w:tcW w:type="dxa" w:w="3440"/>
          </w:tcPr>
          <w:p>
            <w:pPr>
              <w:spacing w:after="0" w:line="264" w:lineRule="auto"/>
            </w:pPr>
            <w:r/>
            <w:r>
              <w:rPr>
                <w:rFonts w:ascii="Calibri" w:hAnsi="Calibri"/>
                <w:b w:val="0"/>
                <w:color w:val="0B2545"/>
                <w:sz w:val="18"/>
              </w:rPr>
              <w:t>JWT signing key is hard-coded in appsettings.json and checked into the repository.</w:t>
            </w:r>
          </w:p>
        </w:tc>
        <w:tc>
          <w:tcPr>
            <w:tcW w:type="dxa" w:w="4320"/>
          </w:tcPr>
          <w:p>
            <w:pPr>
              <w:spacing w:after="0" w:line="264" w:lineRule="auto"/>
            </w:pPr>
            <w:r/>
            <w:r>
              <w:rPr>
                <w:rFonts w:ascii="Calibri" w:hAnsi="Calibri"/>
                <w:b w:val="0"/>
                <w:color w:val="0B2545"/>
                <w:sz w:val="18"/>
              </w:rPr>
              <w:t>Remove it from source control, rotate it, and load it from secure environment/secret storage.</w:t>
            </w:r>
          </w:p>
        </w:tc>
      </w:tr>
      <w:tr>
        <w:tc>
          <w:tcPr>
            <w:tcW w:type="dxa" w:w="700"/>
          </w:tcPr>
          <w:p>
            <w:pPr>
              <w:spacing w:after="0" w:line="264" w:lineRule="auto"/>
            </w:pPr>
            <w:r/>
            <w:r>
              <w:rPr>
                <w:rFonts w:ascii="Calibri" w:hAnsi="Calibri"/>
                <w:b w:val="0"/>
                <w:color w:val="0B2545"/>
                <w:sz w:val="18"/>
              </w:rPr>
              <w:t>QA-06</w:t>
            </w:r>
          </w:p>
        </w:tc>
        <w:tc>
          <w:tcPr>
            <w:tcW w:type="dxa" w:w="900"/>
          </w:tcPr>
          <w:p>
            <w:pPr>
              <w:spacing w:after="0" w:line="264" w:lineRule="auto"/>
            </w:pPr>
            <w:r/>
            <w:r>
              <w:rPr>
                <w:rFonts w:ascii="Calibri" w:hAnsi="Calibri"/>
                <w:b/>
                <w:color w:val="0B2545"/>
                <w:sz w:val="18"/>
              </w:rPr>
              <w:t>High</w:t>
            </w:r>
          </w:p>
        </w:tc>
        <w:tc>
          <w:tcPr>
            <w:tcW w:type="dxa" w:w="3440"/>
          </w:tcPr>
          <w:p>
            <w:pPr>
              <w:spacing w:after="0" w:line="264" w:lineRule="auto"/>
            </w:pPr>
            <w:r/>
            <w:r>
              <w:rPr>
                <w:rFonts w:ascii="Calibri" w:hAnsi="Calibri"/>
                <w:b w:val="0"/>
                <w:color w:val="0B2545"/>
                <w:sz w:val="18"/>
              </w:rPr>
              <w:t>Branch creation accepts the model directly with no explicit required-field validation or role/branch scoping.</w:t>
            </w:r>
          </w:p>
        </w:tc>
        <w:tc>
          <w:tcPr>
            <w:tcW w:type="dxa" w:w="4320"/>
          </w:tcPr>
          <w:p>
            <w:pPr>
              <w:spacing w:after="0" w:line="264" w:lineRule="auto"/>
            </w:pPr>
            <w:r/>
            <w:r>
              <w:rPr>
                <w:rFonts w:ascii="Calibri" w:hAnsi="Calibri"/>
                <w:b w:val="0"/>
                <w:color w:val="0B2545"/>
                <w:sz w:val="18"/>
              </w:rPr>
              <w:t>Use request DTOs, validation rules, and service-level authorization/scoping.</w:t>
            </w:r>
          </w:p>
        </w:tc>
      </w:tr>
      <w:tr>
        <w:tc>
          <w:tcPr>
            <w:tcW w:type="dxa" w:w="700"/>
          </w:tcPr>
          <w:p>
            <w:pPr>
              <w:spacing w:after="0" w:line="264" w:lineRule="auto"/>
            </w:pPr>
            <w:r/>
            <w:r>
              <w:rPr>
                <w:rFonts w:ascii="Calibri" w:hAnsi="Calibri"/>
                <w:b w:val="0"/>
                <w:color w:val="0B2545"/>
                <w:sz w:val="18"/>
              </w:rPr>
              <w:t>QA-07</w:t>
            </w:r>
          </w:p>
        </w:tc>
        <w:tc>
          <w:tcPr>
            <w:tcW w:type="dxa" w:w="900"/>
          </w:tcPr>
          <w:p>
            <w:pPr>
              <w:spacing w:after="0" w:line="264" w:lineRule="auto"/>
            </w:pPr>
            <w:r/>
            <w:r>
              <w:rPr>
                <w:rFonts w:ascii="Calibri" w:hAnsi="Calibri"/>
                <w:b/>
                <w:color w:val="0B2545"/>
                <w:sz w:val="18"/>
              </w:rPr>
              <w:t>High</w:t>
            </w:r>
          </w:p>
        </w:tc>
        <w:tc>
          <w:tcPr>
            <w:tcW w:type="dxa" w:w="3440"/>
          </w:tcPr>
          <w:p>
            <w:pPr>
              <w:spacing w:after="0" w:line="264" w:lineRule="auto"/>
            </w:pPr>
            <w:r/>
            <w:r>
              <w:rPr>
                <w:rFonts w:ascii="Calibri" w:hAnsi="Calibri"/>
                <w:b w:val="0"/>
                <w:color w:val="0B2545"/>
                <w:sz w:val="18"/>
              </w:rPr>
              <w:t>No automated test project or API integration tests were found.</w:t>
            </w:r>
          </w:p>
        </w:tc>
        <w:tc>
          <w:tcPr>
            <w:tcW w:type="dxa" w:w="4320"/>
          </w:tcPr>
          <w:p>
            <w:pPr>
              <w:spacing w:after="0" w:line="264" w:lineRule="auto"/>
            </w:pPr>
            <w:r/>
            <w:r>
              <w:rPr>
                <w:rFonts w:ascii="Calibri" w:hAnsi="Calibri"/>
                <w:b w:val="0"/>
                <w:color w:val="0B2545"/>
                <w:sz w:val="18"/>
              </w:rPr>
              <w:t>Add unit and integration tests for authentication, authorization, validation, branch isolation and workflow rules.</w:t>
            </w:r>
          </w:p>
        </w:tc>
      </w:tr>
      <w:tr>
        <w:tc>
          <w:tcPr>
            <w:tcW w:type="dxa" w:w="700"/>
          </w:tcPr>
          <w:p>
            <w:pPr>
              <w:spacing w:after="0" w:line="264" w:lineRule="auto"/>
            </w:pPr>
            <w:r/>
            <w:r>
              <w:rPr>
                <w:rFonts w:ascii="Calibri" w:hAnsi="Calibri"/>
                <w:b w:val="0"/>
                <w:color w:val="0B2545"/>
                <w:sz w:val="18"/>
              </w:rPr>
              <w:t>QA-08</w:t>
            </w:r>
          </w:p>
        </w:tc>
        <w:tc>
          <w:tcPr>
            <w:tcW w:type="dxa" w:w="900"/>
          </w:tcPr>
          <w:p>
            <w:pPr>
              <w:spacing w:after="0" w:line="264" w:lineRule="auto"/>
            </w:pPr>
            <w:r/>
            <w:r>
              <w:rPr>
                <w:rFonts w:ascii="Calibri" w:hAnsi="Calibri"/>
                <w:b/>
                <w:color w:val="0B2545"/>
                <w:sz w:val="18"/>
              </w:rPr>
              <w:t>Medium</w:t>
            </w:r>
          </w:p>
        </w:tc>
        <w:tc>
          <w:tcPr>
            <w:tcW w:type="dxa" w:w="3440"/>
          </w:tcPr>
          <w:p>
            <w:pPr>
              <w:spacing w:after="0" w:line="264" w:lineRule="auto"/>
            </w:pPr>
            <w:r/>
            <w:r>
              <w:rPr>
                <w:rFonts w:ascii="Calibri" w:hAnsi="Calibri"/>
                <w:b w:val="0"/>
                <w:color w:val="0B2545"/>
                <w:sz w:val="18"/>
              </w:rPr>
              <w:t>IDE and generated build files (.vs, bin, obj) are committed.</w:t>
            </w:r>
          </w:p>
        </w:tc>
        <w:tc>
          <w:tcPr>
            <w:tcW w:type="dxa" w:w="4320"/>
          </w:tcPr>
          <w:p>
            <w:pPr>
              <w:spacing w:after="0" w:line="264" w:lineRule="auto"/>
            </w:pPr>
            <w:r/>
            <w:r>
              <w:rPr>
                <w:rFonts w:ascii="Calibri" w:hAnsi="Calibri"/>
                <w:b w:val="0"/>
                <w:color w:val="0B2545"/>
                <w:sz w:val="18"/>
              </w:rPr>
              <w:t>Add .gitignore and remove generated artifacts from version control.</w:t>
            </w:r>
          </w:p>
        </w:tc>
      </w:tr>
    </w:tbl>
    <w:p>
      <w:pPr>
        <w:spacing w:after="40"/>
      </w:pPr>
    </w:p>
    <w:p>
      <w:pPr>
        <w:spacing w:before="320" w:after="160"/>
      </w:pPr>
      <w:r>
        <w:rPr>
          <w:rFonts w:ascii="Calibri" w:hAnsi="Calibri"/>
          <w:b/>
          <w:color w:val="2E74B5"/>
          <w:sz w:val="32"/>
        </w:rPr>
        <w:t>6. Recommended next steps before UAT</w:t>
      </w:r>
    </w:p>
    <w:p>
      <w:pPr>
        <w:spacing w:after="120" w:line="264" w:lineRule="auto"/>
      </w:pPr>
      <w:r>
        <w:rPr>
          <w:rFonts w:ascii="Calibri" w:hAnsi="Calibri"/>
          <w:b w:val="0"/>
          <w:color w:val="0B2545"/>
          <w:sz w:val="21"/>
        </w:rPr>
        <w:t>1. Define the release branch and merge the intended implementation into it.</w:t>
      </w:r>
    </w:p>
    <w:p>
      <w:pPr>
        <w:spacing w:after="120" w:line="264" w:lineRule="auto"/>
      </w:pPr>
      <w:r>
        <w:rPr>
          <w:rFonts w:ascii="Calibri" w:hAnsi="Calibri"/>
          <w:b w:val="0"/>
          <w:color w:val="0B2545"/>
          <w:sz w:val="21"/>
        </w:rPr>
        <w:t>2. Make the project runnable: install .NET 10, supply a SQL Server test database, place secrets outside source control, and document startup commands.</w:t>
      </w:r>
    </w:p>
    <w:p>
      <w:pPr>
        <w:spacing w:after="120" w:line="264" w:lineRule="auto"/>
      </w:pPr>
      <w:r>
        <w:rPr>
          <w:rFonts w:ascii="Calibri" w:hAnsi="Calibri"/>
          <w:b w:val="0"/>
          <w:color w:val="0B2545"/>
          <w:sz w:val="21"/>
        </w:rPr>
        <w:t>3. Complete and test authorization first: protect every endpoint and enforce Org Admin versus branch-scoped access in the service layer.</w:t>
      </w:r>
    </w:p>
    <w:p>
      <w:pPr>
        <w:spacing w:after="120" w:line="264" w:lineRule="auto"/>
      </w:pPr>
      <w:r>
        <w:rPr>
          <w:rFonts w:ascii="Calibri" w:hAnsi="Calibri"/>
          <w:b w:val="0"/>
          <w:color w:val="0B2545"/>
          <w:sz w:val="21"/>
        </w:rPr>
        <w:t>4. Implement the core lifecycle in priority order: Animal, Medical, Behaviour, Visit Booking, Adoption Approval, Payment/Donation, Follow-up, then Reporting and AI features.</w:t>
      </w:r>
    </w:p>
    <w:p>
      <w:pPr>
        <w:spacing w:after="120" w:line="264" w:lineRule="auto"/>
      </w:pPr>
      <w:r>
        <w:rPr>
          <w:rFonts w:ascii="Calibri" w:hAnsi="Calibri"/>
          <w:b w:val="0"/>
          <w:color w:val="0B2545"/>
          <w:sz w:val="21"/>
        </w:rPr>
        <w:t>5. Add a frontend or a documented API collection, seed data, role-specific test accounts, and automated tests before formal UAT.</w:t>
      </w:r>
    </w:p>
    <w:p>
      <w:pPr>
        <w:spacing w:after="120" w:line="264" w:lineRule="auto"/>
      </w:pPr>
      <w:r>
        <w:rPr>
          <w:rFonts w:ascii="Calibri" w:hAnsi="Calibri"/>
          <w:b w:val="0"/>
          <w:color w:val="0B2545"/>
          <w:sz w:val="21"/>
        </w:rPr>
        <w:t>6. Re-run this QA report after a runnable build is provided; then execute end-to-end role, validation, security, concurrency and cross-branch test cases.</w:t>
      </w:r>
    </w:p>
    <w:p>
      <w:r>
        <w:br w:type="page"/>
      </w:r>
    </w:p>
    <w:p>
      <w:pPr>
        <w:spacing w:before="320" w:after="160"/>
      </w:pPr>
      <w:r>
        <w:rPr>
          <w:rFonts w:ascii="Calibri" w:hAnsi="Calibri"/>
          <w:b/>
          <w:color w:val="2E74B5"/>
          <w:sz w:val="32"/>
        </w:rPr>
        <w:t>7. QA conclusion</w:t>
      </w:r>
    </w:p>
    <w:p>
      <w:pPr>
        <w:spacing w:after="120" w:line="264" w:lineRule="auto"/>
      </w:pPr>
      <w:r>
        <w:rPr>
          <w:rFonts w:ascii="Calibri" w:hAnsi="Calibri"/>
          <w:b w:val="0"/>
          <w:color w:val="0B2545"/>
          <w:sz w:val="21"/>
        </w:rPr>
        <w:t>The current build should be treated as a development foundation only. It is not ready for demonstration as the full PawTrack solution, functional UAT, security testing, integration testing or deployment. The immediate QA gate is to provide a runnable .NET 10 build connected to a safe test database, with the intended source branch identified. Once that is available, the next QA cycle can validate the implemented modules against the approved requirements and acceptance criteria.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66666"/>
        <w:sz w:val="17"/>
      </w:rPr>
      <w:t>18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666666"/>
        <w:sz w:val="17"/>
      </w:rPr>
      <w:t>PawTrack | Current Build QA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