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22"/>
        </w:rPr>
        <w:t>PAWTRACK</w:t>
      </w:r>
    </w:p>
    <w:p>
      <w:pPr>
        <w:spacing w:after="80"/>
      </w:pPr>
      <w:r>
        <w:rPr>
          <w:rFonts w:ascii="Calibri" w:hAnsi="Calibri"/>
          <w:b/>
          <w:color w:val="0B2545"/>
          <w:sz w:val="44"/>
        </w:rPr>
        <w:t>Individual Contribution &amp; Repository Status Report</w:t>
      </w:r>
    </w:p>
    <w:p>
      <w:pPr>
        <w:spacing w:after="320"/>
      </w:pPr>
      <w:r>
        <w:rPr>
          <w:rFonts w:ascii="Calibri" w:hAnsi="Calibri"/>
          <w:b w:val="0"/>
          <w:color w:val="555555"/>
          <w:sz w:val="22"/>
        </w:rPr>
        <w:t>Scope: dev branch, full commit history, source review and build verification as of 20 August 2026</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Assessment item</w:t>
            </w:r>
          </w:p>
        </w:tc>
        <w:tc>
          <w:tcPr>
            <w:tcW w:type="dxa" w:w="68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Result</w:t>
            </w:r>
          </w:p>
        </w:tc>
      </w:tr>
      <w:tr>
        <w:tc>
          <w:tcPr>
            <w:tcW w:type="dxa" w:w="2500"/>
          </w:tcPr>
          <w:p>
            <w:pPr>
              <w:spacing w:after="0" w:line="264" w:lineRule="auto"/>
            </w:pPr>
            <w:r/>
            <w:r>
              <w:rPr>
                <w:rFonts w:ascii="Calibri" w:hAnsi="Calibri"/>
                <w:b w:val="0"/>
                <w:color w:val="0B2545"/>
                <w:sz w:val="18"/>
              </w:rPr>
              <w:t>Repository reviewed</w:t>
            </w:r>
          </w:p>
        </w:tc>
        <w:tc>
          <w:tcPr>
            <w:tcW w:type="dxa" w:w="6860"/>
          </w:tcPr>
          <w:p>
            <w:pPr>
              <w:spacing w:after="0" w:line="264" w:lineRule="auto"/>
            </w:pPr>
            <w:r/>
            <w:r>
              <w:rPr>
                <w:rFonts w:ascii="Calibri" w:hAnsi="Calibri"/>
                <w:b w:val="0"/>
                <w:color w:val="0B2545"/>
                <w:sz w:val="18"/>
              </w:rPr>
              <w:t>Sankarsh369/Paw_Track</w:t>
            </w:r>
          </w:p>
        </w:tc>
      </w:tr>
      <w:tr>
        <w:tc>
          <w:tcPr>
            <w:tcW w:type="dxa" w:w="2500"/>
          </w:tcPr>
          <w:p>
            <w:pPr>
              <w:spacing w:after="0" w:line="264" w:lineRule="auto"/>
            </w:pPr>
            <w:r/>
            <w:r>
              <w:rPr>
                <w:rFonts w:ascii="Calibri" w:hAnsi="Calibri"/>
                <w:b w:val="0"/>
                <w:color w:val="0B2545"/>
                <w:sz w:val="18"/>
              </w:rPr>
              <w:t>Branch reviewed</w:t>
            </w:r>
          </w:p>
        </w:tc>
        <w:tc>
          <w:tcPr>
            <w:tcW w:type="dxa" w:w="6860"/>
          </w:tcPr>
          <w:p>
            <w:pPr>
              <w:spacing w:after="0" w:line="264" w:lineRule="auto"/>
            </w:pPr>
            <w:r/>
            <w:r>
              <w:rPr>
                <w:rFonts w:ascii="Calibri" w:hAnsi="Calibri"/>
                <w:b w:val="0"/>
                <w:color w:val="0B2545"/>
                <w:sz w:val="18"/>
              </w:rPr>
              <w:t>dev (all branches are now merged into it)</w:t>
            </w:r>
          </w:p>
        </w:tc>
      </w:tr>
      <w:tr>
        <w:tc>
          <w:tcPr>
            <w:tcW w:type="dxa" w:w="2500"/>
          </w:tcPr>
          <w:p>
            <w:pPr>
              <w:spacing w:after="0" w:line="264" w:lineRule="auto"/>
            </w:pPr>
            <w:r/>
            <w:r>
              <w:rPr>
                <w:rFonts w:ascii="Calibri" w:hAnsi="Calibri"/>
                <w:b w:val="0"/>
                <w:color w:val="0B2545"/>
                <w:sz w:val="18"/>
              </w:rPr>
              <w:t>Contributors identified</w:t>
            </w:r>
          </w:p>
        </w:tc>
        <w:tc>
          <w:tcPr>
            <w:tcW w:type="dxa" w:w="6860"/>
          </w:tcPr>
          <w:p>
            <w:pPr>
              <w:spacing w:after="0" w:line="264" w:lineRule="auto"/>
            </w:pPr>
            <w:r/>
            <w:r>
              <w:rPr>
                <w:rFonts w:ascii="Calibri" w:hAnsi="Calibri"/>
                <w:b w:val="0"/>
                <w:color w:val="0B2545"/>
                <w:sz w:val="18"/>
              </w:rPr>
              <w:t>Sankarsh (foundation + integrator), Akash Palsapure (Animal/Medical), Anshu (no app code)</w:t>
            </w:r>
          </w:p>
        </w:tc>
      </w:tr>
      <w:tr>
        <w:tc>
          <w:tcPr>
            <w:tcW w:type="dxa" w:w="2500"/>
          </w:tcPr>
          <w:p>
            <w:pPr>
              <w:spacing w:after="0" w:line="264" w:lineRule="auto"/>
            </w:pPr>
            <w:r/>
            <w:r>
              <w:rPr>
                <w:rFonts w:ascii="Calibri" w:hAnsi="Calibri"/>
                <w:b w:val="0"/>
                <w:color w:val="0B2545"/>
                <w:sz w:val="18"/>
              </w:rPr>
              <w:t>Test date</w:t>
            </w:r>
          </w:p>
        </w:tc>
        <w:tc>
          <w:tcPr>
            <w:tcW w:type="dxa" w:w="6860"/>
          </w:tcPr>
          <w:p>
            <w:pPr>
              <w:spacing w:after="0" w:line="264" w:lineRule="auto"/>
            </w:pPr>
            <w:r/>
            <w:r>
              <w:rPr>
                <w:rFonts w:ascii="Calibri" w:hAnsi="Calibri"/>
                <w:b w:val="0"/>
                <w:color w:val="0B2545"/>
                <w:sz w:val="18"/>
              </w:rPr>
              <w:t>20 August 2026</w:t>
            </w:r>
          </w:p>
        </w:tc>
      </w:tr>
      <w:tr>
        <w:tc>
          <w:tcPr>
            <w:tcW w:type="dxa" w:w="2500"/>
          </w:tcPr>
          <w:p>
            <w:pPr>
              <w:spacing w:after="0" w:line="264" w:lineRule="auto"/>
            </w:pPr>
            <w:r/>
            <w:r>
              <w:rPr>
                <w:rFonts w:ascii="Calibri" w:hAnsi="Calibri"/>
                <w:b w:val="0"/>
                <w:color w:val="0B2545"/>
                <w:sz w:val="18"/>
              </w:rPr>
              <w:t>Overall decision</w:t>
            </w:r>
          </w:p>
        </w:tc>
        <w:tc>
          <w:tcPr>
            <w:tcW w:type="dxa" w:w="6860"/>
          </w:tcPr>
          <w:p>
            <w:pPr>
              <w:spacing w:after="0" w:line="264" w:lineRule="auto"/>
            </w:pPr>
            <w:r/>
            <w:r>
              <w:rPr>
                <w:rFonts w:ascii="Calibri" w:hAnsi="Calibri"/>
                <w:b w:val="0"/>
                <w:color w:val="0B2545"/>
                <w:sz w:val="18"/>
              </w:rPr>
              <w:t>STILL NOT READY FOR FUNCTIONAL / UAT TESTING</w:t>
            </w:r>
          </w:p>
        </w:tc>
      </w:tr>
    </w:tbl>
    <w:p>
      <w:pPr>
        <w:spacing w:after="40"/>
      </w:pPr>
    </w:p>
    <w:p>
      <w:pPr>
        <w:spacing w:before="320" w:after="160"/>
      </w:pPr>
      <w:r>
        <w:rPr>
          <w:rFonts w:ascii="Calibri" w:hAnsi="Calibri"/>
          <w:b/>
          <w:color w:val="2E74B5"/>
          <w:sz w:val="32"/>
        </w:rPr>
        <w:t>1. Purpose and method</w:t>
      </w:r>
    </w:p>
    <w:p>
      <w:pPr>
        <w:spacing w:after="120" w:line="264" w:lineRule="auto"/>
      </w:pPr>
      <w:r>
        <w:rPr>
          <w:rFonts w:ascii="Calibri" w:hAnsi="Calibri"/>
          <w:b w:val="0"/>
          <w:color w:val="0B2545"/>
          <w:sz w:val="21"/>
        </w:rPr>
        <w:t>This report identifies what each contributor has committed to the dev branch, what is now working as a result, and what is still left to push before the repository is a runnable, testable application. It updates the 18 August 2026 Consolidated Branch QA Report: since then, the Animal/Medical branch was actually merged into dev and a follow-up fix commit was pushed.</w:t>
      </w:r>
    </w:p>
    <w:p>
      <w:pPr>
        <w:spacing w:after="120" w:line="264" w:lineRule="auto"/>
      </w:pPr>
      <w:r>
        <w:rPr>
          <w:rFonts w:ascii="Calibri" w:hAnsi="Calibri"/>
          <w:b w:val="0"/>
          <w:color w:val="0B2545"/>
          <w:sz w:val="21"/>
        </w:rPr>
        <w:t>Method: full commit history reviewed by author on dev (git log, git show), source files read directly, and a build re-attempted against the available .NET 7 SDK to confirm which blockers are still live.</w:t>
      </w:r>
    </w:p>
    <w:p>
      <w:pPr>
        <w:spacing w:before="320" w:after="160"/>
      </w:pPr>
      <w:r>
        <w:rPr>
          <w:rFonts w:ascii="Calibri" w:hAnsi="Calibri"/>
          <w:b/>
          <w:color w:val="2E74B5"/>
          <w:sz w:val="32"/>
        </w:rPr>
        <w:t>2. What changed since the 18 August report</w:t>
      </w:r>
    </w:p>
    <w:tbl>
      <w:tblPr>
        <w:tblStyle w:val="TableGrid"/>
        <w:tblW w:type="dxa" w:w="9360"/>
        <w:jc w:val="left"/>
        <w:tblLayout w:type="fixed"/>
        <w:tblLook w:firstColumn="1" w:firstRow="1" w:lastColumn="0" w:lastRow="0" w:noHBand="0" w:noVBand="1" w:val="04A0"/>
        <w:tblInd w:w="120" w:type="dxa"/>
      </w:tblPr>
      <w:tblGrid>
        <w:gridCol w:w="2300"/>
        <w:gridCol w:w="3300"/>
        <w:gridCol w:w="3760"/>
      </w:tblGrid>
      <w:tr>
        <w:tc>
          <w:tcPr>
            <w:tcW w:type="dxa" w:w="23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Item</w:t>
            </w:r>
          </w:p>
        </w:tc>
        <w:tc>
          <w:tcPr>
            <w:tcW w:type="dxa" w:w="33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18 Aug report said</w:t>
            </w:r>
          </w:p>
        </w:tc>
        <w:tc>
          <w:tcPr>
            <w:tcW w:type="dxa" w:w="37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Now</w:t>
            </w:r>
          </w:p>
        </w:tc>
      </w:tr>
      <w:tr>
        <w:tc>
          <w:tcPr>
            <w:tcW w:type="dxa" w:w="2300"/>
          </w:tcPr>
          <w:p>
            <w:pPr>
              <w:spacing w:after="0" w:line="264" w:lineRule="auto"/>
            </w:pPr>
            <w:r/>
            <w:r>
              <w:rPr>
                <w:rFonts w:ascii="Calibri" w:hAnsi="Calibri"/>
                <w:b w:val="0"/>
                <w:color w:val="0B2545"/>
                <w:sz w:val="18"/>
              </w:rPr>
              <w:t>Akash's Animal/Medical code</w:t>
            </w:r>
          </w:p>
        </w:tc>
        <w:tc>
          <w:tcPr>
            <w:tcW w:type="dxa" w:w="3300"/>
          </w:tcPr>
          <w:p>
            <w:pPr>
              <w:spacing w:after="0" w:line="264" w:lineRule="auto"/>
            </w:pPr>
            <w:r/>
            <w:r>
              <w:rPr>
                <w:rFonts w:ascii="Calibri" w:hAnsi="Calibri"/>
                <w:b w:val="0"/>
                <w:color w:val="0B2545"/>
                <w:sz w:val="18"/>
              </w:rPr>
              <w:t>Not merged into dev; not standalone</w:t>
            </w:r>
          </w:p>
        </w:tc>
        <w:tc>
          <w:tcPr>
            <w:tcW w:type="dxa" w:w="3760"/>
          </w:tcPr>
          <w:p>
            <w:pPr>
              <w:spacing w:after="0" w:line="264" w:lineRule="auto"/>
            </w:pPr>
            <w:r/>
            <w:r>
              <w:rPr>
                <w:rFonts w:ascii="Calibri" w:hAnsi="Calibri"/>
                <w:b w:val="0"/>
                <w:color w:val="0B2545"/>
                <w:sz w:val="18"/>
              </w:rPr>
              <w:t>Merged into dev on 20 Aug (PR #2) and wired up: DbContext, DI, controllers, migration all present</w:t>
            </w:r>
          </w:p>
        </w:tc>
      </w:tr>
      <w:tr>
        <w:tc>
          <w:tcPr>
            <w:tcW w:type="dxa" w:w="2300"/>
          </w:tcPr>
          <w:p>
            <w:pPr>
              <w:spacing w:after="0" w:line="264" w:lineRule="auto"/>
            </w:pPr>
            <w:r/>
            <w:r>
              <w:rPr>
                <w:rFonts w:ascii="Calibri" w:hAnsi="Calibri"/>
                <w:b w:val="0"/>
                <w:color w:val="0B2545"/>
                <w:sz w:val="18"/>
              </w:rPr>
              <w:t>Animal.BranchId</w:t>
            </w:r>
          </w:p>
        </w:tc>
        <w:tc>
          <w:tcPr>
            <w:tcW w:type="dxa" w:w="3300"/>
          </w:tcPr>
          <w:p>
            <w:pPr>
              <w:spacing w:after="0" w:line="264" w:lineRule="auto"/>
            </w:pPr>
            <w:r/>
            <w:r>
              <w:rPr>
                <w:rFonts w:ascii="Calibri" w:hAnsi="Calibri"/>
                <w:b w:val="0"/>
                <w:color w:val="0B2545"/>
                <w:sz w:val="18"/>
              </w:rPr>
              <w:t>Missing despite multi-branch requirement</w:t>
            </w:r>
          </w:p>
        </w:tc>
        <w:tc>
          <w:tcPr>
            <w:tcW w:type="dxa" w:w="3760"/>
          </w:tcPr>
          <w:p>
            <w:pPr>
              <w:spacing w:after="0" w:line="264" w:lineRule="auto"/>
            </w:pPr>
            <w:r/>
            <w:r>
              <w:rPr>
                <w:rFonts w:ascii="Calibri" w:hAnsi="Calibri"/>
                <w:b w:val="0"/>
                <w:color w:val="0B2545"/>
                <w:sz w:val="18"/>
              </w:rPr>
              <w:t>Present, required, with FK to Branch - fixed in commit 4b8697d</w:t>
            </w:r>
          </w:p>
        </w:tc>
      </w:tr>
      <w:tr>
        <w:tc>
          <w:tcPr>
            <w:tcW w:type="dxa" w:w="2300"/>
          </w:tcPr>
          <w:p>
            <w:pPr>
              <w:spacing w:after="0" w:line="264" w:lineRule="auto"/>
            </w:pPr>
            <w:r/>
            <w:r>
              <w:rPr>
                <w:rFonts w:ascii="Calibri" w:hAnsi="Calibri"/>
                <w:b w:val="0"/>
                <w:color w:val="0B2545"/>
                <w:sz w:val="18"/>
              </w:rPr>
              <w:t>Animal/Medical controllers</w:t>
            </w:r>
          </w:p>
        </w:tc>
        <w:tc>
          <w:tcPr>
            <w:tcW w:type="dxa" w:w="3300"/>
          </w:tcPr>
          <w:p>
            <w:pPr>
              <w:spacing w:after="0" w:line="264" w:lineRule="auto"/>
            </w:pPr>
            <w:r/>
            <w:r>
              <w:rPr>
                <w:rFonts w:ascii="Calibri" w:hAnsi="Calibri"/>
                <w:b w:val="0"/>
                <w:color w:val="0B2545"/>
                <w:sz w:val="18"/>
              </w:rPr>
              <w:t>N/A, not merged</w:t>
            </w:r>
          </w:p>
        </w:tc>
        <w:tc>
          <w:tcPr>
            <w:tcW w:type="dxa" w:w="3760"/>
          </w:tcPr>
          <w:p>
            <w:pPr>
              <w:spacing w:after="0" w:line="264" w:lineRule="auto"/>
            </w:pPr>
            <w:r/>
            <w:r>
              <w:rPr>
                <w:rFonts w:ascii="Calibri" w:hAnsi="Calibri"/>
                <w:b w:val="0"/>
                <w:color w:val="0B2545"/>
                <w:sz w:val="18"/>
              </w:rPr>
              <w:t>Now have [Authorize] with role restrictions on write actions</w:t>
            </w:r>
          </w:p>
        </w:tc>
      </w:tr>
      <w:tr>
        <w:tc>
          <w:tcPr>
            <w:tcW w:type="dxa" w:w="2300"/>
          </w:tcPr>
          <w:p>
            <w:pPr>
              <w:spacing w:after="0" w:line="264" w:lineRule="auto"/>
            </w:pPr>
            <w:r/>
            <w:r>
              <w:rPr>
                <w:rFonts w:ascii="Calibri" w:hAnsi="Calibri"/>
                <w:b w:val="0"/>
                <w:color w:val="0B2545"/>
                <w:sz w:val="18"/>
              </w:rPr>
              <w:t>Design docs in repo</w:t>
            </w:r>
          </w:p>
        </w:tc>
        <w:tc>
          <w:tcPr>
            <w:tcW w:type="dxa" w:w="3300"/>
          </w:tcPr>
          <w:p>
            <w:pPr>
              <w:spacing w:after="0" w:line="264" w:lineRule="auto"/>
            </w:pPr>
            <w:r/>
            <w:r>
              <w:rPr>
                <w:rFonts w:ascii="Calibri" w:hAnsi="Calibri"/>
                <w:b w:val="0"/>
                <w:color w:val="0B2545"/>
                <w:sz w:val="18"/>
              </w:rPr>
              <w:t>Present</w:t>
            </w:r>
          </w:p>
        </w:tc>
        <w:tc>
          <w:tcPr>
            <w:tcW w:type="dxa" w:w="3760"/>
          </w:tcPr>
          <w:p>
            <w:pPr>
              <w:spacing w:after="0" w:line="264" w:lineRule="auto"/>
            </w:pPr>
            <w:r/>
            <w:r>
              <w:rPr>
                <w:rFonts w:ascii="Calibri" w:hAnsi="Calibri"/>
                <w:b w:val="0"/>
                <w:color w:val="0B2545"/>
                <w:sz w:val="18"/>
              </w:rPr>
              <w:t>Removed from the repo in the same fix commit</w:t>
            </w:r>
          </w:p>
        </w:tc>
      </w:tr>
    </w:tbl>
    <w:p>
      <w:pPr>
        <w:spacing w:after="40"/>
      </w:pPr>
    </w:p>
    <w:p>
      <w:r>
        <w:br w:type="page"/>
      </w:r>
    </w:p>
    <w:p>
      <w:pPr>
        <w:spacing w:before="320" w:after="160"/>
      </w:pPr>
      <w:r>
        <w:rPr>
          <w:rFonts w:ascii="Calibri" w:hAnsi="Calibri"/>
          <w:b/>
          <w:color w:val="2E74B5"/>
          <w:sz w:val="32"/>
        </w:rPr>
        <w:t>3. Sankarsh (Sankarsh369 / S Sankarsha - same account)</w:t>
      </w:r>
    </w:p>
    <w:p>
      <w:pPr>
        <w:spacing w:after="120" w:line="264" w:lineRule="auto"/>
      </w:pPr>
      <w:r>
        <w:rPr>
          <w:rFonts w:ascii="Calibri" w:hAnsi="Calibri"/>
          <w:b/>
          <w:color w:val="0B2545"/>
          <w:sz w:val="21"/>
        </w:rPr>
        <w:t>Branch: dev, plus his own Sankarsha_IN26011645 (merged, identical to dev). Role observed: foundation owner and integrator.</w:t>
      </w:r>
    </w:p>
    <w:tbl>
      <w:tblPr>
        <w:tblStyle w:val="TableGrid"/>
        <w:tblW w:type="dxa" w:w="8600"/>
        <w:jc w:val="left"/>
        <w:tblLayout w:type="fixed"/>
        <w:tblLook w:firstColumn="1" w:firstRow="1" w:lastColumn="0" w:lastRow="0" w:noHBand="0" w:noVBand="1" w:val="04A0"/>
        <w:tblInd w:w="120" w:type="dxa"/>
      </w:tblPr>
      <w:tblGrid>
        <w:gridCol w:w="1300"/>
        <w:gridCol w:w="1900"/>
        <w:gridCol w:w="5400"/>
      </w:tblGrid>
      <w:tr>
        <w:tc>
          <w:tcPr>
            <w:tcW w:type="dxa" w:w="13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Date</w:t>
            </w:r>
          </w:p>
        </w:tc>
        <w:tc>
          <w:tcPr>
            <w:tcW w:type="dxa" w:w="19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Commit</w:t>
            </w:r>
          </w:p>
        </w:tc>
        <w:tc>
          <w:tcPr>
            <w:tcW w:type="dxa" w:w="54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What it did</w:t>
            </w:r>
          </w:p>
        </w:tc>
      </w:tr>
      <w:tr>
        <w:tc>
          <w:tcPr>
            <w:tcW w:type="dxa" w:w="1300"/>
          </w:tcPr>
          <w:p>
            <w:pPr>
              <w:spacing w:after="0" w:line="264" w:lineRule="auto"/>
            </w:pPr>
            <w:r/>
            <w:r>
              <w:rPr>
                <w:rFonts w:ascii="Calibri" w:hAnsi="Calibri"/>
                <w:b w:val="0"/>
                <w:color w:val="0B2545"/>
                <w:sz w:val="18"/>
              </w:rPr>
              <w:t>15 Aug</w:t>
            </w:r>
          </w:p>
        </w:tc>
        <w:tc>
          <w:tcPr>
            <w:tcW w:type="dxa" w:w="1900"/>
          </w:tcPr>
          <w:p>
            <w:pPr>
              <w:spacing w:after="0" w:line="264" w:lineRule="auto"/>
            </w:pPr>
            <w:r/>
            <w:r>
              <w:rPr>
                <w:rFonts w:ascii="Calibri" w:hAnsi="Calibri"/>
                <w:b w:val="0"/>
                <w:color w:val="0B2545"/>
                <w:sz w:val="18"/>
              </w:rPr>
              <w:t>27e9729</w:t>
            </w:r>
          </w:p>
        </w:tc>
        <w:tc>
          <w:tcPr>
            <w:tcW w:type="dxa" w:w="5400"/>
          </w:tcPr>
          <w:p>
            <w:pPr>
              <w:spacing w:after="0" w:line="264" w:lineRule="auto"/>
            </w:pPr>
            <w:r/>
            <w:r>
              <w:rPr>
                <w:rFonts w:ascii="Calibri" w:hAnsi="Calibri"/>
                <w:b w:val="0"/>
                <w:color w:val="0B2545"/>
                <w:sz w:val="18"/>
              </w:rPr>
              <w:t>[branch-auth] Added Branch and User entities, EF Core DbContext, initial migration, and Auth endpoints (register/login) with BCrypt hashing and JWT issuance.</w:t>
            </w:r>
          </w:p>
        </w:tc>
      </w:tr>
      <w:tr>
        <w:tc>
          <w:tcPr>
            <w:tcW w:type="dxa" w:w="1300"/>
          </w:tcPr>
          <w:p>
            <w:pPr>
              <w:spacing w:after="0" w:line="264" w:lineRule="auto"/>
            </w:pPr>
            <w:r/>
            <w:r>
              <w:rPr>
                <w:rFonts w:ascii="Calibri" w:hAnsi="Calibri"/>
                <w:b w:val="0"/>
                <w:color w:val="0B2545"/>
                <w:sz w:val="18"/>
              </w:rPr>
              <w:t>18 Aug</w:t>
            </w:r>
          </w:p>
        </w:tc>
        <w:tc>
          <w:tcPr>
            <w:tcW w:type="dxa" w:w="1900"/>
          </w:tcPr>
          <w:p>
            <w:pPr>
              <w:spacing w:after="0" w:line="264" w:lineRule="auto"/>
            </w:pPr>
            <w:r/>
            <w:r>
              <w:rPr>
                <w:rFonts w:ascii="Calibri" w:hAnsi="Calibri"/>
                <w:b w:val="0"/>
                <w:color w:val="0B2545"/>
                <w:sz w:val="18"/>
              </w:rPr>
              <w:t>ef85ee7</w:t>
            </w:r>
          </w:p>
        </w:tc>
        <w:tc>
          <w:tcPr>
            <w:tcW w:type="dxa" w:w="5400"/>
          </w:tcPr>
          <w:p>
            <w:pPr>
              <w:spacing w:after="0" w:line="264" w:lineRule="auto"/>
            </w:pPr>
            <w:r/>
            <w:r>
              <w:rPr>
                <w:rFonts w:ascii="Calibri" w:hAnsi="Calibri"/>
                <w:b w:val="0"/>
                <w:color w:val="0B2545"/>
                <w:sz w:val="18"/>
              </w:rPr>
              <w:t>Merged own Sankarsha_IN26011645 branch into dev (PR #1) - consolidation only, no new functional code.</w:t>
            </w:r>
          </w:p>
        </w:tc>
      </w:tr>
      <w:tr>
        <w:tc>
          <w:tcPr>
            <w:tcW w:type="dxa" w:w="1300"/>
          </w:tcPr>
          <w:p>
            <w:pPr>
              <w:spacing w:after="0" w:line="264" w:lineRule="auto"/>
            </w:pPr>
            <w:r/>
            <w:r>
              <w:rPr>
                <w:rFonts w:ascii="Calibri" w:hAnsi="Calibri"/>
                <w:b w:val="0"/>
                <w:color w:val="0B2545"/>
                <w:sz w:val="18"/>
              </w:rPr>
              <w:t>20 Aug</w:t>
            </w:r>
          </w:p>
        </w:tc>
        <w:tc>
          <w:tcPr>
            <w:tcW w:type="dxa" w:w="1900"/>
          </w:tcPr>
          <w:p>
            <w:pPr>
              <w:spacing w:after="0" w:line="264" w:lineRule="auto"/>
            </w:pPr>
            <w:r/>
            <w:r>
              <w:rPr>
                <w:rFonts w:ascii="Calibri" w:hAnsi="Calibri"/>
                <w:b w:val="0"/>
                <w:color w:val="0B2545"/>
                <w:sz w:val="18"/>
              </w:rPr>
              <w:t>b5e9351 / d8ee282</w:t>
            </w:r>
          </w:p>
        </w:tc>
        <w:tc>
          <w:tcPr>
            <w:tcW w:type="dxa" w:w="5400"/>
          </w:tcPr>
          <w:p>
            <w:pPr>
              <w:spacing w:after="0" w:line="264" w:lineRule="auto"/>
            </w:pPr>
            <w:r/>
            <w:r>
              <w:rPr>
                <w:rFonts w:ascii="Calibri" w:hAnsi="Calibri"/>
                <w:b w:val="0"/>
                <w:color w:val="0B2545"/>
                <w:sz w:val="18"/>
              </w:rPr>
              <w:t>Merged Akash's Animal/Medical branch into dev (PR #2).</w:t>
            </w:r>
          </w:p>
        </w:tc>
      </w:tr>
      <w:tr>
        <w:tc>
          <w:tcPr>
            <w:tcW w:type="dxa" w:w="1300"/>
          </w:tcPr>
          <w:p>
            <w:pPr>
              <w:spacing w:after="0" w:line="264" w:lineRule="auto"/>
            </w:pPr>
            <w:r/>
            <w:r>
              <w:rPr>
                <w:rFonts w:ascii="Calibri" w:hAnsi="Calibri"/>
                <w:b w:val="0"/>
                <w:color w:val="0B2545"/>
                <w:sz w:val="18"/>
              </w:rPr>
              <w:t>20 Aug</w:t>
            </w:r>
          </w:p>
        </w:tc>
        <w:tc>
          <w:tcPr>
            <w:tcW w:type="dxa" w:w="1900"/>
          </w:tcPr>
          <w:p>
            <w:pPr>
              <w:spacing w:after="0" w:line="264" w:lineRule="auto"/>
            </w:pPr>
            <w:r/>
            <w:r>
              <w:rPr>
                <w:rFonts w:ascii="Calibri" w:hAnsi="Calibri"/>
                <w:b w:val="0"/>
                <w:color w:val="0B2545"/>
                <w:sz w:val="18"/>
              </w:rPr>
              <w:t>4b8697d</w:t>
            </w:r>
          </w:p>
        </w:tc>
        <w:tc>
          <w:tcPr>
            <w:tcW w:type="dxa" w:w="5400"/>
          </w:tcPr>
          <w:p>
            <w:pPr>
              <w:spacing w:after="0" w:line="264" w:lineRule="auto"/>
            </w:pPr>
            <w:r/>
            <w:r>
              <w:rPr>
                <w:rFonts w:ascii="Calibri" w:hAnsi="Calibri"/>
                <w:b w:val="0"/>
                <w:color w:val="0B2545"/>
                <w:sz w:val="18"/>
              </w:rPr>
              <w:t>Fix commit: corrected Animal.BranchId, fixed folder casing (models to Models, DTO to DTOs), fixed DTO namespaces, registered IAnimalService/IMedicalService in DI, added the AddAnimalMedical migration. Message says "tested working."</w:t>
            </w:r>
          </w:p>
        </w:tc>
      </w:tr>
    </w:tbl>
    <w:p>
      <w:pPr>
        <w:spacing w:after="40"/>
      </w:pPr>
    </w:p>
    <w:p>
      <w:pPr>
        <w:spacing w:after="120" w:line="264" w:lineRule="auto"/>
      </w:pPr>
      <w:r>
        <w:rPr>
          <w:rFonts w:ascii="Calibri" w:hAnsi="Calibri"/>
          <w:b/>
          <w:color w:val="0B2545"/>
          <w:sz w:val="21"/>
        </w:rPr>
        <w:t>Left out / still owed by Sankarsh:</w:t>
      </w:r>
    </w:p>
    <w:p>
      <w:pPr>
        <w:pStyle w:val="ListBullet"/>
        <w:spacing w:after="80" w:line="264" w:lineRule="auto"/>
      </w:pPr>
      <w:r>
        <w:rPr>
          <w:rFonts w:ascii="Calibri" w:hAnsi="Calibri"/>
          <w:b w:val="0"/>
          <w:color w:val="0B2545"/>
          <w:sz w:val="20"/>
        </w:rPr>
        <w:t>BranchController has no [Authorize] at all - branch list/create is open to any caller, authenticated or not.</w:t>
      </w:r>
    </w:p>
    <w:p>
      <w:pPr>
        <w:pStyle w:val="ListBullet"/>
        <w:spacing w:after="80" w:line="264" w:lineRule="auto"/>
      </w:pPr>
      <w:r>
        <w:rPr>
          <w:rFonts w:ascii="Calibri" w:hAnsi="Calibri"/>
          <w:b w:val="0"/>
          <w:color w:val="0B2545"/>
          <w:sz w:val="20"/>
        </w:rPr>
        <w:t>No branch-scope filtering anywhere: a logged-in BranchAdmin or RescueStaff can list every animal/medical record across every branch via GET, not just their own branch's.</w:t>
      </w:r>
    </w:p>
    <w:p>
      <w:pPr>
        <w:pStyle w:val="ListBullet"/>
        <w:spacing w:after="80" w:line="264" w:lineRule="auto"/>
      </w:pPr>
      <w:r>
        <w:rPr>
          <w:rFonts w:ascii="Calibri" w:hAnsi="Calibri"/>
          <w:b w:val="0"/>
          <w:color w:val="0B2545"/>
          <w:sz w:val="20"/>
        </w:rPr>
        <w:t>JWT signing key is still a literal placeholder string in appsettings.json, committed to the repo, instead of coming from user-secrets/environment/Key Vault.</w:t>
      </w:r>
    </w:p>
    <w:p>
      <w:pPr>
        <w:pStyle w:val="ListBullet"/>
        <w:spacing w:after="80" w:line="264" w:lineRule="auto"/>
      </w:pPr>
      <w:r>
        <w:rPr>
          <w:rFonts w:ascii="Calibri" w:hAnsi="Calibri"/>
          <w:b w:val="0"/>
          <w:color w:val="0B2545"/>
          <w:sz w:val="20"/>
        </w:rPr>
        <w:t>Project still targets net10.0; no .NET 10 SDK, container, or documented install step has been provided for testers.</w:t>
      </w:r>
    </w:p>
    <w:p>
      <w:pPr>
        <w:pStyle w:val="ListBullet"/>
        <w:spacing w:after="80" w:line="264" w:lineRule="auto"/>
      </w:pPr>
      <w:r>
        <w:rPr>
          <w:rFonts w:ascii="Calibri" w:hAnsi="Calibri"/>
          <w:b w:val="0"/>
          <w:color w:val="0B2545"/>
          <w:sz w:val="20"/>
        </w:rPr>
        <w:t>Connection string is still Windows LocalDB only - no SQL Server container or cross-platform config supplied.</w:t>
      </w:r>
    </w:p>
    <w:p>
      <w:pPr>
        <w:pStyle w:val="ListBullet"/>
        <w:spacing w:after="80" w:line="264" w:lineRule="auto"/>
      </w:pPr>
      <w:r>
        <w:rPr>
          <w:rFonts w:ascii="Calibri" w:hAnsi="Calibri"/>
          <w:b w:val="0"/>
          <w:color w:val="0B2545"/>
          <w:sz w:val="20"/>
        </w:rPr>
        <w:t>Repository still has no .gitignore: .vs/, bin/, and obj/ (including compiled DLLs) are committed and were pushed again in the fix commit.</w:t>
      </w:r>
    </w:p>
    <w:p>
      <w:pPr>
        <w:pStyle w:val="ListBullet"/>
        <w:spacing w:after="80" w:line="264" w:lineRule="auto"/>
      </w:pPr>
      <w:r>
        <w:rPr>
          <w:rFonts w:ascii="Calibri" w:hAnsi="Calibri"/>
          <w:b w:val="0"/>
          <w:color w:val="0B2545"/>
          <w:sz w:val="20"/>
        </w:rPr>
        <w:t>Duplicate, orphaned copies of Controllers/, DTO/Medical/, and Services/ now sit at the repository root, outside PawTrack.Api/ - leftover merge debris that should be deleted.</w:t>
      </w:r>
    </w:p>
    <w:p>
      <w:r>
        <w:br w:type="page"/>
      </w:r>
    </w:p>
    <w:p>
      <w:pPr>
        <w:spacing w:before="320" w:after="160"/>
      </w:pPr>
      <w:r>
        <w:rPr>
          <w:rFonts w:ascii="Calibri" w:hAnsi="Calibri"/>
          <w:b/>
          <w:color w:val="2E74B5"/>
          <w:sz w:val="32"/>
        </w:rPr>
        <w:t>4. Akash Palsapure (branch: Akash-IN26011098)</w:t>
      </w:r>
    </w:p>
    <w:p>
      <w:pPr>
        <w:spacing w:after="120" w:line="264" w:lineRule="auto"/>
      </w:pPr>
      <w:r>
        <w:rPr>
          <w:rFonts w:ascii="Calibri" w:hAnsi="Calibri"/>
          <w:b/>
          <w:color w:val="0B2545"/>
          <w:sz w:val="21"/>
        </w:rPr>
        <w:t>Role observed: built the Animal and Medical module end-to-end on his own branch in 28 small incremental commits on 16 Aug, later merged in by Sankarsh.</w:t>
      </w:r>
    </w:p>
    <w:tbl>
      <w:tblPr>
        <w:tblStyle w:val="TableGrid"/>
        <w:tblW w:type="dxa" w:w="8560"/>
        <w:jc w:val="left"/>
        <w:tblLayout w:type="fixed"/>
        <w:tblLook w:firstColumn="1" w:firstRow="1" w:lastColumn="0" w:lastRow="0" w:noHBand="0" w:noVBand="1" w:val="04A0"/>
        <w:tblInd w:w="120" w:type="dxa"/>
      </w:tblPr>
      <w:tblGrid>
        <w:gridCol w:w="1900"/>
        <w:gridCol w:w="6660"/>
      </w:tblGrid>
      <w:tr>
        <w:tc>
          <w:tcPr>
            <w:tcW w:type="dxa" w:w="19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Layer</w:t>
            </w:r>
          </w:p>
        </w:tc>
        <w:tc>
          <w:tcPr>
            <w:tcW w:type="dxa" w:w="66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What Akash built</w:t>
            </w:r>
          </w:p>
        </w:tc>
      </w:tr>
      <w:tr>
        <w:tc>
          <w:tcPr>
            <w:tcW w:type="dxa" w:w="1900"/>
          </w:tcPr>
          <w:p>
            <w:pPr>
              <w:spacing w:after="0" w:line="264" w:lineRule="auto"/>
            </w:pPr>
            <w:r/>
            <w:r>
              <w:rPr>
                <w:rFonts w:ascii="Calibri" w:hAnsi="Calibri"/>
                <w:b w:val="0"/>
                <w:color w:val="0B2545"/>
                <w:sz w:val="18"/>
              </w:rPr>
              <w:t>Models</w:t>
            </w:r>
          </w:p>
        </w:tc>
        <w:tc>
          <w:tcPr>
            <w:tcW w:type="dxa" w:w="6660"/>
          </w:tcPr>
          <w:p>
            <w:pPr>
              <w:spacing w:after="0" w:line="264" w:lineRule="auto"/>
            </w:pPr>
            <w:r/>
            <w:r>
              <w:rPr>
                <w:rFonts w:ascii="Calibri" w:hAnsi="Calibri"/>
                <w:b w:val="0"/>
                <w:color w:val="0B2545"/>
                <w:sz w:val="18"/>
              </w:rPr>
              <w:t>Animal, Category, MedicalRecord entities with enums (AnimalStatus, Gender).</w:t>
            </w:r>
          </w:p>
        </w:tc>
      </w:tr>
      <w:tr>
        <w:tc>
          <w:tcPr>
            <w:tcW w:type="dxa" w:w="1900"/>
          </w:tcPr>
          <w:p>
            <w:pPr>
              <w:spacing w:after="0" w:line="264" w:lineRule="auto"/>
            </w:pPr>
            <w:r/>
            <w:r>
              <w:rPr>
                <w:rFonts w:ascii="Calibri" w:hAnsi="Calibri"/>
                <w:b w:val="0"/>
                <w:color w:val="0B2545"/>
                <w:sz w:val="18"/>
              </w:rPr>
              <w:t>DTOs</w:t>
            </w:r>
          </w:p>
        </w:tc>
        <w:tc>
          <w:tcPr>
            <w:tcW w:type="dxa" w:w="6660"/>
          </w:tcPr>
          <w:p>
            <w:pPr>
              <w:spacing w:after="0" w:line="264" w:lineRule="auto"/>
            </w:pPr>
            <w:r/>
            <w:r>
              <w:rPr>
                <w:rFonts w:ascii="Calibri" w:hAnsi="Calibri"/>
                <w:b w:val="0"/>
                <w:color w:val="0B2545"/>
                <w:sz w:val="18"/>
              </w:rPr>
              <w:t>AnimalDto, CreateAnimalDto, UpdateAnimalDto, MedicalRecordDto, CreateMedicalRecordDto.</w:t>
            </w:r>
          </w:p>
        </w:tc>
      </w:tr>
      <w:tr>
        <w:tc>
          <w:tcPr>
            <w:tcW w:type="dxa" w:w="1900"/>
          </w:tcPr>
          <w:p>
            <w:pPr>
              <w:spacing w:after="0" w:line="264" w:lineRule="auto"/>
            </w:pPr>
            <w:r/>
            <w:r>
              <w:rPr>
                <w:rFonts w:ascii="Calibri" w:hAnsi="Calibri"/>
                <w:b w:val="0"/>
                <w:color w:val="0B2545"/>
                <w:sz w:val="18"/>
              </w:rPr>
              <w:t>Services</w:t>
            </w:r>
          </w:p>
        </w:tc>
        <w:tc>
          <w:tcPr>
            <w:tcW w:type="dxa" w:w="6660"/>
          </w:tcPr>
          <w:p>
            <w:pPr>
              <w:spacing w:after="0" w:line="264" w:lineRule="auto"/>
            </w:pPr>
            <w:r/>
            <w:r>
              <w:rPr>
                <w:rFonts w:ascii="Calibri" w:hAnsi="Calibri"/>
                <w:b w:val="0"/>
                <w:color w:val="0B2545"/>
                <w:sz w:val="18"/>
              </w:rPr>
              <w:t>IAnimalService/AnimalService and IMedicalService/MedicalService with full CRUD logic.</w:t>
            </w:r>
          </w:p>
        </w:tc>
      </w:tr>
      <w:tr>
        <w:tc>
          <w:tcPr>
            <w:tcW w:type="dxa" w:w="1900"/>
          </w:tcPr>
          <w:p>
            <w:pPr>
              <w:spacing w:after="0" w:line="264" w:lineRule="auto"/>
            </w:pPr>
            <w:r/>
            <w:r>
              <w:rPr>
                <w:rFonts w:ascii="Calibri" w:hAnsi="Calibri"/>
                <w:b w:val="0"/>
                <w:color w:val="0B2545"/>
                <w:sz w:val="18"/>
              </w:rPr>
              <w:t>Controllers</w:t>
            </w:r>
          </w:p>
        </w:tc>
        <w:tc>
          <w:tcPr>
            <w:tcW w:type="dxa" w:w="6660"/>
          </w:tcPr>
          <w:p>
            <w:pPr>
              <w:spacing w:after="0" w:line="264" w:lineRule="auto"/>
            </w:pPr>
            <w:r/>
            <w:r>
              <w:rPr>
                <w:rFonts w:ascii="Calibri" w:hAnsi="Calibri"/>
                <w:b w:val="0"/>
                <w:color w:val="0B2545"/>
                <w:sz w:val="18"/>
              </w:rPr>
              <w:t>AnimalController (GET/GET-by-id/POST/PUT/DELETE) and MedicalController (GET/GET-by-animal/POST/DELETE), both with role-based [Authorize] on write actions.</w:t>
            </w:r>
          </w:p>
        </w:tc>
      </w:tr>
    </w:tbl>
    <w:p>
      <w:pPr>
        <w:spacing w:after="40"/>
      </w:pPr>
    </w:p>
    <w:p>
      <w:pPr>
        <w:spacing w:after="120" w:line="264" w:lineRule="auto"/>
      </w:pPr>
      <w:r>
        <w:rPr>
          <w:rFonts w:ascii="Calibri" w:hAnsi="Calibri"/>
          <w:b/>
          <w:color w:val="0B2545"/>
          <w:sz w:val="21"/>
        </w:rPr>
        <w:t>Left out / still owed by Akash:</w:t>
      </w:r>
    </w:p>
    <w:p>
      <w:pPr>
        <w:pStyle w:val="ListBullet"/>
        <w:spacing w:after="80" w:line="264" w:lineRule="auto"/>
      </w:pPr>
      <w:r>
        <w:rPr>
          <w:rFonts w:ascii="Calibri" w:hAnsi="Calibri"/>
          <w:b w:val="0"/>
          <w:color w:val="0B2545"/>
          <w:sz w:val="20"/>
        </w:rPr>
        <w:t>Create/Update still call Enum.Parse(dto.Gender) and Enum.Parse(dto.Status) directly on raw strings - an invalid value throws an unhandled 500 instead of returning a 400. Flagged in the last report; unchanged.</w:t>
      </w:r>
    </w:p>
    <w:p>
      <w:pPr>
        <w:pStyle w:val="ListBullet"/>
        <w:spacing w:after="80" w:line="264" w:lineRule="auto"/>
      </w:pPr>
      <w:r>
        <w:rPr>
          <w:rFonts w:ascii="Calibri" w:hAnsi="Calibri"/>
          <w:b w:val="0"/>
          <w:color w:val="0B2545"/>
          <w:sz w:val="20"/>
        </w:rPr>
        <w:t>GetAll/GetById on both services return data with no branch scoping or pagination - fine for a demo, not for multi-branch access control.</w:t>
      </w:r>
    </w:p>
    <w:p>
      <w:pPr>
        <w:pStyle w:val="ListBullet"/>
        <w:spacing w:after="80" w:line="264" w:lineRule="auto"/>
      </w:pPr>
      <w:r>
        <w:rPr>
          <w:rFonts w:ascii="Calibri" w:hAnsi="Calibri"/>
          <w:b w:val="0"/>
          <w:color w:val="0B2545"/>
          <w:sz w:val="20"/>
        </w:rPr>
        <w:t>Behaviour assessment module (BehaviorRecord) - not started.</w:t>
      </w:r>
    </w:p>
    <w:p>
      <w:pPr>
        <w:pStyle w:val="ListBullet"/>
        <w:spacing w:after="80" w:line="264" w:lineRule="auto"/>
      </w:pPr>
      <w:r>
        <w:rPr>
          <w:rFonts w:ascii="Calibri" w:hAnsi="Calibri"/>
          <w:b w:val="0"/>
          <w:color w:val="0B2545"/>
          <w:sz w:val="20"/>
        </w:rPr>
        <w:t>No unit tests were added for AnimalService/MedicalService validation logic.</w:t>
      </w:r>
    </w:p>
    <w:p>
      <w:pPr>
        <w:pStyle w:val="ListBullet"/>
        <w:spacing w:after="80" w:line="264" w:lineRule="auto"/>
      </w:pPr>
      <w:r>
        <w:rPr>
          <w:rFonts w:ascii="Calibri" w:hAnsi="Calibri"/>
          <w:b w:val="0"/>
          <w:color w:val="0B2545"/>
          <w:sz w:val="20"/>
        </w:rPr>
        <w:t>Commit history is 28 very granular WIP commits including several placeholder "Create temp" / "Delete temp" commits - harmless functionally, but worth squashing before this is presented as finished work.</w:t>
      </w:r>
    </w:p>
    <w:p>
      <w:pPr>
        <w:spacing w:before="320" w:after="160"/>
      </w:pPr>
      <w:r>
        <w:rPr>
          <w:rFonts w:ascii="Calibri" w:hAnsi="Calibri"/>
          <w:b/>
          <w:color w:val="2E74B5"/>
          <w:sz w:val="32"/>
        </w:rPr>
        <w:t>5. Anshu (anshulamba1105)</w:t>
      </w:r>
    </w:p>
    <w:p>
      <w:pPr>
        <w:spacing w:after="120" w:line="264" w:lineRule="auto"/>
      </w:pPr>
      <w:r>
        <w:rPr>
          <w:rFonts w:ascii="Calibri" w:hAnsi="Calibri"/>
          <w:b w:val="0"/>
          <w:color w:val="0B2545"/>
          <w:sz w:val="21"/>
        </w:rPr>
        <w:t>Branch: default branch (Anshu_IN26011396). One commit, 12 Aug - contains no application source, only an initial upload. Not a deployable or testable branch. No functional work to report, and nothing further is owed here unless a module has been assigned that has not yet been pushed.</w:t>
      </w:r>
    </w:p>
    <w:p>
      <w:r>
        <w:br w:type="page"/>
      </w:r>
    </w:p>
    <w:p>
      <w:pPr>
        <w:spacing w:before="320" w:after="160"/>
      </w:pPr>
      <w:r>
        <w:rPr>
          <w:rFonts w:ascii="Calibri" w:hAnsi="Calibri"/>
          <w:b/>
          <w:color w:val="2E74B5"/>
          <w:sz w:val="32"/>
        </w:rPr>
        <w:t>6. Modules with no owner and no code yet</w:t>
      </w:r>
    </w:p>
    <w:p>
      <w:pPr>
        <w:spacing w:after="120" w:line="264" w:lineRule="auto"/>
      </w:pPr>
      <w:r>
        <w:rPr>
          <w:rFonts w:ascii="Calibri" w:hAnsi="Calibri"/>
          <w:b w:val="0"/>
          <w:color w:val="0B2545"/>
          <w:sz w:val="21"/>
        </w:rPr>
        <w:t>Confirmed absent from the repository by file search - not in progress anywhere:</w:t>
      </w:r>
    </w:p>
    <w:p>
      <w:pPr>
        <w:pStyle w:val="ListBullet"/>
        <w:spacing w:after="80" w:line="264" w:lineRule="auto"/>
      </w:pPr>
      <w:r>
        <w:rPr>
          <w:rFonts w:ascii="Calibri" w:hAnsi="Calibri"/>
          <w:b w:val="0"/>
          <w:color w:val="0B2545"/>
          <w:sz w:val="20"/>
        </w:rPr>
        <w:t>Behaviour assessment</w:t>
      </w:r>
    </w:p>
    <w:p>
      <w:pPr>
        <w:pStyle w:val="ListBullet"/>
        <w:spacing w:after="80" w:line="264" w:lineRule="auto"/>
      </w:pPr>
      <w:r>
        <w:rPr>
          <w:rFonts w:ascii="Calibri" w:hAnsi="Calibri"/>
          <w:b w:val="0"/>
          <w:color w:val="0B2545"/>
          <w:sz w:val="20"/>
        </w:rPr>
        <w:t>Visit slots and booking</w:t>
      </w:r>
    </w:p>
    <w:p>
      <w:pPr>
        <w:pStyle w:val="ListBullet"/>
        <w:spacing w:after="80" w:line="264" w:lineRule="auto"/>
      </w:pPr>
      <w:r>
        <w:rPr>
          <w:rFonts w:ascii="Calibri" w:hAnsi="Calibri"/>
          <w:b w:val="0"/>
          <w:color w:val="0B2545"/>
          <w:sz w:val="20"/>
        </w:rPr>
        <w:t>Adoption application and approval workflow</w:t>
      </w:r>
    </w:p>
    <w:p>
      <w:pPr>
        <w:pStyle w:val="ListBullet"/>
        <w:spacing w:after="80" w:line="264" w:lineRule="auto"/>
      </w:pPr>
      <w:r>
        <w:rPr>
          <w:rFonts w:ascii="Calibri" w:hAnsi="Calibri"/>
          <w:b w:val="0"/>
          <w:color w:val="0B2545"/>
          <w:sz w:val="20"/>
        </w:rPr>
        <w:t>Payment / donation processing</w:t>
      </w:r>
    </w:p>
    <w:p>
      <w:pPr>
        <w:pStyle w:val="ListBullet"/>
        <w:spacing w:after="80" w:line="264" w:lineRule="auto"/>
      </w:pPr>
      <w:r>
        <w:rPr>
          <w:rFonts w:ascii="Calibri" w:hAnsi="Calibri"/>
          <w:b w:val="0"/>
          <w:color w:val="0B2545"/>
          <w:sz w:val="20"/>
        </w:rPr>
        <w:t>Post-adoption follow-up</w:t>
      </w:r>
    </w:p>
    <w:p>
      <w:pPr>
        <w:pStyle w:val="ListBullet"/>
        <w:spacing w:after="80" w:line="264" w:lineRule="auto"/>
      </w:pPr>
      <w:r>
        <w:rPr>
          <w:rFonts w:ascii="Calibri" w:hAnsi="Calibri"/>
          <w:b w:val="0"/>
          <w:color w:val="0B2545"/>
          <w:sz w:val="20"/>
        </w:rPr>
        <w:t>AI description generation and chatbot</w:t>
      </w:r>
    </w:p>
    <w:p>
      <w:pPr>
        <w:pStyle w:val="ListBullet"/>
        <w:spacing w:after="80" w:line="264" w:lineRule="auto"/>
      </w:pPr>
      <w:r>
        <w:rPr>
          <w:rFonts w:ascii="Calibri" w:hAnsi="Calibri"/>
          <w:b w:val="0"/>
          <w:color w:val="0B2545"/>
          <w:sz w:val="20"/>
        </w:rPr>
        <w:t>Reports and cross-branch dashboard</w:t>
      </w:r>
    </w:p>
    <w:p>
      <w:pPr>
        <w:pStyle w:val="ListBullet"/>
        <w:spacing w:after="80" w:line="264" w:lineRule="auto"/>
      </w:pPr>
      <w:r>
        <w:rPr>
          <w:rFonts w:ascii="Calibri" w:hAnsi="Calibri"/>
          <w:b w:val="0"/>
          <w:color w:val="0B2545"/>
          <w:sz w:val="20"/>
        </w:rPr>
        <w:t>Frontend / any UI</w:t>
      </w:r>
    </w:p>
    <w:p>
      <w:pPr>
        <w:spacing w:before="320" w:after="160"/>
      </w:pPr>
      <w:r>
        <w:rPr>
          <w:rFonts w:ascii="Calibri" w:hAnsi="Calibri"/>
          <w:b/>
          <w:color w:val="2E74B5"/>
          <w:sz w:val="32"/>
        </w:rPr>
        <w:t>7. Build verification (repeated from 18 Aug - still blocked)</w:t>
      </w:r>
    </w:p>
    <w:p>
      <w:pPr>
        <w:spacing w:after="120" w:line="264" w:lineRule="auto"/>
      </w:pPr>
      <w:r>
        <w:rPr>
          <w:rFonts w:ascii="Calibri" w:hAnsi="Calibri"/>
          <w:b w:val="0"/>
          <w:color w:val="0B2545"/>
          <w:sz w:val="21"/>
        </w:rPr>
        <w:t>dotnet build was re-run against the current dev branch on this test environment (.NET SDK 7.0.304):</w:t>
      </w:r>
    </w:p>
    <w:p>
      <w:pPr>
        <w:spacing w:after="200"/>
        <w:shd w:fill="F2F4F7"/>
      </w:pPr>
      <w:r>
        <w:rPr>
          <w:rFonts w:ascii="Consolas" w:hAnsi="Consolas"/>
          <w:color w:val="9B1C1C"/>
          <w:sz w:val="20"/>
        </w:rPr>
        <w:t>NETSDK1045: The current .NET SDK does not support targeting .NET 10.0.</w:t>
      </w:r>
    </w:p>
    <w:p>
      <w:pPr>
        <w:spacing w:after="120" w:line="264" w:lineRule="auto"/>
      </w:pPr>
      <w:r>
        <w:rPr>
          <w:rFonts w:ascii="Calibri" w:hAnsi="Calibri"/>
          <w:b w:val="0"/>
          <w:color w:val="0B2545"/>
          <w:sz w:val="21"/>
        </w:rPr>
        <w:t>Same blocker as 18 August, unchanged by the merge. Functional/API testing still cannot begin in this environment.</w:t>
      </w:r>
    </w:p>
    <w:p>
      <w:r>
        <w:br w:type="page"/>
      </w:r>
    </w:p>
    <w:p>
      <w:pPr>
        <w:spacing w:before="320" w:after="160"/>
      </w:pPr>
      <w:r>
        <w:rPr>
          <w:rFonts w:ascii="Calibri" w:hAnsi="Calibri"/>
          <w:b/>
          <w:color w:val="2E74B5"/>
          <w:sz w:val="32"/>
        </w:rPr>
        <w:t>8. Defect list - status against the 18 Aug report</w:t>
      </w:r>
    </w:p>
    <w:tbl>
      <w:tblPr>
        <w:tblStyle w:val="TableGrid"/>
        <w:tblW w:type="dxa" w:w="9360"/>
        <w:jc w:val="left"/>
        <w:tblLayout w:type="fixed"/>
        <w:tblLook w:firstColumn="1" w:firstRow="1" w:lastColumn="0" w:lastRow="0" w:noHBand="0" w:noVBand="1" w:val="04A0"/>
        <w:tblInd w:w="120" w:type="dxa"/>
      </w:tblPr>
      <w:tblGrid>
        <w:gridCol w:w="700"/>
        <w:gridCol w:w="5060"/>
        <w:gridCol w:w="3600"/>
      </w:tblGrid>
      <w:tr>
        <w:tc>
          <w:tcPr>
            <w:tcW w:type="dxa" w:w="7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ID</w:t>
            </w:r>
          </w:p>
        </w:tc>
        <w:tc>
          <w:tcPr>
            <w:tcW w:type="dxa" w:w="506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Finding</w:t>
            </w:r>
          </w:p>
        </w:tc>
        <w:tc>
          <w:tcPr>
            <w:tcW w:type="dxa" w:w="3600"/>
            <w:vAlign w:val="center"/>
            <w:tcMar>
              <w:top w:w="80" w:type="dxa"/>
              <w:start w:w="120" w:type="dxa"/>
              <w:bottom w:w="80" w:type="dxa"/>
              <w:end w:w="120" w:type="dxa"/>
            </w:tcMar>
            <w:shd w:fill="E8EEF5"/>
          </w:tcPr>
          <w:p>
            <w:pPr>
              <w:spacing w:after="0" w:line="264" w:lineRule="auto"/>
            </w:pPr>
            <w:r/>
            <w:r>
              <w:rPr>
                <w:rFonts w:ascii="Calibri" w:hAnsi="Calibri"/>
                <w:b/>
                <w:color w:val="0B2545"/>
                <w:sz w:val="18"/>
              </w:rPr>
              <w:t>Status now</w:t>
            </w:r>
          </w:p>
        </w:tc>
      </w:tr>
      <w:tr>
        <w:tc>
          <w:tcPr>
            <w:tcW w:type="dxa" w:w="700"/>
          </w:tcPr>
          <w:p>
            <w:pPr>
              <w:spacing w:after="0" w:line="264" w:lineRule="auto"/>
            </w:pPr>
            <w:r/>
            <w:r>
              <w:rPr>
                <w:rFonts w:ascii="Calibri" w:hAnsi="Calibri"/>
                <w:b w:val="0"/>
                <w:color w:val="0B2545"/>
                <w:sz w:val="18"/>
              </w:rPr>
              <w:t>QA-01</w:t>
            </w:r>
          </w:p>
        </w:tc>
        <w:tc>
          <w:tcPr>
            <w:tcW w:type="dxa" w:w="5060"/>
          </w:tcPr>
          <w:p>
            <w:pPr>
              <w:spacing w:after="0" w:line="264" w:lineRule="auto"/>
            </w:pPr>
            <w:r/>
            <w:r>
              <w:rPr>
                <w:rFonts w:ascii="Calibri" w:hAnsi="Calibri"/>
                <w:b w:val="0"/>
                <w:color w:val="0B2545"/>
                <w:sz w:val="18"/>
              </w:rPr>
              <w:t>Akash's work not merged into dev</w:t>
            </w:r>
          </w:p>
        </w:tc>
        <w:tc>
          <w:tcPr>
            <w:tcW w:type="dxa" w:w="3600"/>
          </w:tcPr>
          <w:p>
            <w:pPr>
              <w:spacing w:after="0" w:line="264" w:lineRule="auto"/>
            </w:pPr>
            <w:r/>
            <w:r>
              <w:rPr>
                <w:rFonts w:ascii="Calibri" w:hAnsi="Calibri"/>
                <w:b/>
                <w:color w:val="1F3A5F"/>
                <w:sz w:val="18"/>
              </w:rPr>
              <w:t>FIXED - merged 20 Aug</w:t>
            </w:r>
          </w:p>
        </w:tc>
      </w:tr>
      <w:tr>
        <w:tc>
          <w:tcPr>
            <w:tcW w:type="dxa" w:w="700"/>
          </w:tcPr>
          <w:p>
            <w:pPr>
              <w:spacing w:after="0" w:line="264" w:lineRule="auto"/>
            </w:pPr>
            <w:r/>
            <w:r>
              <w:rPr>
                <w:rFonts w:ascii="Calibri" w:hAnsi="Calibri"/>
                <w:b w:val="0"/>
                <w:color w:val="0B2545"/>
                <w:sz w:val="18"/>
              </w:rPr>
              <w:t>QA-02</w:t>
            </w:r>
          </w:p>
        </w:tc>
        <w:tc>
          <w:tcPr>
            <w:tcW w:type="dxa" w:w="5060"/>
          </w:tcPr>
          <w:p>
            <w:pPr>
              <w:spacing w:after="0" w:line="264" w:lineRule="auto"/>
            </w:pPr>
            <w:r/>
            <w:r>
              <w:rPr>
                <w:rFonts w:ascii="Calibri" w:hAnsi="Calibri"/>
                <w:b w:val="0"/>
                <w:color w:val="0B2545"/>
                <w:sz w:val="18"/>
              </w:rPr>
              <w:t>Akash branch not standalone (no DbContext/DI/migration)</w:t>
            </w:r>
          </w:p>
        </w:tc>
        <w:tc>
          <w:tcPr>
            <w:tcW w:type="dxa" w:w="3600"/>
          </w:tcPr>
          <w:p>
            <w:pPr>
              <w:spacing w:after="0" w:line="264" w:lineRule="auto"/>
            </w:pPr>
            <w:r/>
            <w:r>
              <w:rPr>
                <w:rFonts w:ascii="Calibri" w:hAnsi="Calibri"/>
                <w:b/>
                <w:color w:val="1F3A5F"/>
                <w:sz w:val="18"/>
              </w:rPr>
              <w:t>FIXED - resolved in the integration fix commit</w:t>
            </w:r>
          </w:p>
        </w:tc>
      </w:tr>
      <w:tr>
        <w:tc>
          <w:tcPr>
            <w:tcW w:type="dxa" w:w="700"/>
          </w:tcPr>
          <w:p>
            <w:pPr>
              <w:spacing w:after="0" w:line="264" w:lineRule="auto"/>
            </w:pPr>
            <w:r/>
            <w:r>
              <w:rPr>
                <w:rFonts w:ascii="Calibri" w:hAnsi="Calibri"/>
                <w:b w:val="0"/>
                <w:color w:val="0B2545"/>
                <w:sz w:val="18"/>
              </w:rPr>
              <w:t>QA-03</w:t>
            </w:r>
          </w:p>
        </w:tc>
        <w:tc>
          <w:tcPr>
            <w:tcW w:type="dxa" w:w="5060"/>
          </w:tcPr>
          <w:p>
            <w:pPr>
              <w:spacing w:after="0" w:line="264" w:lineRule="auto"/>
            </w:pPr>
            <w:r/>
            <w:r>
              <w:rPr>
                <w:rFonts w:ascii="Calibri" w:hAnsi="Calibri"/>
                <w:b w:val="0"/>
                <w:color w:val="0B2545"/>
                <w:sz w:val="18"/>
              </w:rPr>
              <w:t>.NET 10 target vs .NET 7 SDK in test environment</w:t>
            </w:r>
          </w:p>
        </w:tc>
        <w:tc>
          <w:tcPr>
            <w:tcW w:type="dxa" w:w="3600"/>
          </w:tcPr>
          <w:p>
            <w:pPr>
              <w:spacing w:after="0" w:line="264" w:lineRule="auto"/>
            </w:pPr>
            <w:r/>
            <w:r>
              <w:rPr>
                <w:rFonts w:ascii="Calibri" w:hAnsi="Calibri"/>
                <w:b/>
                <w:color w:val="0B2545"/>
                <w:sz w:val="18"/>
              </w:rPr>
              <w:t>OPEN - confirmed by re-run build</w:t>
            </w:r>
          </w:p>
        </w:tc>
      </w:tr>
      <w:tr>
        <w:tc>
          <w:tcPr>
            <w:tcW w:type="dxa" w:w="700"/>
          </w:tcPr>
          <w:p>
            <w:pPr>
              <w:spacing w:after="0" w:line="264" w:lineRule="auto"/>
            </w:pPr>
            <w:r/>
            <w:r>
              <w:rPr>
                <w:rFonts w:ascii="Calibri" w:hAnsi="Calibri"/>
                <w:b w:val="0"/>
                <w:color w:val="0B2545"/>
                <w:sz w:val="18"/>
              </w:rPr>
              <w:t>QA-04</w:t>
            </w:r>
          </w:p>
        </w:tc>
        <w:tc>
          <w:tcPr>
            <w:tcW w:type="dxa" w:w="5060"/>
          </w:tcPr>
          <w:p>
            <w:pPr>
              <w:spacing w:after="0" w:line="264" w:lineRule="auto"/>
            </w:pPr>
            <w:r/>
            <w:r>
              <w:rPr>
                <w:rFonts w:ascii="Calibri" w:hAnsi="Calibri"/>
                <w:b w:val="0"/>
                <w:color w:val="0B2545"/>
                <w:sz w:val="18"/>
              </w:rPr>
              <w:t>Windows LocalDB connection string</w:t>
            </w:r>
          </w:p>
        </w:tc>
        <w:tc>
          <w:tcPr>
            <w:tcW w:type="dxa" w:w="3600"/>
          </w:tcPr>
          <w:p>
            <w:pPr>
              <w:spacing w:after="0" w:line="264" w:lineRule="auto"/>
            </w:pPr>
            <w:r/>
            <w:r>
              <w:rPr>
                <w:rFonts w:ascii="Calibri" w:hAnsi="Calibri"/>
                <w:b/>
                <w:color w:val="0B2545"/>
                <w:sz w:val="18"/>
              </w:rPr>
              <w:t>OPEN - unchanged</w:t>
            </w:r>
          </w:p>
        </w:tc>
      </w:tr>
      <w:tr>
        <w:tc>
          <w:tcPr>
            <w:tcW w:type="dxa" w:w="700"/>
          </w:tcPr>
          <w:p>
            <w:pPr>
              <w:spacing w:after="0" w:line="264" w:lineRule="auto"/>
            </w:pPr>
            <w:r/>
            <w:r>
              <w:rPr>
                <w:rFonts w:ascii="Calibri" w:hAnsi="Calibri"/>
                <w:b w:val="0"/>
                <w:color w:val="0B2545"/>
                <w:sz w:val="18"/>
              </w:rPr>
              <w:t>QA-05</w:t>
            </w:r>
          </w:p>
        </w:tc>
        <w:tc>
          <w:tcPr>
            <w:tcW w:type="dxa" w:w="5060"/>
          </w:tcPr>
          <w:p>
            <w:pPr>
              <w:spacing w:after="0" w:line="264" w:lineRule="auto"/>
            </w:pPr>
            <w:r/>
            <w:r>
              <w:rPr>
                <w:rFonts w:ascii="Calibri" w:hAnsi="Calibri"/>
                <w:b w:val="0"/>
                <w:color w:val="0B2545"/>
                <w:sz w:val="18"/>
              </w:rPr>
              <w:t>Branch endpoints have no auth/role checks</w:t>
            </w:r>
          </w:p>
        </w:tc>
        <w:tc>
          <w:tcPr>
            <w:tcW w:type="dxa" w:w="3600"/>
          </w:tcPr>
          <w:p>
            <w:pPr>
              <w:spacing w:after="0" w:line="264" w:lineRule="auto"/>
            </w:pPr>
            <w:r/>
            <w:r>
              <w:rPr>
                <w:rFonts w:ascii="Calibri" w:hAnsi="Calibri"/>
                <w:b/>
                <w:color w:val="0B2545"/>
                <w:sz w:val="18"/>
              </w:rPr>
              <w:t>OPEN - Animal/Medical got [Authorize], Branch did not</w:t>
            </w:r>
          </w:p>
        </w:tc>
      </w:tr>
      <w:tr>
        <w:tc>
          <w:tcPr>
            <w:tcW w:type="dxa" w:w="700"/>
          </w:tcPr>
          <w:p>
            <w:pPr>
              <w:spacing w:after="0" w:line="264" w:lineRule="auto"/>
            </w:pPr>
            <w:r/>
            <w:r>
              <w:rPr>
                <w:rFonts w:ascii="Calibri" w:hAnsi="Calibri"/>
                <w:b w:val="0"/>
                <w:color w:val="0B2545"/>
                <w:sz w:val="18"/>
              </w:rPr>
              <w:t>QA-06</w:t>
            </w:r>
          </w:p>
        </w:tc>
        <w:tc>
          <w:tcPr>
            <w:tcW w:type="dxa" w:w="5060"/>
          </w:tcPr>
          <w:p>
            <w:pPr>
              <w:spacing w:after="0" w:line="264" w:lineRule="auto"/>
            </w:pPr>
            <w:r/>
            <w:r>
              <w:rPr>
                <w:rFonts w:ascii="Calibri" w:hAnsi="Calibri"/>
                <w:b w:val="0"/>
                <w:color w:val="0B2545"/>
                <w:sz w:val="18"/>
              </w:rPr>
              <w:t>No BranchId on Animal; no branch-scope filtering</w:t>
            </w:r>
          </w:p>
        </w:tc>
        <w:tc>
          <w:tcPr>
            <w:tcW w:type="dxa" w:w="3600"/>
          </w:tcPr>
          <w:p>
            <w:pPr>
              <w:spacing w:after="0" w:line="264" w:lineRule="auto"/>
            </w:pPr>
            <w:r/>
            <w:r>
              <w:rPr>
                <w:rFonts w:ascii="Calibri" w:hAnsi="Calibri"/>
                <w:b/>
                <w:color w:val="7A5A00"/>
                <w:sz w:val="18"/>
              </w:rPr>
              <w:t>PARTIALLY FIXED - BranchId now enforced on writes; reads still cross-branch</w:t>
            </w:r>
          </w:p>
        </w:tc>
      </w:tr>
      <w:tr>
        <w:tc>
          <w:tcPr>
            <w:tcW w:type="dxa" w:w="700"/>
          </w:tcPr>
          <w:p>
            <w:pPr>
              <w:spacing w:after="0" w:line="264" w:lineRule="auto"/>
            </w:pPr>
            <w:r/>
            <w:r>
              <w:rPr>
                <w:rFonts w:ascii="Calibri" w:hAnsi="Calibri"/>
                <w:b w:val="0"/>
                <w:color w:val="0B2545"/>
                <w:sz w:val="18"/>
              </w:rPr>
              <w:t>QA-07</w:t>
            </w:r>
          </w:p>
        </w:tc>
        <w:tc>
          <w:tcPr>
            <w:tcW w:type="dxa" w:w="5060"/>
          </w:tcPr>
          <w:p>
            <w:pPr>
              <w:spacing w:after="0" w:line="264" w:lineRule="auto"/>
            </w:pPr>
            <w:r/>
            <w:r>
              <w:rPr>
                <w:rFonts w:ascii="Calibri" w:hAnsi="Calibri"/>
                <w:b w:val="0"/>
                <w:color w:val="0B2545"/>
                <w:sz w:val="18"/>
              </w:rPr>
              <w:t>JWT signing key hard-coded in appsettings.json</w:t>
            </w:r>
          </w:p>
        </w:tc>
        <w:tc>
          <w:tcPr>
            <w:tcW w:type="dxa" w:w="3600"/>
          </w:tcPr>
          <w:p>
            <w:pPr>
              <w:spacing w:after="0" w:line="264" w:lineRule="auto"/>
            </w:pPr>
            <w:r/>
            <w:r>
              <w:rPr>
                <w:rFonts w:ascii="Calibri" w:hAnsi="Calibri"/>
                <w:b/>
                <w:color w:val="0B2545"/>
                <w:sz w:val="18"/>
              </w:rPr>
              <w:t>OPEN - still a literal string in source control</w:t>
            </w:r>
          </w:p>
        </w:tc>
      </w:tr>
      <w:tr>
        <w:tc>
          <w:tcPr>
            <w:tcW w:type="dxa" w:w="700"/>
          </w:tcPr>
          <w:p>
            <w:pPr>
              <w:spacing w:after="0" w:line="264" w:lineRule="auto"/>
            </w:pPr>
            <w:r/>
            <w:r>
              <w:rPr>
                <w:rFonts w:ascii="Calibri" w:hAnsi="Calibri"/>
                <w:b w:val="0"/>
                <w:color w:val="0B2545"/>
                <w:sz w:val="18"/>
              </w:rPr>
              <w:t>QA-08</w:t>
            </w:r>
          </w:p>
        </w:tc>
        <w:tc>
          <w:tcPr>
            <w:tcW w:type="dxa" w:w="5060"/>
          </w:tcPr>
          <w:p>
            <w:pPr>
              <w:spacing w:after="0" w:line="264" w:lineRule="auto"/>
            </w:pPr>
            <w:r/>
            <w:r>
              <w:rPr>
                <w:rFonts w:ascii="Calibri" w:hAnsi="Calibri"/>
                <w:b w:val="0"/>
                <w:color w:val="0B2545"/>
                <w:sz w:val="18"/>
              </w:rPr>
              <w:t>Enum.Parse on raw input causes unhandled 500s</w:t>
            </w:r>
          </w:p>
        </w:tc>
        <w:tc>
          <w:tcPr>
            <w:tcW w:type="dxa" w:w="3600"/>
          </w:tcPr>
          <w:p>
            <w:pPr>
              <w:spacing w:after="0" w:line="264" w:lineRule="auto"/>
            </w:pPr>
            <w:r/>
            <w:r>
              <w:rPr>
                <w:rFonts w:ascii="Calibri" w:hAnsi="Calibri"/>
                <w:b/>
                <w:color w:val="0B2545"/>
                <w:sz w:val="18"/>
              </w:rPr>
              <w:t>OPEN - unchanged</w:t>
            </w:r>
          </w:p>
        </w:tc>
      </w:tr>
      <w:tr>
        <w:tc>
          <w:tcPr>
            <w:tcW w:type="dxa" w:w="700"/>
          </w:tcPr>
          <w:p>
            <w:pPr>
              <w:spacing w:after="0" w:line="264" w:lineRule="auto"/>
            </w:pPr>
            <w:r/>
            <w:r>
              <w:rPr>
                <w:rFonts w:ascii="Calibri" w:hAnsi="Calibri"/>
                <w:b w:val="0"/>
                <w:color w:val="0B2545"/>
                <w:sz w:val="18"/>
              </w:rPr>
              <w:t>QA-09</w:t>
            </w:r>
          </w:p>
        </w:tc>
        <w:tc>
          <w:tcPr>
            <w:tcW w:type="dxa" w:w="5060"/>
          </w:tcPr>
          <w:p>
            <w:pPr>
              <w:spacing w:after="0" w:line="264" w:lineRule="auto"/>
            </w:pPr>
            <w:r/>
            <w:r>
              <w:rPr>
                <w:rFonts w:ascii="Calibri" w:hAnsi="Calibri"/>
                <w:b w:val="0"/>
                <w:color w:val="0B2545"/>
                <w:sz w:val="18"/>
              </w:rPr>
              <w:t>No automated tests</w:t>
            </w:r>
          </w:p>
        </w:tc>
        <w:tc>
          <w:tcPr>
            <w:tcW w:type="dxa" w:w="3600"/>
          </w:tcPr>
          <w:p>
            <w:pPr>
              <w:spacing w:after="0" w:line="264" w:lineRule="auto"/>
            </w:pPr>
            <w:r/>
            <w:r>
              <w:rPr>
                <w:rFonts w:ascii="Calibri" w:hAnsi="Calibri"/>
                <w:b/>
                <w:color w:val="0B2545"/>
                <w:sz w:val="18"/>
              </w:rPr>
              <w:t>OPEN - unchanged</w:t>
            </w:r>
          </w:p>
        </w:tc>
      </w:tr>
      <w:tr>
        <w:tc>
          <w:tcPr>
            <w:tcW w:type="dxa" w:w="700"/>
          </w:tcPr>
          <w:p>
            <w:pPr>
              <w:spacing w:after="0" w:line="264" w:lineRule="auto"/>
            </w:pPr>
            <w:r/>
            <w:r>
              <w:rPr>
                <w:rFonts w:ascii="Calibri" w:hAnsi="Calibri"/>
                <w:b w:val="0"/>
                <w:color w:val="0B2545"/>
                <w:sz w:val="18"/>
              </w:rPr>
              <w:t>QA-10</w:t>
            </w:r>
          </w:p>
        </w:tc>
        <w:tc>
          <w:tcPr>
            <w:tcW w:type="dxa" w:w="5060"/>
          </w:tcPr>
          <w:p>
            <w:pPr>
              <w:spacing w:after="0" w:line="264" w:lineRule="auto"/>
            </w:pPr>
            <w:r/>
            <w:r>
              <w:rPr>
                <w:rFonts w:ascii="Calibri" w:hAnsi="Calibri"/>
                <w:b w:val="0"/>
                <w:color w:val="0B2545"/>
                <w:sz w:val="18"/>
              </w:rPr>
              <w:t>.vs/bin/obj committed, no .gitignore</w:t>
            </w:r>
          </w:p>
        </w:tc>
        <w:tc>
          <w:tcPr>
            <w:tcW w:type="dxa" w:w="3600"/>
          </w:tcPr>
          <w:p>
            <w:pPr>
              <w:spacing w:after="0" w:line="264" w:lineRule="auto"/>
            </w:pPr>
            <w:r/>
            <w:r>
              <w:rPr>
                <w:rFonts w:ascii="Calibri" w:hAnsi="Calibri"/>
                <w:b/>
                <w:color w:val="0B2545"/>
                <w:sz w:val="18"/>
              </w:rPr>
              <w:t>OPEN - worse, more artifacts committed in the latest push</w:t>
            </w:r>
          </w:p>
        </w:tc>
      </w:tr>
    </w:tbl>
    <w:p>
      <w:pPr>
        <w:spacing w:after="40"/>
      </w:pPr>
    </w:p>
    <w:p>
      <w:pPr>
        <w:spacing w:after="120" w:line="264" w:lineRule="auto"/>
      </w:pPr>
      <w:r>
        <w:rPr>
          <w:rFonts w:ascii="Calibri" w:hAnsi="Calibri"/>
          <w:b w:val="0"/>
          <w:color w:val="0B2545"/>
          <w:sz w:val="21"/>
        </w:rPr>
        <w:t>New since 18 Aug - NEW-01: duplicate/orphaned Controllers, DTO, and Services folders now exist at the repository root, left over from the merge. They sit outside the compiled project so they do not break the build, but they are dead, confusing duplicates of the real files under PawTrack.Api/ and should be deleted.</w:t>
      </w:r>
    </w:p>
    <w:p>
      <w:r>
        <w:br w:type="page"/>
      </w:r>
    </w:p>
    <w:p>
      <w:pPr>
        <w:spacing w:before="320" w:after="160"/>
      </w:pPr>
      <w:r>
        <w:rPr>
          <w:rFonts w:ascii="Calibri" w:hAnsi="Calibri"/>
          <w:b/>
          <w:color w:val="2E74B5"/>
          <w:sz w:val="32"/>
        </w:rPr>
        <w:t>9. What has to happen to make the repo runnable</w:t>
      </w:r>
    </w:p>
    <w:p>
      <w:pPr>
        <w:pStyle w:val="ListBullet"/>
        <w:spacing w:after="80" w:line="264" w:lineRule="auto"/>
      </w:pPr>
      <w:r>
        <w:rPr>
          <w:rFonts w:ascii="Calibri" w:hAnsi="Calibri"/>
          <w:b w:val="0"/>
          <w:color w:val="0B2545"/>
          <w:sz w:val="20"/>
        </w:rPr>
        <w:t>Sankarsh: install/target a .NET SDK the test environment actually has (or get .NET 10 installed for testers), and document the exact run command.</w:t>
      </w:r>
    </w:p>
    <w:p>
      <w:pPr>
        <w:pStyle w:val="ListBullet"/>
        <w:spacing w:after="80" w:line="264" w:lineRule="auto"/>
      </w:pPr>
      <w:r>
        <w:rPr>
          <w:rFonts w:ascii="Calibri" w:hAnsi="Calibri"/>
          <w:b w:val="0"/>
          <w:color w:val="0B2545"/>
          <w:sz w:val="20"/>
        </w:rPr>
        <w:t>Sankarsh: replace the LocalDB connection string with a cross-platform SQL Server connection, and move the JWT key out of appsettings.json into an environment variable or user-secrets.</w:t>
      </w:r>
    </w:p>
    <w:p>
      <w:pPr>
        <w:pStyle w:val="ListBullet"/>
        <w:spacing w:after="80" w:line="264" w:lineRule="auto"/>
      </w:pPr>
      <w:r>
        <w:rPr>
          <w:rFonts w:ascii="Calibri" w:hAnsi="Calibri"/>
          <w:b w:val="0"/>
          <w:color w:val="0B2545"/>
          <w:sz w:val="20"/>
        </w:rPr>
        <w:t>Sankarsh: add [Authorize] and Org Admin restriction to BranchController; add branch-scope filtering to every read query in AnimalService/MedicalService so non-Org-Admin roles only see their own branch's data.</w:t>
      </w:r>
    </w:p>
    <w:p>
      <w:pPr>
        <w:pStyle w:val="ListBullet"/>
        <w:spacing w:after="80" w:line="264" w:lineRule="auto"/>
      </w:pPr>
      <w:r>
        <w:rPr>
          <w:rFonts w:ascii="Calibri" w:hAnsi="Calibri"/>
          <w:b w:val="0"/>
          <w:color w:val="0B2545"/>
          <w:sz w:val="20"/>
        </w:rPr>
        <w:t>Sankarsh: add a .gitignore for bin/, obj/, and .vs/, and remove the already-committed build artifacts and duplicate root-level Controllers/DTO/Services folders from the repo.</w:t>
      </w:r>
    </w:p>
    <w:p>
      <w:pPr>
        <w:pStyle w:val="ListBullet"/>
        <w:spacing w:after="80" w:line="264" w:lineRule="auto"/>
      </w:pPr>
      <w:r>
        <w:rPr>
          <w:rFonts w:ascii="Calibri" w:hAnsi="Calibri"/>
          <w:b w:val="0"/>
          <w:color w:val="0B2545"/>
          <w:sz w:val="20"/>
        </w:rPr>
        <w:t>Akash: replace Enum.Parse with validated enum binding or explicit checks that return 400 on bad Gender/Status values.</w:t>
      </w:r>
    </w:p>
    <w:p>
      <w:pPr>
        <w:pStyle w:val="ListBullet"/>
        <w:spacing w:after="80" w:line="264" w:lineRule="auto"/>
      </w:pPr>
      <w:r>
        <w:rPr>
          <w:rFonts w:ascii="Calibri" w:hAnsi="Calibri"/>
          <w:b w:val="0"/>
          <w:color w:val="0B2545"/>
          <w:sz w:val="20"/>
        </w:rPr>
        <w:t>Whoever owns each remaining module: Behaviour, Visit Booking, Adoption, Payment/Donation, Follow-up, Reports, AI/chatbot, and the frontend all still need an owner and have not been started.</w:t>
      </w:r>
    </w:p>
    <w:p>
      <w:pPr>
        <w:pStyle w:val="ListBullet"/>
        <w:spacing w:after="80" w:line="264" w:lineRule="auto"/>
      </w:pPr>
      <w:r>
        <w:rPr>
          <w:rFonts w:ascii="Calibri" w:hAnsi="Calibri"/>
          <w:b w:val="0"/>
          <w:color w:val="0B2545"/>
          <w:sz w:val="20"/>
        </w:rPr>
        <w:t>Add a test project (unit tests for services, integration tests for auth/branch isolation) before this goes to UAT.</w:t>
      </w:r>
    </w:p>
    <w:p>
      <w:pPr>
        <w:spacing w:before="320" w:after="160"/>
      </w:pPr>
      <w:r>
        <w:rPr>
          <w:rFonts w:ascii="Calibri" w:hAnsi="Calibri"/>
          <w:b/>
          <w:color w:val="2E74B5"/>
          <w:sz w:val="32"/>
        </w:rPr>
        <w:t>10. Conclusion</w:t>
      </w:r>
    </w:p>
    <w:p>
      <w:pPr>
        <w:spacing w:after="120" w:line="264" w:lineRule="auto"/>
      </w:pPr>
      <w:r>
        <w:rPr>
          <w:rFonts w:ascii="Calibri" w:hAnsi="Calibri"/>
          <w:b w:val="0"/>
          <w:color w:val="0B2545"/>
          <w:sz w:val="21"/>
        </w:rPr>
        <w:t>Real progress happened between the two reports: Akash's Animal/Medical module is no longer sitting unmerged on a side branch - it is integrated into dev, wired through DI, and has a migration. That is genuine, working progress from both Sankarsh and Akash.</w:t>
      </w:r>
    </w:p>
    <w:p>
      <w:pPr>
        <w:spacing w:after="120" w:line="264" w:lineRule="auto"/>
      </w:pPr>
      <w:r>
        <w:rPr>
          <w:rFonts w:ascii="Calibri" w:hAnsi="Calibri"/>
          <w:b w:val="0"/>
          <w:color w:val="0B2545"/>
          <w:sz w:val="21"/>
        </w:rPr>
        <w:t>What is still missing is the same set of cross-cutting issues flagged before: the project cannot be built in this test environment, the database configuration is Windows-only, authorization is inconsistently applied (Branch endpoints are still wide open), and branch-level data isolation - the core multi-tenant requirement - is only enforced on writes, not reads. None of the eight remaining business modules (Behaviour through Frontend) have any code yet.</w:t>
      </w:r>
    </w:p>
    <w:p>
      <w:pPr>
        <w:spacing w:after="120" w:line="264" w:lineRule="auto"/>
      </w:pPr>
      <w:r>
        <w:rPr>
          <w:rFonts w:ascii="Calibri" w:hAnsi="Calibri"/>
          <w:b/>
          <w:color w:val="0B2545"/>
          <w:sz w:val="21"/>
        </w:rPr>
        <w:t>Overall status: still NOT READY for functional UAT. The next concrete gate is the same as before - a runnable build on a supported SDK against a reachable database - plus closing QA-05 through QA-10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7"/>
      </w:rPr>
      <w:t>20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7"/>
      </w:rPr>
      <w:t>PawTrack | Individual Contributor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