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29FE7" w14:textId="77777777" w:rsidR="00624139" w:rsidRPr="00624139" w:rsidRDefault="00624139" w:rsidP="00624139">
      <w:pPr>
        <w:spacing w:line="240" w:lineRule="auto"/>
      </w:pPr>
      <w:r w:rsidRPr="00624139">
        <w:pict w14:anchorId="7B6EF035">
          <v:rect id="_x0000_i1049" style="width:0;height:1.5pt" o:hralign="center" o:hrstd="t" o:hr="t" fillcolor="#a0a0a0" stroked="f"/>
        </w:pict>
      </w:r>
    </w:p>
    <w:p w14:paraId="3B9D330A" w14:textId="77777777" w:rsidR="00624139" w:rsidRPr="00624139" w:rsidRDefault="00624139" w:rsidP="00624139">
      <w:pPr>
        <w:spacing w:line="240" w:lineRule="auto"/>
        <w:rPr>
          <w:b/>
          <w:bCs/>
        </w:rPr>
      </w:pPr>
      <w:r w:rsidRPr="00624139">
        <w:rPr>
          <w:b/>
          <w:bCs/>
        </w:rPr>
        <w:t>Comprehensive Overview of SDG 4: Quality Education</w:t>
      </w:r>
    </w:p>
    <w:p w14:paraId="18BBE379" w14:textId="77777777" w:rsidR="00624139" w:rsidRPr="00624139" w:rsidRDefault="00624139" w:rsidP="00624139">
      <w:pPr>
        <w:spacing w:line="240" w:lineRule="auto"/>
      </w:pPr>
      <w:r w:rsidRPr="00624139">
        <w:rPr>
          <w:b/>
          <w:bCs/>
        </w:rPr>
        <w:t>SDG 4: Mission Statement</w:t>
      </w:r>
      <w:r w:rsidRPr="00624139">
        <w:t xml:space="preserve"> "Ensure inclusive and equitable quality education and promote lifelong learning opportunities for all".</w:t>
      </w:r>
    </w:p>
    <w:p w14:paraId="7B124E74" w14:textId="77777777" w:rsidR="00624139" w:rsidRPr="00624139" w:rsidRDefault="00624139" w:rsidP="00624139">
      <w:pPr>
        <w:spacing w:line="240" w:lineRule="auto"/>
        <w:rPr>
          <w:b/>
          <w:bCs/>
        </w:rPr>
      </w:pPr>
      <w:r w:rsidRPr="00624139">
        <w:rPr>
          <w:b/>
          <w:bCs/>
        </w:rPr>
        <w:t>1. Key Concepts and Importance</w:t>
      </w:r>
    </w:p>
    <w:p w14:paraId="0858AC82" w14:textId="77777777" w:rsidR="00624139" w:rsidRPr="00624139" w:rsidRDefault="00624139" w:rsidP="00624139">
      <w:pPr>
        <w:spacing w:line="240" w:lineRule="auto"/>
      </w:pPr>
      <w:r w:rsidRPr="00624139">
        <w:t>The pursuit of education is viewed not just as a goal in itself, but as a critical lever for global development and an enabler of other Sustainable Development Goals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7052"/>
        <w:gridCol w:w="919"/>
      </w:tblGrid>
      <w:tr w:rsidR="00624139" w:rsidRPr="00624139" w14:paraId="05F59A72" w14:textId="77777777">
        <w:trPr>
          <w:tblCellSpacing w:w="15" w:type="dxa"/>
        </w:trPr>
        <w:tc>
          <w:tcPr>
            <w:tcW w:w="0" w:type="auto"/>
            <w:vAlign w:val="center"/>
            <w:hideMark/>
          </w:tcPr>
          <w:p w14:paraId="4CDEAE26" w14:textId="77777777" w:rsidR="00624139" w:rsidRPr="00624139" w:rsidRDefault="00624139" w:rsidP="00624139">
            <w:pPr>
              <w:spacing w:line="240" w:lineRule="auto"/>
              <w:rPr>
                <w:b/>
                <w:bCs/>
              </w:rPr>
            </w:pPr>
            <w:r w:rsidRPr="00624139">
              <w:rPr>
                <w:b/>
                <w:bCs/>
              </w:rPr>
              <w:t>Concept</w:t>
            </w:r>
          </w:p>
        </w:tc>
        <w:tc>
          <w:tcPr>
            <w:tcW w:w="0" w:type="auto"/>
            <w:vAlign w:val="center"/>
            <w:hideMark/>
          </w:tcPr>
          <w:p w14:paraId="15CBC71E" w14:textId="77777777" w:rsidR="00624139" w:rsidRPr="00624139" w:rsidRDefault="00624139" w:rsidP="00624139">
            <w:pPr>
              <w:spacing w:line="240" w:lineRule="auto"/>
              <w:rPr>
                <w:b/>
                <w:bCs/>
              </w:rPr>
            </w:pPr>
            <w:r w:rsidRPr="00624139">
              <w:rPr>
                <w:b/>
                <w:bCs/>
              </w:rPr>
              <w:t>Definition and Significance</w:t>
            </w:r>
          </w:p>
        </w:tc>
        <w:tc>
          <w:tcPr>
            <w:tcW w:w="0" w:type="auto"/>
            <w:vAlign w:val="center"/>
            <w:hideMark/>
          </w:tcPr>
          <w:p w14:paraId="45A27F2C" w14:textId="77777777" w:rsidR="00624139" w:rsidRPr="00624139" w:rsidRDefault="00624139" w:rsidP="00624139">
            <w:pPr>
              <w:spacing w:line="240" w:lineRule="auto"/>
              <w:rPr>
                <w:b/>
                <w:bCs/>
              </w:rPr>
            </w:pPr>
            <w:r w:rsidRPr="00624139">
              <w:rPr>
                <w:b/>
                <w:bCs/>
              </w:rPr>
              <w:t>Source(s)</w:t>
            </w:r>
          </w:p>
        </w:tc>
      </w:tr>
      <w:tr w:rsidR="00624139" w:rsidRPr="00624139" w14:paraId="09B2CCA3" w14:textId="77777777">
        <w:trPr>
          <w:tblCellSpacing w:w="15" w:type="dxa"/>
        </w:trPr>
        <w:tc>
          <w:tcPr>
            <w:tcW w:w="0" w:type="auto"/>
            <w:vAlign w:val="center"/>
            <w:hideMark/>
          </w:tcPr>
          <w:p w14:paraId="3A32CAA0" w14:textId="77777777" w:rsidR="00624139" w:rsidRPr="00624139" w:rsidRDefault="00624139" w:rsidP="00624139">
            <w:pPr>
              <w:spacing w:line="240" w:lineRule="auto"/>
            </w:pPr>
            <w:r w:rsidRPr="00624139">
              <w:rPr>
                <w:b/>
                <w:bCs/>
              </w:rPr>
              <w:t>Quality</w:t>
            </w:r>
          </w:p>
        </w:tc>
        <w:tc>
          <w:tcPr>
            <w:tcW w:w="0" w:type="auto"/>
            <w:vAlign w:val="center"/>
            <w:hideMark/>
          </w:tcPr>
          <w:p w14:paraId="49943357" w14:textId="77777777" w:rsidR="00624139" w:rsidRPr="00624139" w:rsidRDefault="00624139" w:rsidP="00624139">
            <w:pPr>
              <w:spacing w:line="240" w:lineRule="auto"/>
            </w:pPr>
            <w:r w:rsidRPr="00624139">
              <w:t xml:space="preserve">A dynamic concept going beyond mere enrolment or completion. It involves achieving </w:t>
            </w:r>
            <w:r w:rsidRPr="00624139">
              <w:rPr>
                <w:b/>
                <w:bCs/>
              </w:rPr>
              <w:t>relevant and effective learning outcomes</w:t>
            </w:r>
            <w:r w:rsidRPr="00624139">
              <w:t xml:space="preserve">, developing </w:t>
            </w:r>
            <w:r w:rsidRPr="00624139">
              <w:rPr>
                <w:b/>
                <w:bCs/>
              </w:rPr>
              <w:t>foundational skills</w:t>
            </w:r>
            <w:r w:rsidRPr="00624139">
              <w:t xml:space="preserve"> (literacy/numeracy), and promoting creative, emotional, problem-solving, and social skills. Quality education must be supported by </w:t>
            </w:r>
            <w:r w:rsidRPr="00624139">
              <w:rPr>
                <w:b/>
                <w:bCs/>
              </w:rPr>
              <w:t>well-qualified and motivated teachers</w:t>
            </w:r>
            <w:r w:rsidRPr="00624139">
              <w:t xml:space="preserve"> in </w:t>
            </w:r>
            <w:r w:rsidRPr="00624139">
              <w:rPr>
                <w:b/>
                <w:bCs/>
              </w:rPr>
              <w:t>safe, healthy, gender-responsive, and adequately resourced environments</w:t>
            </w:r>
            <w:r w:rsidRPr="00624139">
              <w:t>.</w:t>
            </w:r>
          </w:p>
        </w:tc>
        <w:tc>
          <w:tcPr>
            <w:tcW w:w="0" w:type="auto"/>
            <w:vAlign w:val="center"/>
            <w:hideMark/>
          </w:tcPr>
          <w:p w14:paraId="55827AED" w14:textId="77777777" w:rsidR="00624139" w:rsidRPr="00624139" w:rsidRDefault="00624139" w:rsidP="00624139">
            <w:pPr>
              <w:spacing w:line="240" w:lineRule="auto"/>
            </w:pPr>
          </w:p>
        </w:tc>
      </w:tr>
      <w:tr w:rsidR="00624139" w:rsidRPr="00624139" w14:paraId="50A1B7F6" w14:textId="77777777">
        <w:trPr>
          <w:tblCellSpacing w:w="15" w:type="dxa"/>
        </w:trPr>
        <w:tc>
          <w:tcPr>
            <w:tcW w:w="0" w:type="auto"/>
            <w:vAlign w:val="center"/>
            <w:hideMark/>
          </w:tcPr>
          <w:p w14:paraId="2B614A54" w14:textId="77777777" w:rsidR="00624139" w:rsidRPr="00624139" w:rsidRDefault="00624139" w:rsidP="00624139">
            <w:pPr>
              <w:spacing w:line="240" w:lineRule="auto"/>
            </w:pPr>
            <w:r w:rsidRPr="00624139">
              <w:rPr>
                <w:b/>
                <w:bCs/>
              </w:rPr>
              <w:t>Inclusive</w:t>
            </w:r>
          </w:p>
        </w:tc>
        <w:tc>
          <w:tcPr>
            <w:tcW w:w="0" w:type="auto"/>
            <w:vAlign w:val="center"/>
            <w:hideMark/>
          </w:tcPr>
          <w:p w14:paraId="4E6D4C6F" w14:textId="77777777" w:rsidR="00624139" w:rsidRPr="00624139" w:rsidRDefault="00624139" w:rsidP="00624139">
            <w:pPr>
              <w:spacing w:line="240" w:lineRule="auto"/>
            </w:pPr>
            <w:r w:rsidRPr="00624139">
              <w:t xml:space="preserve">A process aimed at overcoming barriers that limit the </w:t>
            </w:r>
            <w:r w:rsidRPr="00624139">
              <w:rPr>
                <w:b/>
                <w:bCs/>
              </w:rPr>
              <w:t>presence, participation, and achievement</w:t>
            </w:r>
            <w:r w:rsidRPr="00624139">
              <w:t xml:space="preserve"> of all learners. It ensures full participation and access to quality learning, particularly for vulnerable populations, including poor children, rural children, persons with disabilities, indigenous people, and refugee children.</w:t>
            </w:r>
          </w:p>
        </w:tc>
        <w:tc>
          <w:tcPr>
            <w:tcW w:w="0" w:type="auto"/>
            <w:vAlign w:val="center"/>
            <w:hideMark/>
          </w:tcPr>
          <w:p w14:paraId="521A28F2" w14:textId="77777777" w:rsidR="00624139" w:rsidRPr="00624139" w:rsidRDefault="00624139" w:rsidP="00624139">
            <w:pPr>
              <w:spacing w:line="240" w:lineRule="auto"/>
            </w:pPr>
          </w:p>
        </w:tc>
      </w:tr>
      <w:tr w:rsidR="00624139" w:rsidRPr="00624139" w14:paraId="7949B6ED" w14:textId="77777777">
        <w:trPr>
          <w:tblCellSpacing w:w="15" w:type="dxa"/>
        </w:trPr>
        <w:tc>
          <w:tcPr>
            <w:tcW w:w="0" w:type="auto"/>
            <w:vAlign w:val="center"/>
            <w:hideMark/>
          </w:tcPr>
          <w:p w14:paraId="671B2F5B" w14:textId="77777777" w:rsidR="00624139" w:rsidRPr="00624139" w:rsidRDefault="00624139" w:rsidP="00624139">
            <w:pPr>
              <w:spacing w:line="240" w:lineRule="auto"/>
            </w:pPr>
            <w:r w:rsidRPr="00624139">
              <w:rPr>
                <w:b/>
                <w:bCs/>
              </w:rPr>
              <w:t>Equitable</w:t>
            </w:r>
          </w:p>
        </w:tc>
        <w:tc>
          <w:tcPr>
            <w:tcW w:w="0" w:type="auto"/>
            <w:vAlign w:val="center"/>
            <w:hideMark/>
          </w:tcPr>
          <w:p w14:paraId="18F4B1D8" w14:textId="77777777" w:rsidR="00624139" w:rsidRPr="00624139" w:rsidRDefault="00624139" w:rsidP="00624139">
            <w:pPr>
              <w:spacing w:line="240" w:lineRule="auto"/>
            </w:pPr>
            <w:r w:rsidRPr="00624139">
              <w:t xml:space="preserve">The principle of fairness, ensuring that personal and social circumstances (such as gender, socio-economic status, or ethnic origin) are </w:t>
            </w:r>
            <w:r w:rsidRPr="00624139">
              <w:rPr>
                <w:b/>
                <w:bCs/>
              </w:rPr>
              <w:t>not a barrier</w:t>
            </w:r>
            <w:r w:rsidRPr="00624139">
              <w:t xml:space="preserve"> to achieving educational potential.</w:t>
            </w:r>
          </w:p>
        </w:tc>
        <w:tc>
          <w:tcPr>
            <w:tcW w:w="0" w:type="auto"/>
            <w:vAlign w:val="center"/>
            <w:hideMark/>
          </w:tcPr>
          <w:p w14:paraId="7E5761A3" w14:textId="77777777" w:rsidR="00624139" w:rsidRPr="00624139" w:rsidRDefault="00624139" w:rsidP="00624139">
            <w:pPr>
              <w:spacing w:line="240" w:lineRule="auto"/>
            </w:pPr>
          </w:p>
        </w:tc>
      </w:tr>
      <w:tr w:rsidR="00624139" w:rsidRPr="00624139" w14:paraId="1BB505F9" w14:textId="77777777">
        <w:trPr>
          <w:tblCellSpacing w:w="15" w:type="dxa"/>
        </w:trPr>
        <w:tc>
          <w:tcPr>
            <w:tcW w:w="0" w:type="auto"/>
            <w:vAlign w:val="center"/>
            <w:hideMark/>
          </w:tcPr>
          <w:p w14:paraId="1BFBA719" w14:textId="77777777" w:rsidR="00624139" w:rsidRPr="00624139" w:rsidRDefault="00624139" w:rsidP="00624139">
            <w:pPr>
              <w:spacing w:line="240" w:lineRule="auto"/>
            </w:pPr>
            <w:r w:rsidRPr="00624139">
              <w:rPr>
                <w:b/>
                <w:bCs/>
              </w:rPr>
              <w:t>Lifelong Learning</w:t>
            </w:r>
          </w:p>
        </w:tc>
        <w:tc>
          <w:tcPr>
            <w:tcW w:w="0" w:type="auto"/>
            <w:vAlign w:val="center"/>
            <w:hideMark/>
          </w:tcPr>
          <w:p w14:paraId="20462D72" w14:textId="77777777" w:rsidR="00624139" w:rsidRPr="00624139" w:rsidRDefault="00624139" w:rsidP="00624139">
            <w:pPr>
              <w:spacing w:line="240" w:lineRule="auto"/>
            </w:pPr>
            <w:r w:rsidRPr="00624139">
              <w:t>Education available for every age and gender, continuing throughout life, and covering all contexts (family, school, workplace) and levels (school to higher education) through both formal and non-formal channels.</w:t>
            </w:r>
          </w:p>
        </w:tc>
        <w:tc>
          <w:tcPr>
            <w:tcW w:w="0" w:type="auto"/>
            <w:vAlign w:val="center"/>
            <w:hideMark/>
          </w:tcPr>
          <w:p w14:paraId="3F4A2D34" w14:textId="77777777" w:rsidR="00624139" w:rsidRPr="00624139" w:rsidRDefault="00624139" w:rsidP="00624139">
            <w:pPr>
              <w:spacing w:line="240" w:lineRule="auto"/>
            </w:pPr>
          </w:p>
        </w:tc>
      </w:tr>
    </w:tbl>
    <w:p w14:paraId="0AB2F262" w14:textId="77777777" w:rsidR="00624139" w:rsidRPr="00624139" w:rsidRDefault="00624139" w:rsidP="00624139">
      <w:pPr>
        <w:spacing w:line="240" w:lineRule="auto"/>
      </w:pPr>
      <w:r w:rsidRPr="00624139">
        <w:rPr>
          <w:b/>
          <w:bCs/>
        </w:rPr>
        <w:t>Transformative Role of SDG 4:</w:t>
      </w:r>
      <w:r w:rsidRPr="00624139">
        <w:t xml:space="preserve"> Education is one of the most powerful and proven tools for sustainable development. It is critical because it enables upward socioeconomic mobility, helps break the cycle of poverty, and empowers recipients with skills and competencies for socio-economic transformation. Furthermore, progress in education is linked to improvements in other areas like health outcomes, gender equality, reduced fertility rates, and improved civic capacity.</w:t>
      </w:r>
    </w:p>
    <w:p w14:paraId="0E0953AD" w14:textId="77777777" w:rsidR="00624139" w:rsidRPr="00624139" w:rsidRDefault="00624139" w:rsidP="00624139">
      <w:pPr>
        <w:spacing w:line="240" w:lineRule="auto"/>
        <w:rPr>
          <w:b/>
          <w:bCs/>
        </w:rPr>
      </w:pPr>
      <w:r w:rsidRPr="00624139">
        <w:rPr>
          <w:b/>
          <w:bCs/>
        </w:rPr>
        <w:t>2. SDG 4: Goals and Targets</w:t>
      </w:r>
    </w:p>
    <w:p w14:paraId="16DBBE8F" w14:textId="77777777" w:rsidR="00624139" w:rsidRPr="00624139" w:rsidRDefault="00624139" w:rsidP="00624139">
      <w:pPr>
        <w:spacing w:line="240" w:lineRule="auto"/>
      </w:pPr>
      <w:r w:rsidRPr="00624139">
        <w:t xml:space="preserve">SDG 4 consists of </w:t>
      </w:r>
      <w:r w:rsidRPr="00624139">
        <w:rPr>
          <w:b/>
          <w:bCs/>
        </w:rPr>
        <w:t>10 targets</w:t>
      </w:r>
      <w:r w:rsidRPr="00624139">
        <w:t xml:space="preserve">: 7 are </w:t>
      </w:r>
      <w:r w:rsidRPr="00624139">
        <w:rPr>
          <w:b/>
          <w:bCs/>
        </w:rPr>
        <w:t>Outcome Targets</w:t>
      </w:r>
      <w:r w:rsidRPr="00624139">
        <w:t xml:space="preserve"> (4.1 through 4.7) and 3 are </w:t>
      </w:r>
      <w:r w:rsidRPr="00624139">
        <w:rPr>
          <w:b/>
          <w:bCs/>
        </w:rPr>
        <w:t>Means of Implementation Targets</w:t>
      </w:r>
      <w:r w:rsidRPr="00624139">
        <w:t xml:space="preserve"> (4.a, 4.b, and 4.c).</w:t>
      </w:r>
    </w:p>
    <w:p w14:paraId="072A3BF6" w14:textId="77777777" w:rsidR="00624139" w:rsidRPr="00624139" w:rsidRDefault="00624139" w:rsidP="00624139">
      <w:pPr>
        <w:spacing w:line="240" w:lineRule="auto"/>
        <w:rPr>
          <w:b/>
          <w:bCs/>
        </w:rPr>
      </w:pPr>
      <w:r w:rsidRPr="00624139">
        <w:rPr>
          <w:b/>
          <w:bCs/>
        </w:rPr>
        <w:t>Outcome Targets (Goals to be Achieved by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
        <w:gridCol w:w="3241"/>
        <w:gridCol w:w="2248"/>
        <w:gridCol w:w="2897"/>
      </w:tblGrid>
      <w:tr w:rsidR="00624139" w:rsidRPr="00624139" w14:paraId="5926872B" w14:textId="77777777">
        <w:trPr>
          <w:tblCellSpacing w:w="15" w:type="dxa"/>
        </w:trPr>
        <w:tc>
          <w:tcPr>
            <w:tcW w:w="0" w:type="auto"/>
            <w:vAlign w:val="center"/>
            <w:hideMark/>
          </w:tcPr>
          <w:p w14:paraId="7A4AEED5" w14:textId="77777777" w:rsidR="00624139" w:rsidRPr="00624139" w:rsidRDefault="00624139" w:rsidP="00624139">
            <w:pPr>
              <w:spacing w:line="240" w:lineRule="auto"/>
              <w:rPr>
                <w:b/>
                <w:bCs/>
              </w:rPr>
            </w:pPr>
            <w:r w:rsidRPr="00624139">
              <w:rPr>
                <w:b/>
                <w:bCs/>
              </w:rPr>
              <w:t>Target</w:t>
            </w:r>
          </w:p>
        </w:tc>
        <w:tc>
          <w:tcPr>
            <w:tcW w:w="0" w:type="auto"/>
            <w:vAlign w:val="center"/>
            <w:hideMark/>
          </w:tcPr>
          <w:p w14:paraId="27B95080" w14:textId="77777777" w:rsidR="00624139" w:rsidRPr="00624139" w:rsidRDefault="00624139" w:rsidP="00624139">
            <w:pPr>
              <w:spacing w:line="240" w:lineRule="auto"/>
              <w:rPr>
                <w:b/>
                <w:bCs/>
              </w:rPr>
            </w:pPr>
            <w:r w:rsidRPr="00624139">
              <w:rPr>
                <w:b/>
                <w:bCs/>
              </w:rPr>
              <w:t>Description</w:t>
            </w:r>
          </w:p>
        </w:tc>
        <w:tc>
          <w:tcPr>
            <w:tcW w:w="0" w:type="auto"/>
            <w:vAlign w:val="center"/>
            <w:hideMark/>
          </w:tcPr>
          <w:p w14:paraId="0B52005E" w14:textId="77777777" w:rsidR="00624139" w:rsidRPr="00624139" w:rsidRDefault="00624139" w:rsidP="00624139">
            <w:pPr>
              <w:spacing w:line="240" w:lineRule="auto"/>
              <w:rPr>
                <w:b/>
                <w:bCs/>
              </w:rPr>
            </w:pPr>
            <w:r w:rsidRPr="00624139">
              <w:rPr>
                <w:b/>
                <w:bCs/>
              </w:rPr>
              <w:t>Key Focus/Scope</w:t>
            </w:r>
          </w:p>
        </w:tc>
        <w:tc>
          <w:tcPr>
            <w:tcW w:w="0" w:type="auto"/>
            <w:vAlign w:val="center"/>
            <w:hideMark/>
          </w:tcPr>
          <w:p w14:paraId="63E4BCA9" w14:textId="77777777" w:rsidR="00624139" w:rsidRPr="00624139" w:rsidRDefault="00624139" w:rsidP="00624139">
            <w:pPr>
              <w:spacing w:line="240" w:lineRule="auto"/>
              <w:rPr>
                <w:b/>
                <w:bCs/>
              </w:rPr>
            </w:pPr>
            <w:r w:rsidRPr="00624139">
              <w:rPr>
                <w:b/>
                <w:bCs/>
              </w:rPr>
              <w:t>Relevant Global Indicators (Examples)</w:t>
            </w:r>
          </w:p>
        </w:tc>
      </w:tr>
      <w:tr w:rsidR="00624139" w:rsidRPr="00624139" w14:paraId="641C9DE4" w14:textId="77777777">
        <w:trPr>
          <w:tblCellSpacing w:w="15" w:type="dxa"/>
        </w:trPr>
        <w:tc>
          <w:tcPr>
            <w:tcW w:w="0" w:type="auto"/>
            <w:vAlign w:val="center"/>
            <w:hideMark/>
          </w:tcPr>
          <w:p w14:paraId="361C6C6A" w14:textId="77777777" w:rsidR="00624139" w:rsidRPr="00624139" w:rsidRDefault="00624139" w:rsidP="00624139">
            <w:pPr>
              <w:spacing w:line="240" w:lineRule="auto"/>
            </w:pPr>
            <w:r w:rsidRPr="00624139">
              <w:rPr>
                <w:b/>
                <w:bCs/>
              </w:rPr>
              <w:t>4.1</w:t>
            </w:r>
          </w:p>
        </w:tc>
        <w:tc>
          <w:tcPr>
            <w:tcW w:w="0" w:type="auto"/>
            <w:vAlign w:val="center"/>
            <w:hideMark/>
          </w:tcPr>
          <w:p w14:paraId="7B77F8A5" w14:textId="77777777" w:rsidR="00624139" w:rsidRPr="00624139" w:rsidRDefault="00624139" w:rsidP="00624139">
            <w:pPr>
              <w:spacing w:line="240" w:lineRule="auto"/>
            </w:pPr>
            <w:r w:rsidRPr="00624139">
              <w:rPr>
                <w:b/>
                <w:bCs/>
              </w:rPr>
              <w:t>Primary and Secondary Education:</w:t>
            </w:r>
            <w:r w:rsidRPr="00624139">
              <w:t xml:space="preserve"> Ensure all girls and boys complete </w:t>
            </w:r>
            <w:r w:rsidRPr="00624139">
              <w:rPr>
                <w:b/>
                <w:bCs/>
              </w:rPr>
              <w:t>free, equitable, and quality primary and secondary education</w:t>
            </w:r>
            <w:r w:rsidRPr="00624139">
              <w:t xml:space="preserve"> </w:t>
            </w:r>
            <w:r w:rsidRPr="00624139">
              <w:lastRenderedPageBreak/>
              <w:t>leading to relevant and effective learning outcomes.</w:t>
            </w:r>
          </w:p>
        </w:tc>
        <w:tc>
          <w:tcPr>
            <w:tcW w:w="0" w:type="auto"/>
            <w:vAlign w:val="center"/>
            <w:hideMark/>
          </w:tcPr>
          <w:p w14:paraId="448ABF7D" w14:textId="77777777" w:rsidR="00624139" w:rsidRPr="00624139" w:rsidRDefault="00624139" w:rsidP="00624139">
            <w:pPr>
              <w:spacing w:line="240" w:lineRule="auto"/>
            </w:pPr>
            <w:r w:rsidRPr="00624139">
              <w:lastRenderedPageBreak/>
              <w:t>Completion of 12 years of schooling and minimum proficiency in core subjects.</w:t>
            </w:r>
          </w:p>
        </w:tc>
        <w:tc>
          <w:tcPr>
            <w:tcW w:w="0" w:type="auto"/>
            <w:vAlign w:val="center"/>
            <w:hideMark/>
          </w:tcPr>
          <w:p w14:paraId="19E0E778" w14:textId="77777777" w:rsidR="00624139" w:rsidRPr="00624139" w:rsidRDefault="00624139" w:rsidP="00624139">
            <w:pPr>
              <w:spacing w:line="240" w:lineRule="auto"/>
            </w:pPr>
            <w:r w:rsidRPr="00624139">
              <w:t xml:space="preserve">Proportion achieving minimum proficiency in </w:t>
            </w:r>
            <w:r w:rsidRPr="00624139">
              <w:rPr>
                <w:b/>
                <w:bCs/>
              </w:rPr>
              <w:t>reading</w:t>
            </w:r>
            <w:r w:rsidRPr="00624139">
              <w:t xml:space="preserve"> and </w:t>
            </w:r>
            <w:r w:rsidRPr="00624139">
              <w:rPr>
                <w:b/>
                <w:bCs/>
              </w:rPr>
              <w:t>mathematics</w:t>
            </w:r>
            <w:r w:rsidRPr="00624139">
              <w:t xml:space="preserve"> (grades 2/3, end of primary, end of lower secondary); </w:t>
            </w:r>
            <w:r w:rsidRPr="00624139">
              <w:rPr>
                <w:b/>
                <w:bCs/>
              </w:rPr>
              <w:t>Completion rate</w:t>
            </w:r>
            <w:r w:rsidRPr="00624139">
              <w:t xml:space="preserve"> </w:t>
            </w:r>
            <w:r w:rsidRPr="00624139">
              <w:lastRenderedPageBreak/>
              <w:t>(primary, lower secondary, upper secondary).</w:t>
            </w:r>
          </w:p>
        </w:tc>
      </w:tr>
      <w:tr w:rsidR="00624139" w:rsidRPr="00624139" w14:paraId="439723E6" w14:textId="77777777">
        <w:trPr>
          <w:tblCellSpacing w:w="15" w:type="dxa"/>
        </w:trPr>
        <w:tc>
          <w:tcPr>
            <w:tcW w:w="0" w:type="auto"/>
            <w:vAlign w:val="center"/>
            <w:hideMark/>
          </w:tcPr>
          <w:p w14:paraId="38E20F9E" w14:textId="77777777" w:rsidR="00624139" w:rsidRPr="00624139" w:rsidRDefault="00624139" w:rsidP="00624139">
            <w:pPr>
              <w:spacing w:line="240" w:lineRule="auto"/>
            </w:pPr>
            <w:r w:rsidRPr="00624139">
              <w:rPr>
                <w:b/>
                <w:bCs/>
              </w:rPr>
              <w:lastRenderedPageBreak/>
              <w:t>4.2</w:t>
            </w:r>
          </w:p>
        </w:tc>
        <w:tc>
          <w:tcPr>
            <w:tcW w:w="0" w:type="auto"/>
            <w:vAlign w:val="center"/>
            <w:hideMark/>
          </w:tcPr>
          <w:p w14:paraId="537DE76E" w14:textId="77777777" w:rsidR="00624139" w:rsidRPr="00624139" w:rsidRDefault="00624139" w:rsidP="00624139">
            <w:pPr>
              <w:spacing w:line="240" w:lineRule="auto"/>
            </w:pPr>
            <w:r w:rsidRPr="00624139">
              <w:rPr>
                <w:b/>
                <w:bCs/>
              </w:rPr>
              <w:t>Early Childhood Development (ECD):</w:t>
            </w:r>
            <w:r w:rsidRPr="00624139">
              <w:t xml:space="preserve"> Ensure all girls and boys have access to quality ECD, care, and </w:t>
            </w:r>
            <w:r w:rsidRPr="00624139">
              <w:rPr>
                <w:b/>
                <w:bCs/>
              </w:rPr>
              <w:t>pre-primary education</w:t>
            </w:r>
            <w:r w:rsidRPr="00624139">
              <w:t xml:space="preserve"> so they are ready for primary education.</w:t>
            </w:r>
          </w:p>
        </w:tc>
        <w:tc>
          <w:tcPr>
            <w:tcW w:w="0" w:type="auto"/>
            <w:vAlign w:val="center"/>
            <w:hideMark/>
          </w:tcPr>
          <w:p w14:paraId="2024484C" w14:textId="77777777" w:rsidR="00624139" w:rsidRPr="00624139" w:rsidRDefault="00624139" w:rsidP="00624139">
            <w:pPr>
              <w:spacing w:line="240" w:lineRule="auto"/>
            </w:pPr>
            <w:r w:rsidRPr="00624139">
              <w:t>Readiness for primary school and holistic development (health, learning, psychosocial well-being).</w:t>
            </w:r>
          </w:p>
        </w:tc>
        <w:tc>
          <w:tcPr>
            <w:tcW w:w="0" w:type="auto"/>
            <w:vAlign w:val="center"/>
            <w:hideMark/>
          </w:tcPr>
          <w:p w14:paraId="2AF63D37" w14:textId="77777777" w:rsidR="00624139" w:rsidRPr="00624139" w:rsidRDefault="00624139" w:rsidP="00624139">
            <w:pPr>
              <w:spacing w:line="240" w:lineRule="auto"/>
            </w:pPr>
            <w:r w:rsidRPr="00624139">
              <w:t xml:space="preserve">Proportion of children (aged 24-59 months) </w:t>
            </w:r>
            <w:r w:rsidRPr="00624139">
              <w:rPr>
                <w:b/>
                <w:bCs/>
              </w:rPr>
              <w:t>developmentally on track</w:t>
            </w:r>
            <w:r w:rsidRPr="00624139">
              <w:t xml:space="preserve"> in health, learning, and psychosocial well-being; </w:t>
            </w:r>
            <w:r w:rsidRPr="00624139">
              <w:rPr>
                <w:b/>
                <w:bCs/>
              </w:rPr>
              <w:t>Participation rate in organized learning</w:t>
            </w:r>
            <w:r w:rsidRPr="00624139">
              <w:t xml:space="preserve"> one year before official primary entry age.</w:t>
            </w:r>
          </w:p>
        </w:tc>
      </w:tr>
      <w:tr w:rsidR="00624139" w:rsidRPr="00624139" w14:paraId="3A884D89" w14:textId="77777777">
        <w:trPr>
          <w:tblCellSpacing w:w="15" w:type="dxa"/>
        </w:trPr>
        <w:tc>
          <w:tcPr>
            <w:tcW w:w="0" w:type="auto"/>
            <w:vAlign w:val="center"/>
            <w:hideMark/>
          </w:tcPr>
          <w:p w14:paraId="1848FBE2" w14:textId="77777777" w:rsidR="00624139" w:rsidRPr="00624139" w:rsidRDefault="00624139" w:rsidP="00624139">
            <w:pPr>
              <w:spacing w:line="240" w:lineRule="auto"/>
            </w:pPr>
            <w:r w:rsidRPr="00624139">
              <w:rPr>
                <w:b/>
                <w:bCs/>
              </w:rPr>
              <w:t>4.3</w:t>
            </w:r>
          </w:p>
        </w:tc>
        <w:tc>
          <w:tcPr>
            <w:tcW w:w="0" w:type="auto"/>
            <w:vAlign w:val="center"/>
            <w:hideMark/>
          </w:tcPr>
          <w:p w14:paraId="42F3D1F6" w14:textId="77777777" w:rsidR="00624139" w:rsidRPr="00624139" w:rsidRDefault="00624139" w:rsidP="00624139">
            <w:pPr>
              <w:spacing w:line="240" w:lineRule="auto"/>
            </w:pPr>
            <w:r w:rsidRPr="00624139">
              <w:rPr>
                <w:b/>
                <w:bCs/>
              </w:rPr>
              <w:t>Technical, Vocational, and Higher Education:</w:t>
            </w:r>
            <w:r w:rsidRPr="00624139">
              <w:t xml:space="preserve"> Ensure equal access for all women and men to </w:t>
            </w:r>
            <w:r w:rsidRPr="00624139">
              <w:rPr>
                <w:b/>
                <w:bCs/>
              </w:rPr>
              <w:t>affordable and quality technical, vocational, and tertiary education</w:t>
            </w:r>
            <w:r w:rsidRPr="00624139">
              <w:t>, including university.</w:t>
            </w:r>
          </w:p>
        </w:tc>
        <w:tc>
          <w:tcPr>
            <w:tcW w:w="0" w:type="auto"/>
            <w:vAlign w:val="center"/>
            <w:hideMark/>
          </w:tcPr>
          <w:p w14:paraId="1ECAA170" w14:textId="77777777" w:rsidR="00624139" w:rsidRPr="00624139" w:rsidRDefault="00624139" w:rsidP="00624139">
            <w:pPr>
              <w:spacing w:line="240" w:lineRule="auto"/>
            </w:pPr>
            <w:r w:rsidRPr="00624139">
              <w:t>Equal access to post-compulsory, lifelong learning opportunities.</w:t>
            </w:r>
          </w:p>
        </w:tc>
        <w:tc>
          <w:tcPr>
            <w:tcW w:w="0" w:type="auto"/>
            <w:vAlign w:val="center"/>
            <w:hideMark/>
          </w:tcPr>
          <w:p w14:paraId="5E9FFBB6" w14:textId="77777777" w:rsidR="00624139" w:rsidRPr="00624139" w:rsidRDefault="00624139" w:rsidP="00624139">
            <w:pPr>
              <w:spacing w:line="240" w:lineRule="auto"/>
            </w:pPr>
            <w:r w:rsidRPr="00624139">
              <w:rPr>
                <w:b/>
                <w:bCs/>
              </w:rPr>
              <w:t>Participation rate</w:t>
            </w:r>
            <w:r w:rsidRPr="00624139">
              <w:t xml:space="preserve"> of youth and adults in formal and non-formal education and training.</w:t>
            </w:r>
          </w:p>
        </w:tc>
      </w:tr>
      <w:tr w:rsidR="00624139" w:rsidRPr="00624139" w14:paraId="277AE279" w14:textId="77777777">
        <w:trPr>
          <w:tblCellSpacing w:w="15" w:type="dxa"/>
        </w:trPr>
        <w:tc>
          <w:tcPr>
            <w:tcW w:w="0" w:type="auto"/>
            <w:vAlign w:val="center"/>
            <w:hideMark/>
          </w:tcPr>
          <w:p w14:paraId="1A134123" w14:textId="77777777" w:rsidR="00624139" w:rsidRPr="00624139" w:rsidRDefault="00624139" w:rsidP="00624139">
            <w:pPr>
              <w:spacing w:line="240" w:lineRule="auto"/>
            </w:pPr>
            <w:r w:rsidRPr="00624139">
              <w:rPr>
                <w:b/>
                <w:bCs/>
              </w:rPr>
              <w:t>4.4</w:t>
            </w:r>
          </w:p>
        </w:tc>
        <w:tc>
          <w:tcPr>
            <w:tcW w:w="0" w:type="auto"/>
            <w:vAlign w:val="center"/>
            <w:hideMark/>
          </w:tcPr>
          <w:p w14:paraId="6FB69050" w14:textId="77777777" w:rsidR="00624139" w:rsidRPr="00624139" w:rsidRDefault="00624139" w:rsidP="00624139">
            <w:pPr>
              <w:spacing w:line="240" w:lineRule="auto"/>
            </w:pPr>
            <w:r w:rsidRPr="00624139">
              <w:rPr>
                <w:b/>
                <w:bCs/>
              </w:rPr>
              <w:t>Relevant Skills for Work:</w:t>
            </w:r>
            <w:r w:rsidRPr="00624139">
              <w:t xml:space="preserve"> Substantially increase the number of youth and adults who have </w:t>
            </w:r>
            <w:r w:rsidRPr="00624139">
              <w:rPr>
                <w:b/>
                <w:bCs/>
              </w:rPr>
              <w:t>relevant skills</w:t>
            </w:r>
            <w:r w:rsidRPr="00624139">
              <w:t>, including technical and vocational skills, for employment, decent jobs, and entrepreneurship.</w:t>
            </w:r>
          </w:p>
        </w:tc>
        <w:tc>
          <w:tcPr>
            <w:tcW w:w="0" w:type="auto"/>
            <w:vAlign w:val="center"/>
            <w:hideMark/>
          </w:tcPr>
          <w:p w14:paraId="49CB3A88" w14:textId="77777777" w:rsidR="00624139" w:rsidRPr="00624139" w:rsidRDefault="00624139" w:rsidP="00624139">
            <w:pPr>
              <w:spacing w:line="240" w:lineRule="auto"/>
            </w:pPr>
            <w:r w:rsidRPr="00624139">
              <w:t>Acquisition of skills beyond literacy/numeracy needed for the modern economy.</w:t>
            </w:r>
          </w:p>
        </w:tc>
        <w:tc>
          <w:tcPr>
            <w:tcW w:w="0" w:type="auto"/>
            <w:vAlign w:val="center"/>
            <w:hideMark/>
          </w:tcPr>
          <w:p w14:paraId="14915BC9" w14:textId="77777777" w:rsidR="00624139" w:rsidRPr="00624139" w:rsidRDefault="00624139" w:rsidP="00624139">
            <w:pPr>
              <w:spacing w:line="240" w:lineRule="auto"/>
            </w:pPr>
            <w:r w:rsidRPr="00624139">
              <w:t xml:space="preserve">Proportion of youth and adults with </w:t>
            </w:r>
            <w:r w:rsidRPr="00624139">
              <w:rPr>
                <w:b/>
                <w:bCs/>
              </w:rPr>
              <w:t>Information and Communications Technology (ICT) skills</w:t>
            </w:r>
            <w:r w:rsidRPr="00624139">
              <w:t>.</w:t>
            </w:r>
          </w:p>
        </w:tc>
      </w:tr>
      <w:tr w:rsidR="00624139" w:rsidRPr="00624139" w14:paraId="583B615D" w14:textId="77777777">
        <w:trPr>
          <w:tblCellSpacing w:w="15" w:type="dxa"/>
        </w:trPr>
        <w:tc>
          <w:tcPr>
            <w:tcW w:w="0" w:type="auto"/>
            <w:vAlign w:val="center"/>
            <w:hideMark/>
          </w:tcPr>
          <w:p w14:paraId="304EF521" w14:textId="77777777" w:rsidR="00624139" w:rsidRPr="00624139" w:rsidRDefault="00624139" w:rsidP="00624139">
            <w:pPr>
              <w:spacing w:line="240" w:lineRule="auto"/>
            </w:pPr>
            <w:r w:rsidRPr="00624139">
              <w:rPr>
                <w:b/>
                <w:bCs/>
              </w:rPr>
              <w:t>4.5</w:t>
            </w:r>
          </w:p>
        </w:tc>
        <w:tc>
          <w:tcPr>
            <w:tcW w:w="0" w:type="auto"/>
            <w:vAlign w:val="center"/>
            <w:hideMark/>
          </w:tcPr>
          <w:p w14:paraId="601EBD2A" w14:textId="77777777" w:rsidR="00624139" w:rsidRPr="00624139" w:rsidRDefault="00624139" w:rsidP="00624139">
            <w:pPr>
              <w:spacing w:line="240" w:lineRule="auto"/>
            </w:pPr>
            <w:r w:rsidRPr="00624139">
              <w:rPr>
                <w:b/>
                <w:bCs/>
              </w:rPr>
              <w:t>Eliminate Discrimination:</w:t>
            </w:r>
            <w:r w:rsidRPr="00624139">
              <w:t xml:space="preserve"> Eliminate gender disparities and ensure equal access to all levels for the vulnerable, including </w:t>
            </w:r>
            <w:r w:rsidRPr="00624139">
              <w:rPr>
                <w:b/>
                <w:bCs/>
              </w:rPr>
              <w:t>persons with disabilities, indigenous peoples, and children in vulnerable situations</w:t>
            </w:r>
            <w:r w:rsidRPr="00624139">
              <w:t>.</w:t>
            </w:r>
          </w:p>
        </w:tc>
        <w:tc>
          <w:tcPr>
            <w:tcW w:w="0" w:type="auto"/>
            <w:vAlign w:val="center"/>
            <w:hideMark/>
          </w:tcPr>
          <w:p w14:paraId="164BEDB8" w14:textId="77777777" w:rsidR="00624139" w:rsidRPr="00624139" w:rsidRDefault="00624139" w:rsidP="00624139">
            <w:pPr>
              <w:spacing w:line="240" w:lineRule="auto"/>
            </w:pPr>
            <w:r w:rsidRPr="00624139">
              <w:t>Ensuring equity across various demographic and vulnerability dimensions.</w:t>
            </w:r>
          </w:p>
        </w:tc>
        <w:tc>
          <w:tcPr>
            <w:tcW w:w="0" w:type="auto"/>
            <w:vAlign w:val="center"/>
            <w:hideMark/>
          </w:tcPr>
          <w:p w14:paraId="79EB702D" w14:textId="77777777" w:rsidR="00624139" w:rsidRPr="00624139" w:rsidRDefault="00624139" w:rsidP="00624139">
            <w:pPr>
              <w:spacing w:line="240" w:lineRule="auto"/>
            </w:pPr>
            <w:r w:rsidRPr="00624139">
              <w:rPr>
                <w:b/>
                <w:bCs/>
              </w:rPr>
              <w:t>Parity indices</w:t>
            </w:r>
            <w:r w:rsidRPr="00624139">
              <w:t xml:space="preserve"> (e.g., female/male, rural/urban, bottom/top wealth quintile, disability status) for all education indicators.</w:t>
            </w:r>
          </w:p>
        </w:tc>
      </w:tr>
      <w:tr w:rsidR="00624139" w:rsidRPr="00624139" w14:paraId="3F468528" w14:textId="77777777">
        <w:trPr>
          <w:tblCellSpacing w:w="15" w:type="dxa"/>
        </w:trPr>
        <w:tc>
          <w:tcPr>
            <w:tcW w:w="0" w:type="auto"/>
            <w:vAlign w:val="center"/>
            <w:hideMark/>
          </w:tcPr>
          <w:p w14:paraId="7912FFBA" w14:textId="77777777" w:rsidR="00624139" w:rsidRPr="00624139" w:rsidRDefault="00624139" w:rsidP="00624139">
            <w:pPr>
              <w:spacing w:line="240" w:lineRule="auto"/>
            </w:pPr>
            <w:r w:rsidRPr="00624139">
              <w:rPr>
                <w:b/>
                <w:bCs/>
              </w:rPr>
              <w:t>4.6</w:t>
            </w:r>
          </w:p>
        </w:tc>
        <w:tc>
          <w:tcPr>
            <w:tcW w:w="0" w:type="auto"/>
            <w:vAlign w:val="center"/>
            <w:hideMark/>
          </w:tcPr>
          <w:p w14:paraId="68E985B1" w14:textId="77777777" w:rsidR="00624139" w:rsidRPr="00624139" w:rsidRDefault="00624139" w:rsidP="00624139">
            <w:pPr>
              <w:spacing w:line="240" w:lineRule="auto"/>
            </w:pPr>
            <w:r w:rsidRPr="00624139">
              <w:rPr>
                <w:b/>
                <w:bCs/>
              </w:rPr>
              <w:t>Universal Literacy and Numeracy:</w:t>
            </w:r>
            <w:r w:rsidRPr="00624139">
              <w:t xml:space="preserve"> Ensure that all youth and a substantial proportion of adults achieve </w:t>
            </w:r>
            <w:r w:rsidRPr="00624139">
              <w:rPr>
                <w:b/>
                <w:bCs/>
              </w:rPr>
              <w:t>literacy and numeracy</w:t>
            </w:r>
            <w:r w:rsidRPr="00624139">
              <w:t>.</w:t>
            </w:r>
          </w:p>
        </w:tc>
        <w:tc>
          <w:tcPr>
            <w:tcW w:w="0" w:type="auto"/>
            <w:vAlign w:val="center"/>
            <w:hideMark/>
          </w:tcPr>
          <w:p w14:paraId="61BAD2B5" w14:textId="77777777" w:rsidR="00624139" w:rsidRPr="00624139" w:rsidRDefault="00624139" w:rsidP="00624139">
            <w:pPr>
              <w:spacing w:line="240" w:lineRule="auto"/>
            </w:pPr>
            <w:r w:rsidRPr="00624139">
              <w:t>Functional basic skills for youth (age 15-24) and adults (age 15+).</w:t>
            </w:r>
          </w:p>
        </w:tc>
        <w:tc>
          <w:tcPr>
            <w:tcW w:w="0" w:type="auto"/>
            <w:vAlign w:val="center"/>
            <w:hideMark/>
          </w:tcPr>
          <w:p w14:paraId="573249D0" w14:textId="77777777" w:rsidR="00624139" w:rsidRPr="00624139" w:rsidRDefault="00624139" w:rsidP="00624139">
            <w:pPr>
              <w:spacing w:line="240" w:lineRule="auto"/>
            </w:pPr>
            <w:r w:rsidRPr="00624139">
              <w:t>Proportion of population in a given age group achieving at least a fixed level of proficiency in functional literacy and numeracy skills.</w:t>
            </w:r>
          </w:p>
        </w:tc>
      </w:tr>
      <w:tr w:rsidR="00624139" w:rsidRPr="00624139" w14:paraId="2C596EE9" w14:textId="77777777">
        <w:trPr>
          <w:tblCellSpacing w:w="15" w:type="dxa"/>
        </w:trPr>
        <w:tc>
          <w:tcPr>
            <w:tcW w:w="0" w:type="auto"/>
            <w:vAlign w:val="center"/>
            <w:hideMark/>
          </w:tcPr>
          <w:p w14:paraId="0F6F2C25" w14:textId="77777777" w:rsidR="00624139" w:rsidRPr="00624139" w:rsidRDefault="00624139" w:rsidP="00624139">
            <w:pPr>
              <w:spacing w:line="240" w:lineRule="auto"/>
            </w:pPr>
            <w:r w:rsidRPr="00624139">
              <w:rPr>
                <w:b/>
                <w:bCs/>
              </w:rPr>
              <w:t>4.7</w:t>
            </w:r>
          </w:p>
        </w:tc>
        <w:tc>
          <w:tcPr>
            <w:tcW w:w="0" w:type="auto"/>
            <w:vAlign w:val="center"/>
            <w:hideMark/>
          </w:tcPr>
          <w:p w14:paraId="36FD4E66" w14:textId="77777777" w:rsidR="00624139" w:rsidRPr="00624139" w:rsidRDefault="00624139" w:rsidP="00624139">
            <w:pPr>
              <w:spacing w:line="240" w:lineRule="auto"/>
            </w:pPr>
            <w:r w:rsidRPr="00624139">
              <w:rPr>
                <w:b/>
                <w:bCs/>
              </w:rPr>
              <w:t>Global Citizenship and Sustainable Development:</w:t>
            </w:r>
            <w:r w:rsidRPr="00624139">
              <w:t xml:space="preserve"> Ensure that all learners acquire the knowledge and skills needed to promote </w:t>
            </w:r>
            <w:r w:rsidRPr="00624139">
              <w:rPr>
                <w:b/>
                <w:bCs/>
              </w:rPr>
              <w:t>sustainable development</w:t>
            </w:r>
            <w:r w:rsidRPr="00624139">
              <w:t xml:space="preserve"> (ESD), </w:t>
            </w:r>
            <w:r w:rsidRPr="00624139">
              <w:rPr>
                <w:b/>
                <w:bCs/>
              </w:rPr>
              <w:t>human rights, gender equality, a culture of peace, and global citizenship</w:t>
            </w:r>
            <w:r w:rsidRPr="00624139">
              <w:t xml:space="preserve"> (GCED).</w:t>
            </w:r>
          </w:p>
        </w:tc>
        <w:tc>
          <w:tcPr>
            <w:tcW w:w="0" w:type="auto"/>
            <w:vAlign w:val="center"/>
            <w:hideMark/>
          </w:tcPr>
          <w:p w14:paraId="2EB5796B" w14:textId="77777777" w:rsidR="00624139" w:rsidRPr="00624139" w:rsidRDefault="00624139" w:rsidP="00624139">
            <w:pPr>
              <w:spacing w:line="240" w:lineRule="auto"/>
            </w:pPr>
            <w:r w:rsidRPr="00624139">
              <w:t>Integrating key values and knowledge for a sustainable and peaceful future into education systems.</w:t>
            </w:r>
          </w:p>
        </w:tc>
        <w:tc>
          <w:tcPr>
            <w:tcW w:w="0" w:type="auto"/>
            <w:vAlign w:val="center"/>
            <w:hideMark/>
          </w:tcPr>
          <w:p w14:paraId="02FFD9F6" w14:textId="77777777" w:rsidR="00624139" w:rsidRPr="00624139" w:rsidRDefault="00624139" w:rsidP="00624139">
            <w:pPr>
              <w:spacing w:line="240" w:lineRule="auto"/>
            </w:pPr>
            <w:r w:rsidRPr="00624139">
              <w:t>Extent to which ESD and GCED are mainstreamed across national education policies, curricula, teacher education, and student assessment.</w:t>
            </w:r>
          </w:p>
        </w:tc>
      </w:tr>
    </w:tbl>
    <w:p w14:paraId="7E00B17E" w14:textId="77777777" w:rsidR="00624139" w:rsidRPr="00624139" w:rsidRDefault="00624139" w:rsidP="00624139">
      <w:pPr>
        <w:spacing w:line="240" w:lineRule="auto"/>
        <w:rPr>
          <w:b/>
          <w:bCs/>
        </w:rPr>
      </w:pPr>
      <w:r w:rsidRPr="00624139">
        <w:rPr>
          <w:b/>
          <w:bCs/>
        </w:rPr>
        <w:t>Means of Implementation Targets (How to Achieve the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2835"/>
        <w:gridCol w:w="1732"/>
        <w:gridCol w:w="3820"/>
      </w:tblGrid>
      <w:tr w:rsidR="00624139" w:rsidRPr="00624139" w14:paraId="3DC94D67" w14:textId="77777777">
        <w:trPr>
          <w:tblCellSpacing w:w="15" w:type="dxa"/>
        </w:trPr>
        <w:tc>
          <w:tcPr>
            <w:tcW w:w="0" w:type="auto"/>
            <w:vAlign w:val="center"/>
            <w:hideMark/>
          </w:tcPr>
          <w:p w14:paraId="7BA61F3D" w14:textId="77777777" w:rsidR="00624139" w:rsidRPr="00624139" w:rsidRDefault="00624139" w:rsidP="00624139">
            <w:pPr>
              <w:spacing w:line="240" w:lineRule="auto"/>
              <w:rPr>
                <w:b/>
                <w:bCs/>
              </w:rPr>
            </w:pPr>
            <w:r w:rsidRPr="00624139">
              <w:rPr>
                <w:b/>
                <w:bCs/>
              </w:rPr>
              <w:lastRenderedPageBreak/>
              <w:t>Target</w:t>
            </w:r>
          </w:p>
        </w:tc>
        <w:tc>
          <w:tcPr>
            <w:tcW w:w="0" w:type="auto"/>
            <w:vAlign w:val="center"/>
            <w:hideMark/>
          </w:tcPr>
          <w:p w14:paraId="2F0959BA" w14:textId="77777777" w:rsidR="00624139" w:rsidRPr="00624139" w:rsidRDefault="00624139" w:rsidP="00624139">
            <w:pPr>
              <w:spacing w:line="240" w:lineRule="auto"/>
              <w:rPr>
                <w:b/>
                <w:bCs/>
              </w:rPr>
            </w:pPr>
            <w:r w:rsidRPr="00624139">
              <w:rPr>
                <w:b/>
                <w:bCs/>
              </w:rPr>
              <w:t>Description</w:t>
            </w:r>
          </w:p>
        </w:tc>
        <w:tc>
          <w:tcPr>
            <w:tcW w:w="0" w:type="auto"/>
            <w:vAlign w:val="center"/>
            <w:hideMark/>
          </w:tcPr>
          <w:p w14:paraId="14C40412" w14:textId="77777777" w:rsidR="00624139" w:rsidRPr="00624139" w:rsidRDefault="00624139" w:rsidP="00624139">
            <w:pPr>
              <w:spacing w:line="240" w:lineRule="auto"/>
              <w:rPr>
                <w:b/>
                <w:bCs/>
              </w:rPr>
            </w:pPr>
            <w:r w:rsidRPr="00624139">
              <w:rPr>
                <w:b/>
                <w:bCs/>
              </w:rPr>
              <w:t>Key Focus/Scope</w:t>
            </w:r>
          </w:p>
        </w:tc>
        <w:tc>
          <w:tcPr>
            <w:tcW w:w="0" w:type="auto"/>
            <w:vAlign w:val="center"/>
            <w:hideMark/>
          </w:tcPr>
          <w:p w14:paraId="3EDCF5AA" w14:textId="77777777" w:rsidR="00624139" w:rsidRPr="00624139" w:rsidRDefault="00624139" w:rsidP="00624139">
            <w:pPr>
              <w:spacing w:line="240" w:lineRule="auto"/>
              <w:rPr>
                <w:b/>
                <w:bCs/>
              </w:rPr>
            </w:pPr>
            <w:r w:rsidRPr="00624139">
              <w:rPr>
                <w:b/>
                <w:bCs/>
              </w:rPr>
              <w:t>Relevant Global Indicators (Examples)</w:t>
            </w:r>
          </w:p>
        </w:tc>
      </w:tr>
      <w:tr w:rsidR="00624139" w:rsidRPr="00624139" w14:paraId="0BCAF586" w14:textId="77777777">
        <w:trPr>
          <w:tblCellSpacing w:w="15" w:type="dxa"/>
        </w:trPr>
        <w:tc>
          <w:tcPr>
            <w:tcW w:w="0" w:type="auto"/>
            <w:vAlign w:val="center"/>
            <w:hideMark/>
          </w:tcPr>
          <w:p w14:paraId="6EAB4FAB" w14:textId="77777777" w:rsidR="00624139" w:rsidRPr="00624139" w:rsidRDefault="00624139" w:rsidP="00624139">
            <w:pPr>
              <w:spacing w:line="240" w:lineRule="auto"/>
            </w:pPr>
            <w:r w:rsidRPr="00624139">
              <w:rPr>
                <w:b/>
                <w:bCs/>
              </w:rPr>
              <w:t>4.a</w:t>
            </w:r>
          </w:p>
        </w:tc>
        <w:tc>
          <w:tcPr>
            <w:tcW w:w="0" w:type="auto"/>
            <w:vAlign w:val="center"/>
            <w:hideMark/>
          </w:tcPr>
          <w:p w14:paraId="3D1C3880" w14:textId="77777777" w:rsidR="00624139" w:rsidRPr="00624139" w:rsidRDefault="00624139" w:rsidP="00624139">
            <w:pPr>
              <w:spacing w:line="240" w:lineRule="auto"/>
            </w:pPr>
            <w:r w:rsidRPr="00624139">
              <w:rPr>
                <w:b/>
                <w:bCs/>
              </w:rPr>
              <w:t>Learning Environments:</w:t>
            </w:r>
            <w:r w:rsidRPr="00624139">
              <w:t xml:space="preserve"> Build and upgrade education facilities that are </w:t>
            </w:r>
            <w:r w:rsidRPr="00624139">
              <w:rPr>
                <w:b/>
                <w:bCs/>
              </w:rPr>
              <w:t>child, disability, and gender sensitive</w:t>
            </w:r>
            <w:r w:rsidRPr="00624139">
              <w:t xml:space="preserve"> and provide </w:t>
            </w:r>
            <w:r w:rsidRPr="00624139">
              <w:rPr>
                <w:b/>
                <w:bCs/>
              </w:rPr>
              <w:t>safe, non-violent, inclusive, and effective learning environments</w:t>
            </w:r>
            <w:r w:rsidRPr="00624139">
              <w:t xml:space="preserve"> for all.</w:t>
            </w:r>
          </w:p>
        </w:tc>
        <w:tc>
          <w:tcPr>
            <w:tcW w:w="0" w:type="auto"/>
            <w:vAlign w:val="center"/>
            <w:hideMark/>
          </w:tcPr>
          <w:p w14:paraId="7EB05732" w14:textId="77777777" w:rsidR="00624139" w:rsidRPr="00624139" w:rsidRDefault="00624139" w:rsidP="00624139">
            <w:pPr>
              <w:spacing w:line="240" w:lineRule="auto"/>
            </w:pPr>
            <w:r w:rsidRPr="00624139">
              <w:t>Infrastructure and basic services necessary for effective learning.</w:t>
            </w:r>
          </w:p>
        </w:tc>
        <w:tc>
          <w:tcPr>
            <w:tcW w:w="0" w:type="auto"/>
            <w:vAlign w:val="center"/>
            <w:hideMark/>
          </w:tcPr>
          <w:p w14:paraId="4E0E0B0E" w14:textId="77777777" w:rsidR="00624139" w:rsidRPr="00624139" w:rsidRDefault="00624139" w:rsidP="00624139">
            <w:pPr>
              <w:spacing w:line="240" w:lineRule="auto"/>
            </w:pPr>
            <w:r w:rsidRPr="00624139">
              <w:t>Proportion of schools with access to basic services (e.g., electricity, internet for pedagogical purposes, adapted infrastructure/materials, basic drinking water, single-sex sanitation facilities, basic handwashing facilities).</w:t>
            </w:r>
          </w:p>
        </w:tc>
      </w:tr>
      <w:tr w:rsidR="00624139" w:rsidRPr="00624139" w14:paraId="012A84EE" w14:textId="77777777">
        <w:trPr>
          <w:tblCellSpacing w:w="15" w:type="dxa"/>
        </w:trPr>
        <w:tc>
          <w:tcPr>
            <w:tcW w:w="0" w:type="auto"/>
            <w:vAlign w:val="center"/>
            <w:hideMark/>
          </w:tcPr>
          <w:p w14:paraId="0439DC91" w14:textId="77777777" w:rsidR="00624139" w:rsidRPr="00624139" w:rsidRDefault="00624139" w:rsidP="00624139">
            <w:pPr>
              <w:spacing w:line="240" w:lineRule="auto"/>
            </w:pPr>
            <w:r w:rsidRPr="00624139">
              <w:rPr>
                <w:b/>
                <w:bCs/>
              </w:rPr>
              <w:t>4.b</w:t>
            </w:r>
          </w:p>
        </w:tc>
        <w:tc>
          <w:tcPr>
            <w:tcW w:w="0" w:type="auto"/>
            <w:vAlign w:val="center"/>
            <w:hideMark/>
          </w:tcPr>
          <w:p w14:paraId="3ACF53B5" w14:textId="77777777" w:rsidR="00624139" w:rsidRPr="00624139" w:rsidRDefault="00624139" w:rsidP="00624139">
            <w:pPr>
              <w:spacing w:line="240" w:lineRule="auto"/>
            </w:pPr>
            <w:r w:rsidRPr="00624139">
              <w:rPr>
                <w:b/>
                <w:bCs/>
              </w:rPr>
              <w:t>Scholarships:</w:t>
            </w:r>
            <w:r w:rsidRPr="00624139">
              <w:t xml:space="preserve"> By </w:t>
            </w:r>
            <w:r w:rsidRPr="00624139">
              <w:rPr>
                <w:b/>
                <w:bCs/>
              </w:rPr>
              <w:t>2020</w:t>
            </w:r>
            <w:r w:rsidRPr="00624139">
              <w:t>, substantially expand globally the number of scholarships available to developing countries, especially least developed countries and African countries, for higher education.</w:t>
            </w:r>
          </w:p>
        </w:tc>
        <w:tc>
          <w:tcPr>
            <w:tcW w:w="0" w:type="auto"/>
            <w:vAlign w:val="center"/>
            <w:hideMark/>
          </w:tcPr>
          <w:p w14:paraId="3ECB26F6" w14:textId="77777777" w:rsidR="00624139" w:rsidRPr="00624139" w:rsidRDefault="00624139" w:rsidP="00624139">
            <w:pPr>
              <w:spacing w:line="240" w:lineRule="auto"/>
            </w:pPr>
            <w:r w:rsidRPr="00624139">
              <w:t>International cooperation and financial aid for specialized education.</w:t>
            </w:r>
          </w:p>
        </w:tc>
        <w:tc>
          <w:tcPr>
            <w:tcW w:w="0" w:type="auto"/>
            <w:vAlign w:val="center"/>
            <w:hideMark/>
          </w:tcPr>
          <w:p w14:paraId="12A28DE7" w14:textId="77777777" w:rsidR="00624139" w:rsidRPr="00624139" w:rsidRDefault="00624139" w:rsidP="00624139">
            <w:pPr>
              <w:spacing w:line="240" w:lineRule="auto"/>
            </w:pPr>
            <w:r w:rsidRPr="00624139">
              <w:t>Volume of Official Development Assistance (ODA) flows for scholarships.</w:t>
            </w:r>
          </w:p>
        </w:tc>
      </w:tr>
      <w:tr w:rsidR="00624139" w:rsidRPr="00624139" w14:paraId="27F275B0" w14:textId="77777777">
        <w:trPr>
          <w:tblCellSpacing w:w="15" w:type="dxa"/>
        </w:trPr>
        <w:tc>
          <w:tcPr>
            <w:tcW w:w="0" w:type="auto"/>
            <w:vAlign w:val="center"/>
            <w:hideMark/>
          </w:tcPr>
          <w:p w14:paraId="573A3FCE" w14:textId="77777777" w:rsidR="00624139" w:rsidRPr="00624139" w:rsidRDefault="00624139" w:rsidP="00624139">
            <w:pPr>
              <w:spacing w:line="240" w:lineRule="auto"/>
            </w:pPr>
            <w:r w:rsidRPr="00624139">
              <w:rPr>
                <w:b/>
                <w:bCs/>
              </w:rPr>
              <w:t>4.c</w:t>
            </w:r>
          </w:p>
        </w:tc>
        <w:tc>
          <w:tcPr>
            <w:tcW w:w="0" w:type="auto"/>
            <w:vAlign w:val="center"/>
            <w:hideMark/>
          </w:tcPr>
          <w:p w14:paraId="70AE9528" w14:textId="77777777" w:rsidR="00624139" w:rsidRPr="00624139" w:rsidRDefault="00624139" w:rsidP="00624139">
            <w:pPr>
              <w:spacing w:line="240" w:lineRule="auto"/>
            </w:pPr>
            <w:r w:rsidRPr="00624139">
              <w:rPr>
                <w:b/>
                <w:bCs/>
              </w:rPr>
              <w:t>Qualified Teachers:</w:t>
            </w:r>
            <w:r w:rsidRPr="00624139">
              <w:t xml:space="preserve"> Substantially increase the supply of </w:t>
            </w:r>
            <w:r w:rsidRPr="00624139">
              <w:rPr>
                <w:b/>
                <w:bCs/>
              </w:rPr>
              <w:t>qualified teachers</w:t>
            </w:r>
            <w:r w:rsidRPr="00624139">
              <w:t>, including through international cooperation for teacher training.</w:t>
            </w:r>
          </w:p>
        </w:tc>
        <w:tc>
          <w:tcPr>
            <w:tcW w:w="0" w:type="auto"/>
            <w:vAlign w:val="center"/>
            <w:hideMark/>
          </w:tcPr>
          <w:p w14:paraId="749D043B" w14:textId="77777777" w:rsidR="00624139" w:rsidRPr="00624139" w:rsidRDefault="00624139" w:rsidP="00624139">
            <w:pPr>
              <w:spacing w:line="240" w:lineRule="auto"/>
            </w:pPr>
            <w:r w:rsidRPr="00624139">
              <w:t>Ensuring educators are adequately trained and supported.</w:t>
            </w:r>
          </w:p>
        </w:tc>
        <w:tc>
          <w:tcPr>
            <w:tcW w:w="0" w:type="auto"/>
            <w:vAlign w:val="center"/>
            <w:hideMark/>
          </w:tcPr>
          <w:p w14:paraId="46B8506E" w14:textId="77777777" w:rsidR="00624139" w:rsidRPr="00624139" w:rsidRDefault="00624139" w:rsidP="00624139">
            <w:pPr>
              <w:spacing w:line="240" w:lineRule="auto"/>
            </w:pPr>
            <w:r w:rsidRPr="00624139">
              <w:t xml:space="preserve">Proportion of teachers who have received at least the </w:t>
            </w:r>
            <w:r w:rsidRPr="00624139">
              <w:rPr>
                <w:b/>
                <w:bCs/>
              </w:rPr>
              <w:t>minimum organized teacher training</w:t>
            </w:r>
            <w:r w:rsidRPr="00624139">
              <w:t xml:space="preserve"> required for teaching at the relevant level.</w:t>
            </w:r>
          </w:p>
        </w:tc>
      </w:tr>
    </w:tbl>
    <w:p w14:paraId="1B999FBB" w14:textId="77777777" w:rsidR="00624139" w:rsidRPr="00624139" w:rsidRDefault="00624139" w:rsidP="00624139">
      <w:pPr>
        <w:spacing w:line="240" w:lineRule="auto"/>
      </w:pPr>
      <w:r w:rsidRPr="00624139">
        <w:pict w14:anchorId="6A022AE5">
          <v:rect id="_x0000_i1050" style="width:0;height:1.5pt" o:hralign="center" o:hrstd="t" o:hr="t" fillcolor="#a0a0a0" stroked="f"/>
        </w:pict>
      </w:r>
    </w:p>
    <w:p w14:paraId="6F9184A6" w14:textId="77777777" w:rsidR="00624139" w:rsidRPr="00624139" w:rsidRDefault="00624139" w:rsidP="00624139">
      <w:pPr>
        <w:spacing w:line="240" w:lineRule="auto"/>
        <w:rPr>
          <w:b/>
          <w:bCs/>
        </w:rPr>
      </w:pPr>
      <w:r w:rsidRPr="00624139">
        <w:rPr>
          <w:b/>
          <w:bCs/>
        </w:rPr>
        <w:t>3. Indian Government Initiatives to Achieve SDG 4</w:t>
      </w:r>
    </w:p>
    <w:p w14:paraId="3C9ACB97" w14:textId="77777777" w:rsidR="00624139" w:rsidRPr="00624139" w:rsidRDefault="00624139" w:rsidP="00624139">
      <w:pPr>
        <w:spacing w:line="240" w:lineRule="auto"/>
      </w:pPr>
      <w:r w:rsidRPr="00624139">
        <w:t>India has made significant progress toward Education for All and is focusing on ensuring Quality, Access, Equity, and Inclusion (QAEI) to achieve SDG 4 by 2030. Prior to the SDGs, several major policies and interventions focusing on inclusiveness and quality were already in place.</w:t>
      </w:r>
    </w:p>
    <w:p w14:paraId="1981404A" w14:textId="77777777" w:rsidR="00624139" w:rsidRPr="00624139" w:rsidRDefault="00624139" w:rsidP="00624139">
      <w:pPr>
        <w:spacing w:line="240" w:lineRule="auto"/>
        <w:rPr>
          <w:b/>
          <w:bCs/>
        </w:rPr>
      </w:pPr>
      <w:r w:rsidRPr="00624139">
        <w:rPr>
          <w:b/>
          <w:bCs/>
        </w:rPr>
        <w:t>Foundational Schemes and Rights</w:t>
      </w:r>
    </w:p>
    <w:p w14:paraId="0E8C27F5" w14:textId="77777777" w:rsidR="00624139" w:rsidRPr="00624139" w:rsidRDefault="00624139" w:rsidP="00624139">
      <w:pPr>
        <w:numPr>
          <w:ilvl w:val="0"/>
          <w:numId w:val="1"/>
        </w:numPr>
        <w:spacing w:line="240" w:lineRule="auto"/>
      </w:pPr>
      <w:r w:rsidRPr="00624139">
        <w:rPr>
          <w:b/>
          <w:bCs/>
        </w:rPr>
        <w:t>Right of Children to Free and Compulsory Education (RTE) Act:</w:t>
      </w:r>
      <w:r w:rsidRPr="00624139">
        <w:t xml:space="preserve"> This initiative provides for inclusive elementary education for all children aged six to fourteen years, established as a Fundamental Right. It clarifies the government's obligation to ensure compulsory admission, attendance, and completion of elementary education. It also reserves a </w:t>
      </w:r>
      <w:r w:rsidRPr="00624139">
        <w:rPr>
          <w:b/>
          <w:bCs/>
        </w:rPr>
        <w:t>25 percent quota</w:t>
      </w:r>
      <w:r w:rsidRPr="00624139">
        <w:t xml:space="preserve"> in private schools for children from economically weaker sections (EWS).</w:t>
      </w:r>
    </w:p>
    <w:p w14:paraId="31E5AA03" w14:textId="77777777" w:rsidR="00624139" w:rsidRPr="00624139" w:rsidRDefault="00624139" w:rsidP="00624139">
      <w:pPr>
        <w:numPr>
          <w:ilvl w:val="0"/>
          <w:numId w:val="1"/>
        </w:numPr>
        <w:spacing w:line="240" w:lineRule="auto"/>
      </w:pPr>
      <w:r w:rsidRPr="00624139">
        <w:rPr>
          <w:b/>
          <w:bCs/>
        </w:rPr>
        <w:t>Sarva Shiksha Abhiyan (SSA):</w:t>
      </w:r>
      <w:r w:rsidRPr="00624139">
        <w:t xml:space="preserve"> Often called the "Education for All Movement," SSA provides major impetus to the education system. It focuses on universalisation of elementary education, addressing out-of-school children, and funding the recruitment of additional teachers. The program is continually being </w:t>
      </w:r>
      <w:r w:rsidRPr="00624139">
        <w:rPr>
          <w:b/>
          <w:bCs/>
        </w:rPr>
        <w:t>reoriented toward improving quality education</w:t>
      </w:r>
      <w:r w:rsidRPr="00624139">
        <w:t>.</w:t>
      </w:r>
    </w:p>
    <w:p w14:paraId="52B7FDEB" w14:textId="77777777" w:rsidR="00624139" w:rsidRPr="00624139" w:rsidRDefault="00624139" w:rsidP="00624139">
      <w:pPr>
        <w:numPr>
          <w:ilvl w:val="0"/>
          <w:numId w:val="1"/>
        </w:numPr>
        <w:spacing w:line="240" w:lineRule="auto"/>
      </w:pPr>
      <w:r w:rsidRPr="00624139">
        <w:rPr>
          <w:b/>
          <w:bCs/>
        </w:rPr>
        <w:t>Mid-Day Meal Scheme (MDMS):</w:t>
      </w:r>
      <w:r w:rsidRPr="00624139">
        <w:t xml:space="preserve"> The largest such scheme in the world, MDMS (National Programme of Nutritional Support to Primary Education) was launched in 1995 to enhance enrolment, retention, and attendance while simultaneously improving children's nutritional levels. It currently serves nutritious food to </w:t>
      </w:r>
      <w:r w:rsidRPr="00624139">
        <w:rPr>
          <w:b/>
          <w:bCs/>
        </w:rPr>
        <w:t>10 crore students</w:t>
      </w:r>
      <w:r w:rsidRPr="00624139">
        <w:t xml:space="preserve"> in classes I to VIII.</w:t>
      </w:r>
    </w:p>
    <w:p w14:paraId="77950F7D" w14:textId="77777777" w:rsidR="00624139" w:rsidRPr="00624139" w:rsidRDefault="00624139" w:rsidP="00624139">
      <w:pPr>
        <w:spacing w:line="240" w:lineRule="auto"/>
        <w:rPr>
          <w:b/>
          <w:bCs/>
        </w:rPr>
      </w:pPr>
      <w:r w:rsidRPr="00624139">
        <w:rPr>
          <w:b/>
          <w:bCs/>
        </w:rPr>
        <w:t>Initiatives Focused on Quality and Learning Outcomes</w:t>
      </w:r>
    </w:p>
    <w:p w14:paraId="2C801690" w14:textId="77777777" w:rsidR="00624139" w:rsidRPr="00624139" w:rsidRDefault="00624139" w:rsidP="00624139">
      <w:pPr>
        <w:numPr>
          <w:ilvl w:val="0"/>
          <w:numId w:val="2"/>
        </w:numPr>
        <w:spacing w:line="240" w:lineRule="auto"/>
      </w:pPr>
      <w:proofErr w:type="spellStart"/>
      <w:r w:rsidRPr="00624139">
        <w:rPr>
          <w:b/>
          <w:bCs/>
        </w:rPr>
        <w:lastRenderedPageBreak/>
        <w:t>Padhe</w:t>
      </w:r>
      <w:proofErr w:type="spellEnd"/>
      <w:r w:rsidRPr="00624139">
        <w:rPr>
          <w:b/>
          <w:bCs/>
        </w:rPr>
        <w:t xml:space="preserve"> Bharat Badhe Bharat (PBBB):</w:t>
      </w:r>
      <w:r w:rsidRPr="00624139">
        <w:t xml:space="preserve"> A sub-programme of SSA, PBBB follows a twin-track approach focusing on Early Reading and Writing with Comprehension (ERWC) and Early Mathematics (EM) in classes I &amp; II to strengthen foundational learning skills.</w:t>
      </w:r>
    </w:p>
    <w:p w14:paraId="48EE585F" w14:textId="77777777" w:rsidR="00624139" w:rsidRPr="00624139" w:rsidRDefault="00624139" w:rsidP="00624139">
      <w:pPr>
        <w:numPr>
          <w:ilvl w:val="0"/>
          <w:numId w:val="2"/>
        </w:numPr>
        <w:spacing w:line="240" w:lineRule="auto"/>
      </w:pPr>
      <w:proofErr w:type="spellStart"/>
      <w:r w:rsidRPr="00624139">
        <w:rPr>
          <w:b/>
          <w:bCs/>
        </w:rPr>
        <w:t>Rashtriya</w:t>
      </w:r>
      <w:proofErr w:type="spellEnd"/>
      <w:r w:rsidRPr="00624139">
        <w:rPr>
          <w:b/>
          <w:bCs/>
        </w:rPr>
        <w:t xml:space="preserve"> Avishkar Abhiyan (RAA):</w:t>
      </w:r>
      <w:r w:rsidRPr="00624139">
        <w:t xml:space="preserve"> Launched in 2015, this scheme aims to encourage children aged 6-18 years in science, mathematics, and technology. It involves systemic improvements and partnerships, such as higher education institutions (like IITs/NITs) mentoring schools.</w:t>
      </w:r>
    </w:p>
    <w:p w14:paraId="7AC107FB" w14:textId="77777777" w:rsidR="00624139" w:rsidRPr="00624139" w:rsidRDefault="00624139" w:rsidP="00624139">
      <w:pPr>
        <w:numPr>
          <w:ilvl w:val="0"/>
          <w:numId w:val="2"/>
        </w:numPr>
        <w:spacing w:line="240" w:lineRule="auto"/>
      </w:pPr>
      <w:r w:rsidRPr="00624139">
        <w:rPr>
          <w:b/>
          <w:bCs/>
        </w:rPr>
        <w:t>Focus on Learning Outcomes:</w:t>
      </w:r>
      <w:r w:rsidRPr="00624139">
        <w:t xml:space="preserve"> The government has reiterated that focus should shift from syllabus completion to </w:t>
      </w:r>
      <w:r w:rsidRPr="00624139">
        <w:rPr>
          <w:b/>
          <w:bCs/>
        </w:rPr>
        <w:t>improving learning outcomes</w:t>
      </w:r>
      <w:r w:rsidRPr="00624139">
        <w:t xml:space="preserve"> from class I to VIII, requiring teachers to track student progress and introduce corrective measures.</w:t>
      </w:r>
    </w:p>
    <w:p w14:paraId="5A5C0F5C" w14:textId="77777777" w:rsidR="00624139" w:rsidRPr="00624139" w:rsidRDefault="00624139" w:rsidP="00624139">
      <w:pPr>
        <w:numPr>
          <w:ilvl w:val="0"/>
          <w:numId w:val="2"/>
        </w:numPr>
        <w:spacing w:line="240" w:lineRule="auto"/>
      </w:pPr>
      <w:r w:rsidRPr="00624139">
        <w:rPr>
          <w:b/>
          <w:bCs/>
        </w:rPr>
        <w:t>Teacher Training:</w:t>
      </w:r>
      <w:r w:rsidRPr="00624139">
        <w:t xml:space="preserve"> Provisions are in place for teacher training during summer vacations by SCERT to strengthen skills and improve learning outcomes.</w:t>
      </w:r>
    </w:p>
    <w:p w14:paraId="18C61AE9" w14:textId="77777777" w:rsidR="00624139" w:rsidRPr="00624139" w:rsidRDefault="00624139" w:rsidP="00624139">
      <w:pPr>
        <w:spacing w:line="240" w:lineRule="auto"/>
        <w:rPr>
          <w:b/>
          <w:bCs/>
        </w:rPr>
      </w:pPr>
      <w:r w:rsidRPr="00624139">
        <w:rPr>
          <w:b/>
          <w:bCs/>
        </w:rPr>
        <w:t>Initiatives Focused on Equity, Inclusion, and Infrastructure</w:t>
      </w:r>
    </w:p>
    <w:p w14:paraId="030311FF" w14:textId="77777777" w:rsidR="00624139" w:rsidRPr="00624139" w:rsidRDefault="00624139" w:rsidP="00624139">
      <w:pPr>
        <w:numPr>
          <w:ilvl w:val="0"/>
          <w:numId w:val="3"/>
        </w:numPr>
        <w:spacing w:line="240" w:lineRule="auto"/>
      </w:pPr>
      <w:r w:rsidRPr="00624139">
        <w:rPr>
          <w:b/>
          <w:bCs/>
        </w:rPr>
        <w:t xml:space="preserve">Beti Bachao, Beti </w:t>
      </w:r>
      <w:proofErr w:type="spellStart"/>
      <w:r w:rsidRPr="00624139">
        <w:rPr>
          <w:b/>
          <w:bCs/>
        </w:rPr>
        <w:t>Padhao</w:t>
      </w:r>
      <w:proofErr w:type="spellEnd"/>
      <w:r w:rsidRPr="00624139">
        <w:rPr>
          <w:b/>
          <w:bCs/>
        </w:rPr>
        <w:t xml:space="preserve"> (BBBP):</w:t>
      </w:r>
      <w:r w:rsidRPr="00624139">
        <w:t xml:space="preserve"> This ambitious flagship programme, launched in 2015, is a tri-ministerial effort to ensure the survival, protection, and education of the girl child and address the decline in the Child Sex Ratio (CSR).</w:t>
      </w:r>
    </w:p>
    <w:p w14:paraId="27D623B4" w14:textId="77777777" w:rsidR="00624139" w:rsidRPr="00624139" w:rsidRDefault="00624139" w:rsidP="00624139">
      <w:pPr>
        <w:numPr>
          <w:ilvl w:val="0"/>
          <w:numId w:val="3"/>
        </w:numPr>
        <w:spacing w:line="240" w:lineRule="auto"/>
      </w:pPr>
      <w:r w:rsidRPr="00624139">
        <w:rPr>
          <w:b/>
          <w:bCs/>
        </w:rPr>
        <w:t>Swachh Vidyalaya:</w:t>
      </w:r>
      <w:r w:rsidRPr="00624139">
        <w:t xml:space="preserve"> An initiative under the Swachh Bharat Mission that achieved the target of constructing or making functional </w:t>
      </w:r>
      <w:r w:rsidRPr="00624139">
        <w:rPr>
          <w:b/>
          <w:bCs/>
        </w:rPr>
        <w:t>separate toilets for girls and boys</w:t>
      </w:r>
      <w:r w:rsidRPr="00624139">
        <w:t xml:space="preserve"> in all government schools.</w:t>
      </w:r>
    </w:p>
    <w:p w14:paraId="5D246F7B" w14:textId="77777777" w:rsidR="00624139" w:rsidRPr="00624139" w:rsidRDefault="00624139" w:rsidP="00624139">
      <w:pPr>
        <w:numPr>
          <w:ilvl w:val="0"/>
          <w:numId w:val="3"/>
        </w:numPr>
        <w:spacing w:line="240" w:lineRule="auto"/>
      </w:pPr>
      <w:proofErr w:type="spellStart"/>
      <w:r w:rsidRPr="00624139">
        <w:rPr>
          <w:b/>
          <w:bCs/>
        </w:rPr>
        <w:t>Rashtriya</w:t>
      </w:r>
      <w:proofErr w:type="spellEnd"/>
      <w:r w:rsidRPr="00624139">
        <w:rPr>
          <w:b/>
          <w:bCs/>
        </w:rPr>
        <w:t xml:space="preserve"> Madhyamik Shiksha Abhiyan (RMSA):</w:t>
      </w:r>
      <w:r w:rsidRPr="00624139">
        <w:t xml:space="preserve"> Works to increase access to and improve the quality of secondary education, conforming to prescribed norms like </w:t>
      </w:r>
      <w:r w:rsidRPr="00624139">
        <w:rPr>
          <w:b/>
          <w:bCs/>
        </w:rPr>
        <w:t>gender equality</w:t>
      </w:r>
      <w:r w:rsidRPr="00624139">
        <w:t xml:space="preserve">, </w:t>
      </w:r>
      <w:r w:rsidRPr="00624139">
        <w:rPr>
          <w:b/>
          <w:bCs/>
        </w:rPr>
        <w:t>ICT</w:t>
      </w:r>
      <w:r w:rsidRPr="00624139">
        <w:t xml:space="preserve">, and addressing </w:t>
      </w:r>
      <w:r w:rsidRPr="00624139">
        <w:rPr>
          <w:b/>
          <w:bCs/>
        </w:rPr>
        <w:t>disability barriers</w:t>
      </w:r>
      <w:r w:rsidRPr="00624139">
        <w:t>.</w:t>
      </w:r>
    </w:p>
    <w:p w14:paraId="59D5B047" w14:textId="77777777" w:rsidR="00624139" w:rsidRPr="00624139" w:rsidRDefault="00624139" w:rsidP="00624139">
      <w:pPr>
        <w:numPr>
          <w:ilvl w:val="0"/>
          <w:numId w:val="3"/>
        </w:numPr>
        <w:spacing w:line="240" w:lineRule="auto"/>
      </w:pPr>
      <w:r w:rsidRPr="00624139">
        <w:rPr>
          <w:b/>
          <w:bCs/>
        </w:rPr>
        <w:t>Integrated Child Development Studies (ICDS):</w:t>
      </w:r>
      <w:r w:rsidRPr="00624139">
        <w:t xml:space="preserve"> India’s comprehensive early childhood care and development program providing pre-school non-formal education and addressing malnutrition among children up to six years.</w:t>
      </w:r>
    </w:p>
    <w:p w14:paraId="75D87186" w14:textId="77777777" w:rsidR="00624139" w:rsidRPr="00624139" w:rsidRDefault="00624139" w:rsidP="00624139">
      <w:pPr>
        <w:numPr>
          <w:ilvl w:val="0"/>
          <w:numId w:val="3"/>
        </w:numPr>
        <w:spacing w:line="240" w:lineRule="auto"/>
      </w:pPr>
      <w:r w:rsidRPr="00624139">
        <w:rPr>
          <w:b/>
          <w:bCs/>
        </w:rPr>
        <w:t>Aadhar Link:</w:t>
      </w:r>
      <w:r w:rsidRPr="00624139">
        <w:t xml:space="preserve"> All school children (5-18 years) and teachers are being covered under Aadhar to help track dropouts, monitor performance, and ensure efficient disbursement of benefits under various central schemes.</w:t>
      </w:r>
    </w:p>
    <w:p w14:paraId="0B882ACD" w14:textId="77777777" w:rsidR="00624139" w:rsidRPr="00624139" w:rsidRDefault="00624139" w:rsidP="00624139">
      <w:pPr>
        <w:spacing w:line="240" w:lineRule="auto"/>
        <w:rPr>
          <w:b/>
          <w:bCs/>
        </w:rPr>
      </w:pPr>
      <w:r w:rsidRPr="00624139">
        <w:rPr>
          <w:b/>
          <w:bCs/>
        </w:rPr>
        <w:t>Monitoring and Digital Initiatives (ICT)</w:t>
      </w:r>
    </w:p>
    <w:p w14:paraId="01DEBD8A" w14:textId="77777777" w:rsidR="00624139" w:rsidRPr="00624139" w:rsidRDefault="00624139" w:rsidP="00624139">
      <w:pPr>
        <w:spacing w:line="240" w:lineRule="auto"/>
      </w:pPr>
      <w:r w:rsidRPr="00624139">
        <w:t>The government is actively using digital initiatives to strengthen governance and monitoring:</w:t>
      </w:r>
    </w:p>
    <w:p w14:paraId="5919FA0C" w14:textId="77777777" w:rsidR="00624139" w:rsidRPr="00624139" w:rsidRDefault="00624139" w:rsidP="00624139">
      <w:pPr>
        <w:numPr>
          <w:ilvl w:val="0"/>
          <w:numId w:val="4"/>
        </w:numPr>
        <w:spacing w:line="240" w:lineRule="auto"/>
      </w:pPr>
      <w:r w:rsidRPr="00624139">
        <w:rPr>
          <w:b/>
          <w:bCs/>
        </w:rPr>
        <w:t>Shaala Siddhi:</w:t>
      </w:r>
      <w:r w:rsidRPr="00624139">
        <w:t xml:space="preserve"> An initiative by NUEPA enabling all schools to self-evaluate their performance against agreed standards and benchmarks.</w:t>
      </w:r>
    </w:p>
    <w:p w14:paraId="549A90ED" w14:textId="77777777" w:rsidR="00624139" w:rsidRPr="00624139" w:rsidRDefault="00624139" w:rsidP="00624139">
      <w:pPr>
        <w:numPr>
          <w:ilvl w:val="0"/>
          <w:numId w:val="4"/>
        </w:numPr>
        <w:spacing w:line="240" w:lineRule="auto"/>
      </w:pPr>
      <w:r w:rsidRPr="00624139">
        <w:rPr>
          <w:b/>
          <w:bCs/>
        </w:rPr>
        <w:t>Shagun Portal (MHRD):</w:t>
      </w:r>
      <w:r w:rsidRPr="00624139">
        <w:t xml:space="preserve"> Provides online monitoring of SSA implementation and serves as a repository of best practices (videos, studies, success stories) related to elementary education.</w:t>
      </w:r>
    </w:p>
    <w:p w14:paraId="48B6BA86" w14:textId="77777777" w:rsidR="00624139" w:rsidRPr="00624139" w:rsidRDefault="00624139" w:rsidP="00624139">
      <w:pPr>
        <w:numPr>
          <w:ilvl w:val="0"/>
          <w:numId w:val="4"/>
        </w:numPr>
        <w:spacing w:line="240" w:lineRule="auto"/>
      </w:pPr>
      <w:r w:rsidRPr="00624139">
        <w:rPr>
          <w:b/>
          <w:bCs/>
        </w:rPr>
        <w:t>e-</w:t>
      </w:r>
      <w:proofErr w:type="spellStart"/>
      <w:r w:rsidRPr="00624139">
        <w:rPr>
          <w:b/>
          <w:bCs/>
        </w:rPr>
        <w:t>Pathshala</w:t>
      </w:r>
      <w:proofErr w:type="spellEnd"/>
      <w:r w:rsidRPr="00624139">
        <w:rPr>
          <w:b/>
          <w:bCs/>
        </w:rPr>
        <w:t>:</w:t>
      </w:r>
      <w:r w:rsidRPr="00624139">
        <w:t xml:space="preserve"> An online platform for showcasing and disseminating digital learning resources, including textbooks, audio, video, and periodicals, for all stakeholders.</w:t>
      </w:r>
    </w:p>
    <w:p w14:paraId="251E8C22" w14:textId="77777777" w:rsidR="00624139" w:rsidRPr="00624139" w:rsidRDefault="00624139" w:rsidP="00624139">
      <w:pPr>
        <w:numPr>
          <w:ilvl w:val="0"/>
          <w:numId w:val="4"/>
        </w:numPr>
        <w:spacing w:line="240" w:lineRule="auto"/>
      </w:pPr>
      <w:r w:rsidRPr="00624139">
        <w:rPr>
          <w:b/>
          <w:bCs/>
        </w:rPr>
        <w:t>Saransh:</w:t>
      </w:r>
      <w:r w:rsidRPr="00624139">
        <w:t xml:space="preserve"> A CBSE online self-review tool for schools to </w:t>
      </w:r>
      <w:proofErr w:type="spellStart"/>
      <w:r w:rsidRPr="00624139">
        <w:t>analyze</w:t>
      </w:r>
      <w:proofErr w:type="spellEnd"/>
      <w:r w:rsidRPr="00624139">
        <w:t xml:space="preserve"> results and identify areas for improvement.</w:t>
      </w:r>
    </w:p>
    <w:p w14:paraId="1FF2CBF2" w14:textId="77777777" w:rsidR="00624139" w:rsidRPr="00624139" w:rsidRDefault="00624139" w:rsidP="00624139">
      <w:pPr>
        <w:numPr>
          <w:ilvl w:val="0"/>
          <w:numId w:val="4"/>
        </w:numPr>
        <w:spacing w:line="240" w:lineRule="auto"/>
      </w:pPr>
      <w:r w:rsidRPr="00624139">
        <w:rPr>
          <w:b/>
          <w:bCs/>
        </w:rPr>
        <w:t>School Education Quality Index (SEQI):</w:t>
      </w:r>
      <w:r w:rsidRPr="00624139">
        <w:t xml:space="preserve"> Jointly developed to institutionalize a focus on measuring and improving education outcomes (learning, access, equity).</w:t>
      </w:r>
    </w:p>
    <w:p w14:paraId="4086C35A" w14:textId="77777777" w:rsidR="00624139" w:rsidRPr="00624139" w:rsidRDefault="00624139" w:rsidP="00624139">
      <w:pPr>
        <w:spacing w:line="240" w:lineRule="auto"/>
        <w:rPr>
          <w:b/>
          <w:bCs/>
        </w:rPr>
      </w:pPr>
      <w:r w:rsidRPr="00624139">
        <w:rPr>
          <w:b/>
          <w:bCs/>
        </w:rPr>
        <w:lastRenderedPageBreak/>
        <w:t>Selected State-Level Best Practices (Models for Replication)</w:t>
      </w:r>
    </w:p>
    <w:p w14:paraId="0D0135A1" w14:textId="77777777" w:rsidR="00624139" w:rsidRPr="00624139" w:rsidRDefault="00624139" w:rsidP="00624139">
      <w:pPr>
        <w:numPr>
          <w:ilvl w:val="0"/>
          <w:numId w:val="5"/>
        </w:numPr>
        <w:spacing w:line="240" w:lineRule="auto"/>
      </w:pPr>
      <w:proofErr w:type="spellStart"/>
      <w:r w:rsidRPr="00624139">
        <w:rPr>
          <w:b/>
          <w:bCs/>
        </w:rPr>
        <w:t>Mukhyamantri</w:t>
      </w:r>
      <w:proofErr w:type="spellEnd"/>
      <w:r w:rsidRPr="00624139">
        <w:rPr>
          <w:b/>
          <w:bCs/>
        </w:rPr>
        <w:t xml:space="preserve"> Balika Cycle Yojana (Bihar):</w:t>
      </w:r>
      <w:r w:rsidRPr="00624139">
        <w:t xml:space="preserve"> Provides a bicycle or monetary equivalent (₹2,000) to girls enrolled in classes IX and X to boost retention and reduce dropouts.</w:t>
      </w:r>
    </w:p>
    <w:p w14:paraId="0273247A" w14:textId="77777777" w:rsidR="00624139" w:rsidRPr="00624139" w:rsidRDefault="00624139" w:rsidP="00624139">
      <w:pPr>
        <w:numPr>
          <w:ilvl w:val="0"/>
          <w:numId w:val="5"/>
        </w:numPr>
        <w:spacing w:line="240" w:lineRule="auto"/>
      </w:pPr>
      <w:r w:rsidRPr="00624139">
        <w:rPr>
          <w:b/>
          <w:bCs/>
        </w:rPr>
        <w:t>Pota Cabins (Chhattisgarh):</w:t>
      </w:r>
      <w:r w:rsidRPr="00624139">
        <w:t xml:space="preserve"> Innovative residential schools built with temporary materials in areas affected by Left-Wing Extremism (LWE) to reduce the number of out-of-school children.</w:t>
      </w:r>
    </w:p>
    <w:p w14:paraId="164B1EA2" w14:textId="77777777" w:rsidR="00624139" w:rsidRPr="00624139" w:rsidRDefault="00624139" w:rsidP="00624139">
      <w:pPr>
        <w:numPr>
          <w:ilvl w:val="0"/>
          <w:numId w:val="5"/>
        </w:numPr>
        <w:spacing w:line="240" w:lineRule="auto"/>
      </w:pPr>
      <w:r w:rsidRPr="00624139">
        <w:rPr>
          <w:b/>
          <w:bCs/>
        </w:rPr>
        <w:t>Migration Card (Gujarat):</w:t>
      </w:r>
      <w:r w:rsidRPr="00624139">
        <w:t xml:space="preserve"> Tracks and monitors students migrating for seasonal employment using "Tent-Special training Programmes (Tent STPs)" set up at parents' worksites.</w:t>
      </w:r>
    </w:p>
    <w:p w14:paraId="5AE2FD2D" w14:textId="77777777" w:rsidR="00624139" w:rsidRPr="00624139" w:rsidRDefault="00624139" w:rsidP="00624139">
      <w:pPr>
        <w:numPr>
          <w:ilvl w:val="0"/>
          <w:numId w:val="5"/>
        </w:numPr>
        <w:spacing w:line="240" w:lineRule="auto"/>
      </w:pPr>
      <w:r w:rsidRPr="00624139">
        <w:rPr>
          <w:b/>
          <w:bCs/>
        </w:rPr>
        <w:t>Pratibha Parv (Madhya Pradesh):</w:t>
      </w:r>
      <w:r w:rsidRPr="00624139">
        <w:t xml:space="preserve"> A "festival of excellence" involving assessment of teaching and learning, which has successfully raised primary and middle school attendance.</w:t>
      </w:r>
    </w:p>
    <w:p w14:paraId="51178D66" w14:textId="77777777" w:rsidR="00624139" w:rsidRPr="00624139" w:rsidRDefault="00624139" w:rsidP="00624139">
      <w:pPr>
        <w:numPr>
          <w:ilvl w:val="0"/>
          <w:numId w:val="5"/>
        </w:numPr>
        <w:spacing w:line="240" w:lineRule="auto"/>
      </w:pPr>
      <w:r w:rsidRPr="00624139">
        <w:rPr>
          <w:b/>
          <w:bCs/>
        </w:rPr>
        <w:t>"Each One Teach One Method" (Mizoram):</w:t>
      </w:r>
      <w:r w:rsidRPr="00624139">
        <w:t xml:space="preserve"> This method, used post-1990, involved mobilizing volunteers and village adult education committees to achieve high literacy rates.</w:t>
      </w:r>
    </w:p>
    <w:p w14:paraId="0F986B08" w14:textId="77777777" w:rsidR="00624139" w:rsidRPr="00624139" w:rsidRDefault="00624139" w:rsidP="00624139">
      <w:pPr>
        <w:spacing w:line="240" w:lineRule="auto"/>
      </w:pPr>
      <w:r w:rsidRPr="00624139">
        <w:pict w14:anchorId="703486F4">
          <v:rect id="_x0000_i1051" style="width:0;height:1.5pt" o:hralign="center" o:hrstd="t" o:hr="t" fillcolor="#a0a0a0" stroked="f"/>
        </w:pict>
      </w:r>
    </w:p>
    <w:p w14:paraId="654ED7BD" w14:textId="77777777" w:rsidR="00624139" w:rsidRPr="00624139" w:rsidRDefault="00624139" w:rsidP="00624139">
      <w:pPr>
        <w:spacing w:line="240" w:lineRule="auto"/>
        <w:rPr>
          <w:b/>
          <w:bCs/>
        </w:rPr>
      </w:pPr>
      <w:r w:rsidRPr="00624139">
        <w:rPr>
          <w:b/>
          <w:bCs/>
        </w:rPr>
        <w:t>4. Key Challenges and Contextual Information</w:t>
      </w:r>
    </w:p>
    <w:p w14:paraId="1CB75297" w14:textId="77777777" w:rsidR="00624139" w:rsidRPr="00624139" w:rsidRDefault="00624139" w:rsidP="00624139">
      <w:pPr>
        <w:spacing w:line="240" w:lineRule="auto"/>
      </w:pPr>
      <w:r w:rsidRPr="00624139">
        <w:t>For exam purposes, it is vital to acknowledge the challenges facing SDG 4 attainment, particularly in the Indian context:</w:t>
      </w:r>
    </w:p>
    <w:p w14:paraId="3FE83808" w14:textId="77777777" w:rsidR="00624139" w:rsidRPr="00624139" w:rsidRDefault="00624139" w:rsidP="00624139">
      <w:pPr>
        <w:numPr>
          <w:ilvl w:val="0"/>
          <w:numId w:val="6"/>
        </w:numPr>
        <w:spacing w:line="240" w:lineRule="auto"/>
      </w:pPr>
      <w:r w:rsidRPr="00624139">
        <w:rPr>
          <w:b/>
          <w:bCs/>
        </w:rPr>
        <w:t>Low Learning Outcomes:</w:t>
      </w:r>
      <w:r w:rsidRPr="00624139">
        <w:t xml:space="preserve"> Despite significant progress in enrolment rates, a major challenge in India is the persistence of low learning outcomes. For example, in 2014, about a quarter of children enrolled in Std VIII struggled to read a simple text at the Std II level of difficulty.</w:t>
      </w:r>
    </w:p>
    <w:p w14:paraId="4ABA6831" w14:textId="77777777" w:rsidR="00624139" w:rsidRPr="00624139" w:rsidRDefault="00624139" w:rsidP="00624139">
      <w:pPr>
        <w:numPr>
          <w:ilvl w:val="0"/>
          <w:numId w:val="6"/>
        </w:numPr>
        <w:spacing w:line="240" w:lineRule="auto"/>
      </w:pPr>
      <w:r w:rsidRPr="00624139">
        <w:rPr>
          <w:b/>
          <w:bCs/>
        </w:rPr>
        <w:t>School Dropouts:</w:t>
      </w:r>
      <w:r w:rsidRPr="00624139">
        <w:t xml:space="preserve"> Although declining, drop-out rates remain a major challenge, especially at the secondary level (reaching 17.86% in 2013-14). Reasons include reluctance of parents, lack of interest, child labour, child marriage, long distances to school, poor infrastructure, and corporal punishment.</w:t>
      </w:r>
    </w:p>
    <w:p w14:paraId="6C3BFF1B" w14:textId="77777777" w:rsidR="00624139" w:rsidRPr="00624139" w:rsidRDefault="00624139" w:rsidP="00624139">
      <w:pPr>
        <w:numPr>
          <w:ilvl w:val="0"/>
          <w:numId w:val="6"/>
        </w:numPr>
        <w:spacing w:line="240" w:lineRule="auto"/>
      </w:pPr>
      <w:r w:rsidRPr="00624139">
        <w:rPr>
          <w:b/>
          <w:bCs/>
        </w:rPr>
        <w:t>Inadequate Funding:</w:t>
      </w:r>
      <w:r w:rsidRPr="00624139">
        <w:t xml:space="preserve"> Globally, to finance SDG 4, the UN recommends allocating 15-20% of a country’s budget or 4-6% of GDP to education. In India, expenditure on education as a percentage of GDP has consistently hovered around 3% (e.g., 3.2% in 2016-17).</w:t>
      </w:r>
    </w:p>
    <w:p w14:paraId="54B6B0CF" w14:textId="77777777" w:rsidR="00624139" w:rsidRPr="00624139" w:rsidRDefault="00624139" w:rsidP="00624139">
      <w:pPr>
        <w:numPr>
          <w:ilvl w:val="0"/>
          <w:numId w:val="6"/>
        </w:numPr>
        <w:spacing w:line="240" w:lineRule="auto"/>
      </w:pPr>
      <w:r w:rsidRPr="00624139">
        <w:rPr>
          <w:b/>
          <w:bCs/>
        </w:rPr>
        <w:t>Infrastructure Deficiencies:</w:t>
      </w:r>
      <w:r w:rsidRPr="00624139">
        <w:t xml:space="preserve"> Despite the </w:t>
      </w:r>
      <w:r w:rsidRPr="00624139">
        <w:rPr>
          <w:i/>
          <w:iCs/>
        </w:rPr>
        <w:t>Swachh Vidyalaya</w:t>
      </w:r>
      <w:r w:rsidRPr="00624139">
        <w:t xml:space="preserve"> initiative, India has a long way to go to achieve the infrastructural requirements mandated by RTE. The lack of basic infrastructure, safe drinking water, and sanitation facilities are cited as major factors for low enrolment and high dropouts, especially among girls.</w:t>
      </w:r>
    </w:p>
    <w:p w14:paraId="7FA9D4BB" w14:textId="77777777" w:rsidR="00624139" w:rsidRPr="00624139" w:rsidRDefault="00624139" w:rsidP="00624139">
      <w:pPr>
        <w:numPr>
          <w:ilvl w:val="0"/>
          <w:numId w:val="6"/>
        </w:numPr>
        <w:spacing w:line="240" w:lineRule="auto"/>
      </w:pPr>
      <w:r w:rsidRPr="00624139">
        <w:rPr>
          <w:b/>
          <w:bCs/>
        </w:rPr>
        <w:t>Global Context (Debt Crisis):</w:t>
      </w:r>
      <w:r w:rsidRPr="00624139">
        <w:t xml:space="preserve"> Globally, an escalating debt crisis is threatening SDG 4 progress. For regions furthest behind, such as Asia and Sub-Saharan Africa, debt servicing often exceeds education spending multiple times (2.9 times in Asia).</w:t>
      </w:r>
    </w:p>
    <w:p w14:paraId="3152FA7A" w14:textId="77777777" w:rsidR="00624139" w:rsidRPr="00624139" w:rsidRDefault="00624139" w:rsidP="00624139">
      <w:pPr>
        <w:spacing w:line="240" w:lineRule="auto"/>
      </w:pPr>
      <w:r w:rsidRPr="00624139">
        <w:pict w14:anchorId="2A2A30D5">
          <v:rect id="_x0000_i1052" style="width:0;height:1.5pt" o:hralign="center" o:hrstd="t" o:hr="t" fillcolor="#a0a0a0" stroked="f"/>
        </w:pict>
      </w:r>
    </w:p>
    <w:p w14:paraId="575FED91" w14:textId="77777777" w:rsidR="00624139" w:rsidRPr="00624139" w:rsidRDefault="00624139" w:rsidP="00624139">
      <w:pPr>
        <w:spacing w:line="240" w:lineRule="auto"/>
      </w:pPr>
      <w:r w:rsidRPr="00624139">
        <w:rPr>
          <w:i/>
          <w:iCs/>
        </w:rPr>
        <w:t>Note: In India, Constitutionally, free and compulsory education is guaranteed for children in the age group of six to fourteen years. However, pre-primary education is not yet part of the formal education structure, making the achievement of Target 4.2 challenging.</w:t>
      </w:r>
    </w:p>
    <w:p w14:paraId="3253CF1A" w14:textId="77777777" w:rsidR="00A855FE" w:rsidRDefault="00A855FE" w:rsidP="00624139">
      <w:pPr>
        <w:spacing w:line="240" w:lineRule="auto"/>
      </w:pPr>
    </w:p>
    <w:sectPr w:rsidR="00A85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4661"/>
    <w:multiLevelType w:val="multilevel"/>
    <w:tmpl w:val="71E4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857D8"/>
    <w:multiLevelType w:val="multilevel"/>
    <w:tmpl w:val="63B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34A43"/>
    <w:multiLevelType w:val="multilevel"/>
    <w:tmpl w:val="4204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E2FE3"/>
    <w:multiLevelType w:val="multilevel"/>
    <w:tmpl w:val="BC2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03531"/>
    <w:multiLevelType w:val="multilevel"/>
    <w:tmpl w:val="8C2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B0C10"/>
    <w:multiLevelType w:val="multilevel"/>
    <w:tmpl w:val="EF16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330110">
    <w:abstractNumId w:val="4"/>
  </w:num>
  <w:num w:numId="2" w16cid:durableId="1328285779">
    <w:abstractNumId w:val="2"/>
  </w:num>
  <w:num w:numId="3" w16cid:durableId="1176841125">
    <w:abstractNumId w:val="5"/>
  </w:num>
  <w:num w:numId="4" w16cid:durableId="1029649181">
    <w:abstractNumId w:val="0"/>
  </w:num>
  <w:num w:numId="5" w16cid:durableId="1524857091">
    <w:abstractNumId w:val="1"/>
  </w:num>
  <w:num w:numId="6" w16cid:durableId="543714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39"/>
    <w:rsid w:val="001933D7"/>
    <w:rsid w:val="003A509B"/>
    <w:rsid w:val="00624139"/>
    <w:rsid w:val="0095645C"/>
    <w:rsid w:val="00A855FE"/>
    <w:rsid w:val="00C97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7C7F"/>
  <w15:chartTrackingRefBased/>
  <w15:docId w15:val="{FE64CD88-216A-4248-AB70-971E1056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1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1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1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139"/>
    <w:rPr>
      <w:rFonts w:eastAsiaTheme="majorEastAsia" w:cstheme="majorBidi"/>
      <w:color w:val="272727" w:themeColor="text1" w:themeTint="D8"/>
    </w:rPr>
  </w:style>
  <w:style w:type="paragraph" w:styleId="Title">
    <w:name w:val="Title"/>
    <w:basedOn w:val="Normal"/>
    <w:next w:val="Normal"/>
    <w:link w:val="TitleChar"/>
    <w:uiPriority w:val="10"/>
    <w:qFormat/>
    <w:rsid w:val="00624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139"/>
    <w:pPr>
      <w:spacing w:before="160"/>
      <w:jc w:val="center"/>
    </w:pPr>
    <w:rPr>
      <w:i/>
      <w:iCs/>
      <w:color w:val="404040" w:themeColor="text1" w:themeTint="BF"/>
    </w:rPr>
  </w:style>
  <w:style w:type="character" w:customStyle="1" w:styleId="QuoteChar">
    <w:name w:val="Quote Char"/>
    <w:basedOn w:val="DefaultParagraphFont"/>
    <w:link w:val="Quote"/>
    <w:uiPriority w:val="29"/>
    <w:rsid w:val="00624139"/>
    <w:rPr>
      <w:i/>
      <w:iCs/>
      <w:color w:val="404040" w:themeColor="text1" w:themeTint="BF"/>
    </w:rPr>
  </w:style>
  <w:style w:type="paragraph" w:styleId="ListParagraph">
    <w:name w:val="List Paragraph"/>
    <w:basedOn w:val="Normal"/>
    <w:uiPriority w:val="34"/>
    <w:qFormat/>
    <w:rsid w:val="00624139"/>
    <w:pPr>
      <w:ind w:left="720"/>
      <w:contextualSpacing/>
    </w:pPr>
  </w:style>
  <w:style w:type="character" w:styleId="IntenseEmphasis">
    <w:name w:val="Intense Emphasis"/>
    <w:basedOn w:val="DefaultParagraphFont"/>
    <w:uiPriority w:val="21"/>
    <w:qFormat/>
    <w:rsid w:val="00624139"/>
    <w:rPr>
      <w:i/>
      <w:iCs/>
      <w:color w:val="2F5496" w:themeColor="accent1" w:themeShade="BF"/>
    </w:rPr>
  </w:style>
  <w:style w:type="paragraph" w:styleId="IntenseQuote">
    <w:name w:val="Intense Quote"/>
    <w:basedOn w:val="Normal"/>
    <w:next w:val="Normal"/>
    <w:link w:val="IntenseQuoteChar"/>
    <w:uiPriority w:val="30"/>
    <w:qFormat/>
    <w:rsid w:val="00624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139"/>
    <w:rPr>
      <w:i/>
      <w:iCs/>
      <w:color w:val="2F5496" w:themeColor="accent1" w:themeShade="BF"/>
    </w:rPr>
  </w:style>
  <w:style w:type="character" w:styleId="IntenseReference">
    <w:name w:val="Intense Reference"/>
    <w:basedOn w:val="DefaultParagraphFont"/>
    <w:uiPriority w:val="32"/>
    <w:qFormat/>
    <w:rsid w:val="006241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vedantdarange2327@gmail.com</dc:creator>
  <cp:keywords/>
  <dc:description/>
  <cp:lastModifiedBy>vedantdarange2327@gmail.com</cp:lastModifiedBy>
  <cp:revision>2</cp:revision>
  <dcterms:created xsi:type="dcterms:W3CDTF">2025-10-24T12:54:00Z</dcterms:created>
  <dcterms:modified xsi:type="dcterms:W3CDTF">2025-10-24T13:06:00Z</dcterms:modified>
</cp:coreProperties>
</file>