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3322B"/>
          <w:sz w:val="44"/>
          <w:szCs w:val="44"/>
        </w:rPr>
        <w:t xml:space="preserve">PRISMA Platform</w:t>
      </w:r>
    </w:p>
    <w:p>
      <w:pPr>
        <w:spacing w:after="100"/>
      </w:pPr>
      <w:r>
        <w:rPr>
          <w:color w:val="3A6B5C"/>
          <w:sz w:val="28"/>
          <w:szCs w:val="28"/>
        </w:rPr>
        <w:t xml:space="preserve">Tenant-Perspective QA &amp; ML Usefulness Report</w:t>
      </w:r>
    </w:p>
    <w:p>
      <w:pPr>
        <w:spacing w:after="300"/>
      </w:pPr>
      <w:r>
        <w:rPr>
          <w:i/>
          <w:iCs/>
          <w:color w:val="555555"/>
          <w:sz w:val="20"/>
          <w:szCs w:val="20"/>
        </w:rPr>
        <w:t xml:space="preserve">Tested as a live tenant user (owner@prisma-dev.com, workspace "prisma-dev") via Chrome against the running local deployment (localhost:8080 UI / :8000 API / :8001 ML API). Payment/billing flows were intentionally skipped per instructions.</w:t>
      </w:r>
    </w:p>
    <w:p>
      <w:pPr>
        <w:spacing w:after="400"/>
      </w:pPr>
      <w:r>
        <w:rPr>
          <w:color w:val="555555"/>
          <w:sz w:val="20"/>
          <w:szCs w:val="20"/>
        </w:rPr>
        <w:t xml:space="preserve">Date: July 5, 2026</w:t>
      </w:r>
    </w:p>
    <w:p>
      <w:pPr>
        <w:pStyle w:val="Heading1"/>
      </w:pPr>
      <w:r>
        <w:t xml:space="preserve">1. Executive Summary</w:t>
      </w:r>
    </w:p>
    <w:p>
      <w:pPr>
        <w:spacing w:after="160"/>
      </w:pPr>
      <w:r>
        <w:t xml:space="preserve">PRISMA is substantially more built-out than a typical demo: real per-SKU ML forecasting, three genuinely distinct industry experiences (Fashion, Electronics, Pharma — plus Agrocenter and Hardware in settings), a working shortage-alert engine that fuses forecasts with inventory and external trend signals, and a financial-impact layer that translates forecast uncertainty into dollar figures. The core "is the AI useful" question has a qualified yes: the forecasting architecture (quantile P10/P50/P90 bands, per-industry model ensembles, business-friendly framing like "days of cover" and "revenue at risk") is the right design for a planner to actually act on, and the numbers I saw were internally consistent every time I checked the math.</w:t>
      </w:r>
    </w:p>
    <w:p>
      <w:pPr>
        <w:spacing w:after="160"/>
      </w:pPr>
      <w:r>
        <w:t xml:space="preserve">However, this dev tenant has no real historical sales or inventory data loaded, so I could not verify forecast accuracy against real outcomes — the app itself is honest about this and correctly refuses to fabricate accuracy metrics (Forecast Accuracy page). I also found six concrete bugs, ranging from a page-crashing login error to a broken CSV export and a couple of dashboard stats that contradict each other. None of these are fatal, but they should be fixed before a real customer walkthrough. Details and repro steps follow.</w:t>
      </w:r>
    </w:p>
    <w:p>
      <w:pPr>
        <w:pStyle w:val="Heading1"/>
      </w:pPr>
      <w:r>
        <w:t xml:space="preserve">2. What I Tested</w:t>
      </w:r>
    </w:p>
    <w:p>
      <w:pPr>
        <w:spacing w:after="160"/>
      </w:pPr>
      <w:r>
        <w:t xml:space="preserve">Logged in as the seeded Owner account and walked through the app as a tenant would, across three industry contexts:</w:t>
      </w:r>
    </w:p>
    <w:p>
      <w:pPr>
        <w:pStyle w:val="ListParagraph"/>
        <w:numPr>
          <w:ilvl w:val="0"/>
          <w:numId w:val="2"/>
        </w:numPr>
        <w:spacing w:after="100"/>
      </w:pPr>
      <w:r>
        <w:t xml:space="preserve">Core: Dashboard, Products, SKUs, Inventory, Signals</w:t>
      </w:r>
    </w:p>
    <w:p>
      <w:pPr>
        <w:pStyle w:val="ListParagraph"/>
        <w:numPr>
          <w:ilvl w:val="0"/>
          <w:numId w:val="2"/>
        </w:numPr>
        <w:spacing w:after="100"/>
      </w:pPr>
      <w:r>
        <w:t xml:space="preserve">Intelligence: Market Trends (Overview + Regional Insights), Forecasts, Hybrid Forecasts, Shortage Alerts</w:t>
      </w:r>
    </w:p>
    <w:p>
      <w:pPr>
        <w:pStyle w:val="ListParagraph"/>
        <w:numPr>
          <w:ilvl w:val="0"/>
          <w:numId w:val="2"/>
        </w:numPr>
        <w:spacing w:after="100"/>
      </w:pPr>
      <w:r>
        <w:t xml:space="preserve">Analytics: Live Sales, Sales Analytics, Financial Impact, Forecast Accuracy</w:t>
      </w:r>
    </w:p>
    <w:p>
      <w:pPr>
        <w:pStyle w:val="ListParagraph"/>
        <w:numPr>
          <w:ilvl w:val="0"/>
          <w:numId w:val="2"/>
        </w:numPr>
        <w:spacing w:after="100"/>
      </w:pPr>
      <w:r>
        <w:t xml:space="preserve">Platform: Integrations Hub, Settings (Profile, Industry, Workspace), industry switching (Fashion → Electronics → Pharmaceuticals)</w:t>
      </w:r>
    </w:p>
    <w:p>
      <w:pPr>
        <w:pStyle w:val="ListParagraph"/>
        <w:numPr>
          <w:ilvl w:val="0"/>
          <w:numId w:val="2"/>
        </w:numPr>
        <w:spacing w:after="100"/>
      </w:pPr>
      <w:r>
        <w:t xml:space="preserve">Actions exercised: ran a per-SKU forecast at multiple horizons, acknowledged a shortage alert, attempted to create a new product, attempted a CSV export, attempted to run a hybrid forecast</w:t>
      </w:r>
    </w:p>
    <w:p>
      <w:pPr>
        <w:pStyle w:val="Heading1"/>
      </w:pPr>
      <w:r>
        <w:t xml:space="preserve">3. What Works Well</w:t>
      </w:r>
    </w:p>
    <w:p>
      <w:pPr>
        <w:pStyle w:val="Heading2"/>
      </w:pPr>
      <w:r>
        <w:t xml:space="preserve">3.1 Forecasting core</w:t>
      </w:r>
    </w:p>
    <w:p>
      <w:pPr>
        <w:pStyle w:val="ListParagraph"/>
        <w:numPr>
          <w:ilvl w:val="0"/>
          <w:numId w:val="2"/>
        </w:numPr>
        <w:spacing w:after="100"/>
      </w:pPr>
      <w:r>
        <w:t xml:space="preserve">Per-SKU demand forecasting is real, not static: switching the horizon (4w/8w/12w) triggered an actual recompute — the toast said "8 forecast points generated" and the P50/P90/P10 chart updated with different, internally consistent numbers each time (e.g. +24.3% over 12w vs +15.4% over 8w for the same SKU).</w:t>
      </w:r>
    </w:p>
    <w:p>
      <w:pPr>
        <w:pStyle w:val="ListParagraph"/>
        <w:numPr>
          <w:ilvl w:val="0"/>
          <w:numId w:val="2"/>
        </w:numPr>
        <w:spacing w:after="100"/>
      </w:pPr>
      <w:r>
        <w:t xml:space="preserve">P10 &lt; P50 &lt; P90 ordering held on every SKU and every horizon I checked — no inverted or nonsensical bands.</w:t>
      </w:r>
    </w:p>
    <w:p>
      <w:pPr>
        <w:pStyle w:val="ListParagraph"/>
        <w:numPr>
          <w:ilvl w:val="0"/>
          <w:numId w:val="2"/>
        </w:numPr>
        <w:spacing w:after="100"/>
      </w:pPr>
      <w:r>
        <w:t xml:space="preserve">The "Demand Forecasts" page frames the three numbers in plain business language (conservative / expected / optimistic, with a use-case for each), which is exactly what makes a forecast usable by a planner rather than just a data scientist.</w:t>
      </w:r>
    </w:p>
    <w:p>
      <w:pPr>
        <w:pStyle w:val="Heading2"/>
      </w:pPr>
      <w:r>
        <w:t xml:space="preserve">3.2 Shortage Alerts</w:t>
      </w:r>
    </w:p>
    <w:p>
      <w:pPr>
        <w:pStyle w:val="ListParagraph"/>
        <w:numPr>
          <w:ilvl w:val="0"/>
          <w:numId w:val="2"/>
        </w:numPr>
        <w:spacing w:after="100"/>
      </w:pPr>
      <w:r>
        <w:t xml:space="preserve">Genuinely fuses three data sources into one risk score: P90 demand forecast, on-hand inventory, and an external signal (Google Trends momentum for a related search term), producing e.g. "Risk: 86%, 0.0 days of cover... Top external headwind: google_trends/google:denim_jacket (-0.92)".</w:t>
      </w:r>
    </w:p>
    <w:p>
      <w:pPr>
        <w:pStyle w:val="ListParagraph"/>
        <w:numPr>
          <w:ilvl w:val="0"/>
          <w:numId w:val="2"/>
        </w:numPr>
        <w:spacing w:after="100"/>
      </w:pPr>
      <w:r>
        <w:t xml:space="preserve">Acknowledge/Resolve actions work correctly — clicking Acknowledge fired a toast, updated the Critical/Open counters live, and moved the alert out of the default filtered view.</w:t>
      </w:r>
    </w:p>
    <w:p>
      <w:pPr>
        <w:pStyle w:val="Heading2"/>
      </w:pPr>
      <w:r>
        <w:t xml:space="preserve">3.3 Financial Impact</w:t>
      </w:r>
    </w:p>
    <w:p>
      <w:pPr>
        <w:pStyle w:val="ListParagraph"/>
        <w:numPr>
          <w:ilvl w:val="0"/>
          <w:numId w:val="2"/>
        </w:numPr>
        <w:spacing w:after="100"/>
      </w:pPr>
      <w:r>
        <w:t xml:space="preserve">Converts the P90–P50 forecast gap into a dollar "Revenue at Risk" figure per SKU. I hand-checked the math: (76.1K − 63K units) × $189 ≈ $2.5M, which matched the displayed figure exactly.</w:t>
      </w:r>
    </w:p>
    <w:p>
      <w:pPr>
        <w:pStyle w:val="ListParagraph"/>
        <w:numPr>
          <w:ilvl w:val="0"/>
          <w:numId w:val="2"/>
        </w:numPr>
        <w:spacing w:after="100"/>
      </w:pPr>
      <w:r>
        <w:t xml:space="preserve">Proactively flags when it's using estimated rather than real inventory data ("4 SKUs using estimated stock... Cost figures may be inaccurate") with a direct CTA to fix it — good, honest UX rather than presenting fabricated precision.</w:t>
      </w:r>
    </w:p>
    <w:p>
      <w:pPr>
        <w:pStyle w:val="Heading2"/>
      </w:pPr>
      <w:r>
        <w:t xml:space="preserve">3.4 Multi-industry depth</w:t>
      </w:r>
    </w:p>
    <w:p>
      <w:pPr>
        <w:pStyle w:val="ListParagraph"/>
        <w:numPr>
          <w:ilvl w:val="0"/>
          <w:numId w:val="2"/>
        </w:numPr>
        <w:spacing w:after="100"/>
      </w:pPr>
      <w:r>
        <w:t xml:space="preserve">Settings → Industry lists five fully modeled verticals (Fashion 26w, Electronics 12w, Pharma 52w/GxP, Agrocenter 26w, Hardware 16w) — more than the three the README advertises.</w:t>
      </w:r>
    </w:p>
    <w:p>
      <w:pPr>
        <w:pStyle w:val="ListParagraph"/>
        <w:numPr>
          <w:ilvl w:val="0"/>
          <w:numId w:val="2"/>
        </w:numPr>
        <w:spacing w:after="100"/>
      </w:pPr>
      <w:r>
        <w:t xml:space="preserve">Switching industries genuinely changes the product: Electronics shows a "Component Risk Radar" (TSMC 5nm chips, OLED panels, battery cells) with lead times and a supply-risk narrative; Pharma shows a GxP / 21 CFR Part 11 badge, batch expiry alerts by lot number, and a Released/Quarantine/On-Hold compliance snapshot. These are not the same dashboard with relabeled headings.</w:t>
      </w:r>
    </w:p>
    <w:p>
      <w:pPr>
        <w:pStyle w:val="Heading2"/>
      </w:pPr>
      <w:r>
        <w:t xml:space="preserve">3.5 Other solid areas</w:t>
      </w:r>
    </w:p>
    <w:p>
      <w:pPr>
        <w:pStyle w:val="ListParagraph"/>
        <w:numPr>
          <w:ilvl w:val="0"/>
          <w:numId w:val="2"/>
        </w:numPr>
        <w:spacing w:after="100"/>
      </w:pPr>
      <w:r>
        <w:t xml:space="preserve">Market Trends → Regional Insights returns rich, India-specific demand data (state/city-level growth and cooling markets, tier performance) that reads as genuinely computed rather than placeholder text.</w:t>
      </w:r>
    </w:p>
    <w:p>
      <w:pPr>
        <w:pStyle w:val="ListParagraph"/>
        <w:numPr>
          <w:ilvl w:val="0"/>
          <w:numId w:val="2"/>
        </w:numPr>
        <w:spacing w:after="100"/>
      </w:pPr>
      <w:r>
        <w:t xml:space="preserve">Forecast Accuracy correctly shows "No accuracy data yet" and explains it needs real sales history to compute MAPE/WAPE — it does not fake a score.</w:t>
      </w:r>
    </w:p>
    <w:p>
      <w:pPr>
        <w:pStyle w:val="ListParagraph"/>
        <w:numPr>
          <w:ilvl w:val="0"/>
          <w:numId w:val="2"/>
        </w:numPr>
        <w:spacing w:after="100"/>
      </w:pPr>
      <w:r>
        <w:t xml:space="preserve">Integrations Hub catalogs 34 data sources with 6 already functional (CSV, Excel, Shopify, WooCommerce, PostgreSQL, MySQL).</w:t>
      </w:r>
    </w:p>
    <w:p>
      <w:r>
        <w:br w:type="page"/>
      </w:r>
    </w:p>
    <w:p>
      <w:pPr>
        <w:pStyle w:val="Heading1"/>
      </w:pPr>
      <w:r>
        <w:t xml:space="preserve">4. Bugs Found</w:t>
      </w:r>
    </w:p>
    <w:p>
      <w:pPr>
        <w:spacing w:after="160"/>
      </w:pPr>
      <w:r>
        <w:t xml:space="preserve">Six issues worth fixing, roughly in priority order. Each was reproduced directly in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4340"/>
        <w:gridCol w:w="1300"/>
      </w:tblGrid>
      <w:tr>
        <w:trPr>
          <w:tblHeader/>
        </w:trPr>
        <w:tc>
          <w:tcPr>
            <w:tcW w:type="dxa" w:w="520"/>
            <w:tcBorders>
              <w:top w:val="single" w:color="D0D0D0" w:sz="2"/>
              <w:left w:val="single" w:color="D0D0D0" w:sz="2"/>
              <w:bottom w:val="single" w:color="D0D0D0" w:sz="2"/>
              <w:right w:val="single" w:color="D0D0D0" w:sz="2"/>
            </w:tcBorders>
            <w:shd w:fill="13322B" w:val="clear"/>
            <w:tcMar>
              <w:top w:type="dxa" w:w="80"/>
              <w:left w:type="dxa" w:w="120"/>
              <w:bottom w:type="dxa" w:w="80"/>
              <w:right w:type="dxa" w:w="120"/>
            </w:tcMar>
          </w:tcPr>
          <w:p>
            <w:r>
              <w:rPr>
                <w:b/>
                <w:bCs/>
              </w:rPr>
              <w:t xml:space="preserve">#</w:t>
            </w:r>
          </w:p>
        </w:tc>
        <w:tc>
          <w:tcPr>
            <w:tcW w:type="dxa" w:w="3200"/>
            <w:tcBorders>
              <w:top w:val="single" w:color="D0D0D0" w:sz="2"/>
              <w:left w:val="single" w:color="D0D0D0" w:sz="2"/>
              <w:bottom w:val="single" w:color="D0D0D0" w:sz="2"/>
              <w:right w:val="single" w:color="D0D0D0" w:sz="2"/>
            </w:tcBorders>
            <w:shd w:fill="13322B" w:val="clear"/>
            <w:tcMar>
              <w:top w:type="dxa" w:w="80"/>
              <w:left w:type="dxa" w:w="120"/>
              <w:bottom w:type="dxa" w:w="80"/>
              <w:right w:type="dxa" w:w="120"/>
            </w:tcMar>
          </w:tcPr>
          <w:p>
            <w:r>
              <w:rPr>
                <w:b/>
                <w:bCs/>
              </w:rPr>
              <w:t xml:space="preserve">Issue</w:t>
            </w:r>
          </w:p>
        </w:tc>
        <w:tc>
          <w:tcPr>
            <w:tcW w:type="dxa" w:w="4340"/>
            <w:tcBorders>
              <w:top w:val="single" w:color="D0D0D0" w:sz="2"/>
              <w:left w:val="single" w:color="D0D0D0" w:sz="2"/>
              <w:bottom w:val="single" w:color="D0D0D0" w:sz="2"/>
              <w:right w:val="single" w:color="D0D0D0" w:sz="2"/>
            </w:tcBorders>
            <w:shd w:fill="13322B" w:val="clear"/>
            <w:tcMar>
              <w:top w:type="dxa" w:w="80"/>
              <w:left w:type="dxa" w:w="120"/>
              <w:bottom w:type="dxa" w:w="80"/>
              <w:right w:type="dxa" w:w="120"/>
            </w:tcMar>
          </w:tcPr>
          <w:p>
            <w:r>
              <w:rPr>
                <w:b/>
                <w:bCs/>
              </w:rPr>
              <w:t xml:space="preserve">Evidence / Repro</w:t>
            </w:r>
          </w:p>
        </w:tc>
        <w:tc>
          <w:tcPr>
            <w:tcW w:type="dxa" w:w="1300"/>
            <w:tcBorders>
              <w:top w:val="single" w:color="D0D0D0" w:sz="2"/>
              <w:left w:val="single" w:color="D0D0D0" w:sz="2"/>
              <w:bottom w:val="single" w:color="D0D0D0" w:sz="2"/>
              <w:right w:val="single" w:color="D0D0D0" w:sz="2"/>
            </w:tcBorders>
            <w:shd w:fill="13322B" w:val="clear"/>
            <w:tcMar>
              <w:top w:type="dxa" w:w="80"/>
              <w:left w:type="dxa" w:w="120"/>
              <w:bottom w:type="dxa" w:w="80"/>
              <w:right w:type="dxa" w:w="120"/>
            </w:tcMar>
          </w:tcPr>
          <w:p>
            <w:r>
              <w:rPr>
                <w:b/>
                <w:bCs/>
              </w:rPr>
              <w:t xml:space="preserve">Severity</w:t>
            </w:r>
          </w:p>
        </w:tc>
      </w:tr>
      <w:tr>
        <w:tc>
          <w:tcPr>
            <w:tcW w:type="dxa" w:w="52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1</w:t>
            </w:r>
          </w:p>
        </w:tc>
        <w:tc>
          <w:tcPr>
            <w:tcW w:type="dxa" w:w="32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Login page can white-screen crash</w:t>
            </w:r>
          </w:p>
        </w:tc>
        <w:tc>
          <w:tcPr>
            <w:tcW w:type="dxa" w:w="434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While filling the sign-in form quickly, the page threw "Minified React error #31" (object with keys {type, loc, msg, input, ctx} — a raw FastAPI/Pydantic validation error being rendered directly as a React child). A slower, deliberate fill did not reproduce it, suggesting a race between a debounced validation call and form submit. Any endpoint returning a 422 to this shared error component risks the same crash.</w:t>
            </w:r>
          </w:p>
        </w:tc>
        <w:tc>
          <w:tcPr>
            <w:tcW w:type="dxa" w:w="13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High</w:t>
            </w:r>
          </w:p>
        </w:tc>
      </w:tr>
      <w:tr>
        <w:tc>
          <w:tcPr>
            <w:tcW w:type="dxa" w:w="52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2</w:t>
            </w:r>
          </w:p>
        </w:tc>
        <w:tc>
          <w:tcPr>
            <w:tcW w:type="dxa" w:w="32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"Run hybrid forecast" button does nothing</w:t>
            </w:r>
          </w:p>
        </w:tc>
        <w:tc>
          <w:tcPr>
            <w:tcW w:type="dxa" w:w="434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On Hybrid Forecasts, clicking "Run hybrid forecast" fires no network request at all (confirmed via network log), shows no toast or error, and the panel stays on "No hybrid projections active" indefinitely. The feature appears unwired to a backend action.</w:t>
            </w:r>
          </w:p>
        </w:tc>
        <w:tc>
          <w:tcPr>
            <w:tcW w:type="dxa" w:w="13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High</w:t>
            </w:r>
          </w:p>
        </w:tc>
      </w:tr>
      <w:tr>
        <w:tc>
          <w:tcPr>
            <w:tcW w:type="dxa" w:w="52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3</w:t>
            </w:r>
          </w:p>
        </w:tc>
        <w:tc>
          <w:tcPr>
            <w:tcW w:type="dxa" w:w="32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Product CSV export fails</w:t>
            </w:r>
          </w:p>
        </w:tc>
        <w:tc>
          <w:tcPr>
            <w:tcW w:type="dxa" w:w="434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Clicking "Export CSV" on the Products page shows an "Export failed" toast. Network log shows GET /api/v1/export/products.csv returning 404 — the backend route isn't implemented (or is misrouted).</w:t>
            </w:r>
          </w:p>
        </w:tc>
        <w:tc>
          <w:tcPr>
            <w:tcW w:type="dxa" w:w="13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Medium</w:t>
            </w:r>
          </w:p>
        </w:tc>
      </w:tr>
      <w:tr>
        <w:tc>
          <w:tcPr>
            <w:tcW w:type="dxa" w:w="52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4</w:t>
            </w:r>
          </w:p>
        </w:tc>
        <w:tc>
          <w:tcPr>
            <w:tcW w:type="dxa" w:w="32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Currency shown inconsistently</w:t>
            </w:r>
          </w:p>
        </w:tc>
        <w:tc>
          <w:tcPr>
            <w:tcW w:type="dxa" w:w="434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Global currency selector is set to INR. Products grid shows SKU prices with a "$" prefix (e.g. "$69"), while the same SKU's detail page shows "₹5,727" for what should be the same underlying price. One of the two views is not respecting the selected/canonical currency.</w:t>
            </w:r>
          </w:p>
        </w:tc>
        <w:tc>
          <w:tcPr>
            <w:tcW w:type="dxa" w:w="13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Medium</w:t>
            </w:r>
          </w:p>
        </w:tc>
      </w:tr>
      <w:tr>
        <w:tc>
          <w:tcPr>
            <w:tcW w:type="dxa" w:w="52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5</w:t>
            </w:r>
          </w:p>
        </w:tc>
        <w:tc>
          <w:tcPr>
            <w:tcW w:type="dxa" w:w="32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Pharma dashboard contradicts itself on batch expiry</w:t>
            </w:r>
          </w:p>
        </w:tc>
        <w:tc>
          <w:tcPr>
            <w:tcW w:type="dxa" w:w="434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The dashboard's "Batch Expiry Alert" banner names two specific lots expiring in 18–25 days (well inside 90 days), but the "Expiring ≤ 90D" KPI card reads 0, and the "Expiry Timeline" widget on the same page says "No batches expiring within 90 days." The narrative alert and the underlying stats disagree — looks like the alert banner is driven by separately seeded/illustrative content, not the same batch table the KPI cards query.</w:t>
            </w:r>
          </w:p>
        </w:tc>
        <w:tc>
          <w:tcPr>
            <w:tcW w:type="dxa" w:w="13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Medium</w:t>
            </w:r>
          </w:p>
        </w:tc>
      </w:tr>
      <w:tr>
        <w:tc>
          <w:tcPr>
            <w:tcW w:type="dxa" w:w="52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6</w:t>
            </w:r>
          </w:p>
        </w:tc>
        <w:tc>
          <w:tcPr>
            <w:tcW w:type="dxa" w:w="32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Sales Analytics "This Year" figure is unsupported by any visible transactions</w:t>
            </w:r>
          </w:p>
        </w:tc>
        <w:tc>
          <w:tcPr>
            <w:tcW w:type="dxa" w:w="434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"This Year" shows $21,524,494 / 164,565 units / 384 orders, but Today, This Week, and This Month all show $0, and "Top selling products" says "No sales recorded yet." If there really are 384 orders backing the yearly figure, at least some should surface in the product/time breakdowns; if there aren't, the yearly number shouldn't be there either.</w:t>
            </w:r>
          </w:p>
        </w:tc>
        <w:tc>
          <w:tcPr>
            <w:tcW w:type="dxa" w:w="1300"/>
            <w:tcBorders>
              <w:top w:val="single" w:color="D0D0D0" w:sz="2"/>
              <w:left w:val="single" w:color="D0D0D0" w:sz="2"/>
              <w:bottom w:val="single" w:color="D0D0D0" w:sz="2"/>
              <w:right w:val="single" w:color="D0D0D0" w:sz="2"/>
            </w:tcBorders>
            <w:tcMar>
              <w:top w:type="dxa" w:w="80"/>
              <w:left w:type="dxa" w:w="120"/>
              <w:bottom w:type="dxa" w:w="80"/>
              <w:right w:type="dxa" w:w="120"/>
            </w:tcMar>
          </w:tcPr>
          <w:p>
            <w:r>
              <w:rPr>
                <w:b w:val="false"/>
                <w:bCs w:val="false"/>
              </w:rPr>
              <w:t xml:space="preserve">Medium</w:t>
            </w:r>
          </w:p>
        </w:tc>
      </w:tr>
    </w:tbl>
    <w:p>
      <w:pPr>
        <w:spacing w:before="240"/>
      </w:pPr>
      <w:r>
        <w:rPr>
          <w:b/>
          <w:bCs/>
        </w:rPr>
        <w:t xml:space="preserve">Minor / worth a look: </w:t>
      </w:r>
      <w:r>
        <w:t xml:space="preserve">on the Forecasts page, all four Fashion SKUs displayed the identical recommendation copy ("BUY NOW — AND STOCK UP") despite having different demand magnitudes and growth rates — worth confirming the recommendation logic actually branches on the numbers rather than defaulting to one templated message when demand is rising.</w:t>
      </w:r>
    </w:p>
    <w:p>
      <w:r>
        <w:br w:type="page"/>
      </w:r>
    </w:p>
    <w:p>
      <w:pPr>
        <w:pStyle w:val="Heading1"/>
      </w:pPr>
      <w:r>
        <w:t xml:space="preserve">5. Are the ML Predictions Useful? My Assessment</w:t>
      </w:r>
    </w:p>
    <w:p>
      <w:pPr>
        <w:spacing w:after="160"/>
      </w:pPr>
      <w:r>
        <w:t xml:space="preserve">Short answer: the design is right, but this environment can't prove out accuracy yet.</w:t>
      </w:r>
    </w:p>
    <w:p>
      <w:pPr>
        <w:pStyle w:val="Heading2"/>
      </w:pPr>
      <w:r>
        <w:t xml:space="preserve">5.1 What I could verify</w:t>
      </w:r>
    </w:p>
    <w:p>
      <w:pPr>
        <w:pStyle w:val="ListParagraph"/>
        <w:numPr>
          <w:ilvl w:val="0"/>
          <w:numId w:val="2"/>
        </w:numPr>
        <w:spacing w:after="100"/>
      </w:pPr>
      <w:r>
        <w:t xml:space="preserve">Internal consistency: every forecast I generated kept P10 &lt; P50 &lt; P90, and re-running at a different horizon produced proportionally sensible changes (shorter horizon → smaller cumulative growth %, same direction).</w:t>
      </w:r>
    </w:p>
    <w:p>
      <w:pPr>
        <w:pStyle w:val="ListParagraph"/>
        <w:numPr>
          <w:ilvl w:val="0"/>
          <w:numId w:val="2"/>
        </w:numPr>
        <w:spacing w:after="100"/>
      </w:pPr>
      <w:r>
        <w:t xml:space="preserve">Downstream math is correct: I independently recomputed the Financial Impact "Revenue at Risk" numbers from the displayed P50/P90/price figures and they matched to the dollar.</w:t>
      </w:r>
    </w:p>
    <w:p>
      <w:pPr>
        <w:pStyle w:val="ListParagraph"/>
        <w:numPr>
          <w:ilvl w:val="0"/>
          <w:numId w:val="2"/>
        </w:numPr>
        <w:spacing w:after="100"/>
      </w:pPr>
      <w:r>
        <w:t xml:space="preserve">The framing is planner-friendly, not just data-scientist-friendly: quantile bands mapped to "safe minimum," "planning baseline," and "safety stock target"; shortage alerts translate straight into "days of cover"; financial impact translates straight into dollars. This is the layer that usually determines whether a forecasting tool gets used or ignored, and PRISMA has it.</w:t>
      </w:r>
    </w:p>
    <w:p>
      <w:pPr>
        <w:pStyle w:val="Heading2"/>
      </w:pPr>
      <w:r>
        <w:t xml:space="preserve">5.2 What I could not verify</w:t>
      </w:r>
    </w:p>
    <w:p>
      <w:pPr>
        <w:pStyle w:val="ListParagraph"/>
        <w:numPr>
          <w:ilvl w:val="0"/>
          <w:numId w:val="2"/>
        </w:numPr>
        <w:spacing w:after="100"/>
      </w:pPr>
      <w:r>
        <w:t xml:space="preserve">Actual accuracy against ground truth. The Forecast Accuracy page (MAPE/WAPE/anomaly log) correctly reports "No accuracy data yet" because this tenant has no ingested historical sales to compare forecasts against — Live Sales shows "No store connected" and Sales Analytics shows no per-transaction data. This is the right behavior for the app (it isn't inventing a score), but it means nobody can yet answer "how accurate is this" with evidence — only "is the pipeline plausible," which it is.</w:t>
      </w:r>
    </w:p>
    <w:p>
      <w:pPr>
        <w:pStyle w:val="ListParagraph"/>
        <w:numPr>
          <w:ilvl w:val="0"/>
          <w:numId w:val="2"/>
        </w:numPr>
        <w:spacing w:after="100"/>
      </w:pPr>
      <w:r>
        <w:t xml:space="preserve">Real-world usefulness of the Shortage Alerts risk scores, since every SKU currently shows 0 on-hand inventory (no warehouse data has been imported), so every alert is trivially "critical." The engine's logic looks sound, but it hasn't been stress-tested against a realistic mix of stock levels.</w:t>
      </w:r>
    </w:p>
    <w:p>
      <w:pPr>
        <w:pStyle w:val="Heading2"/>
      </w:pPr>
      <w:r>
        <w:t xml:space="preserve">5.3 Recommendation</w:t>
      </w:r>
    </w:p>
    <w:p>
      <w:pPr>
        <w:spacing w:after="160"/>
      </w:pPr>
      <w:r>
        <w:t xml:space="preserve">Before showing this to a real prospect as a "the AI is accurate" proof point, load the dev tenant with: (1) a real inventory snapshot via CSV/Excel import so safety stock, lead time, and margin stop showing "—"; and (2) at least several weeks of historical sales via the existing ingest endpoint, so the Forecast Accuracy page can compute a genuine MAPE/WAPE. Right now the honest claim is "the forecasting architecture is sound and the outputs are internally consistent," not "we've measured X% accuracy."</w:t>
      </w:r>
    </w:p>
    <w:p>
      <w:pPr>
        <w:pStyle w:val="Heading1"/>
      </w:pPr>
      <w:r>
        <w:t xml:space="preserve">6. Data Gaps Limiting This Demo</w:t>
      </w:r>
    </w:p>
    <w:p>
      <w:pPr>
        <w:pStyle w:val="ListParagraph"/>
        <w:numPr>
          <w:ilvl w:val="0"/>
          <w:numId w:val="2"/>
        </w:numPr>
        <w:spacing w:after="100"/>
      </w:pPr>
      <w:r>
        <w:t xml:space="preserve">Inventory is empty for every SKU across all industries tested ("No stock data yet") — this cascades into missing unit cost, lead time, safety stock, and reorder point on every SKU detail page, and into artificially critical shortage alerts.</w:t>
      </w:r>
    </w:p>
    <w:p>
      <w:pPr>
        <w:pStyle w:val="ListParagraph"/>
        <w:numPr>
          <w:ilvl w:val="0"/>
          <w:numId w:val="2"/>
        </w:numPr>
        <w:spacing w:after="100"/>
      </w:pPr>
      <w:r>
        <w:t xml:space="preserve">No live sales/POS connection — Live Sales shows "No store connected"; Sales Analytics has no transaction-level data despite an aggregate yearly figure being present (see Bug 6).</w:t>
      </w:r>
    </w:p>
    <w:p>
      <w:pPr>
        <w:pStyle w:val="ListParagraph"/>
        <w:numPr>
          <w:ilvl w:val="0"/>
          <w:numId w:val="2"/>
        </w:numPr>
        <w:spacing w:after="100"/>
      </w:pPr>
      <w:r>
        <w:t xml:space="preserve">External Signals table (raw weather/regulatory/logistics feed) is empty even though the Dashboard and Market Trends pages reference thousands of validated trend signals — likely two different data sources under one "Signals" umbrella; worth confirming with engineering that this is expected rather than a broken ingestion job.</w:t>
      </w:r>
    </w:p>
    <w:p>
      <w:pPr>
        <w:pStyle w:val="Heading1"/>
      </w:pPr>
      <w:r>
        <w:t xml:space="preserve">7. Suggested Priority Order</w:t>
      </w:r>
    </w:p>
    <w:p>
      <w:pPr>
        <w:pStyle w:val="ListParagraph"/>
        <w:numPr>
          <w:ilvl w:val="0"/>
          <w:numId w:val="2"/>
        </w:numPr>
        <w:spacing w:after="100"/>
      </w:pPr>
      <w:r>
        <w:t xml:space="preserve">Fix the login crash (Bug 1) — this is the front door and a crash there is the worst possible first impression.</w:t>
      </w:r>
    </w:p>
    <w:p>
      <w:pPr>
        <w:pStyle w:val="ListParagraph"/>
        <w:numPr>
          <w:ilvl w:val="0"/>
          <w:numId w:val="2"/>
        </w:numPr>
        <w:spacing w:after="100"/>
      </w:pPr>
      <w:r>
        <w:t xml:space="preserve">Wire up or hide the "Run hybrid forecast" button (Bug 2) and fix the products CSV export route (Bug 3) — both are visible, easy-to-hit dead ends.</w:t>
      </w:r>
    </w:p>
    <w:p>
      <w:pPr>
        <w:pStyle w:val="ListParagraph"/>
        <w:numPr>
          <w:ilvl w:val="0"/>
          <w:numId w:val="2"/>
        </w:numPr>
        <w:spacing w:after="100"/>
      </w:pPr>
      <w:r>
        <w:t xml:space="preserve">Reconcile the two dashboard inconsistencies (Bugs 5 and 6) — these erode trust in every other number on the page once a user notices one contradiction.</w:t>
      </w:r>
    </w:p>
    <w:p>
      <w:pPr>
        <w:pStyle w:val="ListParagraph"/>
        <w:numPr>
          <w:ilvl w:val="0"/>
          <w:numId w:val="2"/>
        </w:numPr>
        <w:spacing w:after="100"/>
      </w:pPr>
      <w:r>
        <w:t xml:space="preserve">Fix the currency display bug (Bug 4).</w:t>
      </w:r>
    </w:p>
    <w:p>
      <w:pPr>
        <w:pStyle w:val="ListParagraph"/>
        <w:numPr>
          <w:ilvl w:val="0"/>
          <w:numId w:val="2"/>
        </w:numPr>
        <w:spacing w:after="100"/>
      </w:pPr>
      <w:r>
        <w:t xml:space="preserve">Seed the dev/demo tenant with realistic inventory and historical sales so Forecast Accuracy and Financial Impact can be demonstrated with real, defensible numbers instead of estimates.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PRISMA Tenant-Perspective QA Report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3322B"/>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332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2026-07-05T06:15:54.682Z</dcterms:created>
  <dcterms:modified xsi:type="dcterms:W3CDTF">2026-07-05T06:15:54.682Z</dcterms:modified>
</cp:coreProperties>
</file>

<file path=docProps/custom.xml><?xml version="1.0" encoding="utf-8"?>
<Properties xmlns="http://schemas.openxmlformats.org/officeDocument/2006/custom-properties" xmlns:vt="http://schemas.openxmlformats.org/officeDocument/2006/docPropsVTypes"/>
</file>