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0D9488"/>
          <w:spacing w:val="200"/>
          <w:sz w:val="28"/>
          <w:szCs w:val="28"/>
        </w:rPr>
        <w:t xml:space="preserve">PRODUCT PROPOSAL — REVISED v2.0</w:t>
      </w:r>
    </w:p>
    <w:p>
      <w:pPr>
        <w:pBdr>
          <w:bottom w:val="single" w:color="0D9488" w:sz="6" w:space="8"/>
        </w:pBdr>
        <w:spacing w:after="100"/>
        <w:jc w:val="center"/>
      </w:pPr>
      <w:r>
        <w:rPr>
          <w:rFonts w:ascii="Arial" w:cs="Arial" w:eastAsia="Arial" w:hAnsi="Arial"/>
          <w:b/>
          <w:bCs/>
          <w:color w:val="1B2A4A"/>
          <w:sz w:val="72"/>
          <w:szCs w:val="72"/>
        </w:rPr>
        <w:t xml:space="preserve">TrustStack</w:t>
      </w:r>
    </w:p>
    <w:p>
      <w:pPr>
        <w:spacing w:after="200" w:before="200"/>
        <w:jc w:val="center"/>
      </w:pPr>
      <w:r>
        <w:rPr>
          <w:rFonts w:ascii="Arial" w:cs="Arial" w:eastAsia="Arial" w:hAnsi="Arial"/>
          <w:color w:val="475569"/>
          <w:sz w:val="30"/>
          <w:szCs w:val="30"/>
        </w:rPr>
        <w:t xml:space="preserve">India’s First AI-Powered DPDPA Compliance Suite</w:t>
      </w:r>
    </w:p>
    <w:p>
      <w:pPr>
        <w:spacing w:after="80"/>
        <w:jc w:val="center"/>
      </w:pPr>
      <w:r>
        <w:rPr>
          <w:rFonts w:ascii="Arial" w:cs="Arial" w:eastAsia="Arial" w:hAnsi="Arial"/>
          <w:color w:val="0D9488"/>
          <w:sz w:val="24"/>
          <w:szCs w:val="24"/>
        </w:rPr>
        <w:t xml:space="preserve">Built for SMEs &amp; Startups | Tier 1 to Tier 3 Cities</w:t>
      </w:r>
    </w:p>
    <w:p>
      <w:pPr>
        <w:spacing w:after="80"/>
        <w:jc w:val="center"/>
      </w:pPr>
      <w:r>
        <w:rPr>
          <w:rFonts w:ascii="Arial" w:cs="Arial" w:eastAsia="Arial" w:hAnsi="Arial"/>
          <w:i/>
          <w:iCs/>
          <w:color w:val="475569"/>
          <w:sz w:val="22"/>
          <w:szCs w:val="22"/>
        </w:rPr>
        <w:t xml:space="preserve">Operating as a Registered Consent Manager under DPDPA 2023</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6"/>
              <w:bottom w:val="single" w:color="DC2626" w:sz="2"/>
              <w:right w:val="single" w:color="DC2626" w:sz="2"/>
            </w:tcBorders>
            <w:shd w:fill="F0FDFA"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Revision Note — v2.0 (April 2026)</w:t>
            </w:r>
          </w:p>
          <w:p>
            <w:pPr>
              <w:spacing w:after="0"/>
            </w:pPr>
            <w:r>
              <w:rPr>
                <w:rFonts w:ascii="Arial" w:cs="Arial" w:eastAsia="Arial" w:hAnsi="Arial"/>
                <w:color w:val="475569"/>
                <w:sz w:val="20"/>
                <w:szCs w:val="20"/>
              </w:rPr>
              <w:t xml:space="preserve">This version incorporates critical corrections from peer review: (1) Third Schedule erasure rules corrected to class-specific thresholds, (2) Children’s data provisions (Section 9) added, (3) Cross-border transfer obligations included, (4) Dual-role architectural conflict resolved, (5) Account Aggregator precedent added, (6) Risks &amp; Mitigations section added.</w:t>
            </w:r>
          </w:p>
        </w:tc>
      </w:tr>
    </w:tbl>
    <w:p>
      <w:pPr>
        <w:spacing w:after="400"/>
      </w:pPr>
    </w:p>
    <w:p>
      <w:pPr>
        <w:jc w:val="center"/>
      </w:pPr>
      <w:r>
        <w:rPr>
          <w:rFonts w:ascii="Arial" w:cs="Arial" w:eastAsia="Arial" w:hAnsi="Arial"/>
          <w:b/>
          <w:bCs/>
          <w:color w:val="0D9488"/>
          <w:spacing w:val="160"/>
          <w:sz w:val="20"/>
          <w:szCs w:val="20"/>
        </w:rPr>
        <w:t xml:space="preserve">CONFIDENTIAL</w:t>
      </w:r>
    </w:p>
    <w:p>
      <w:pPr>
        <w:spacing w:after="80"/>
        <w:jc w:val="center"/>
      </w:pPr>
      <w:r>
        <w:rPr>
          <w:rFonts w:ascii="Arial" w:cs="Arial" w:eastAsia="Arial" w:hAnsi="Arial"/>
          <w:color w:val="475569"/>
          <w:sz w:val="20"/>
          <w:szCs w:val="20"/>
        </w:rPr>
        <w:t xml:space="preserve">April 2026 | Version 2.0</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line="300"/>
      </w:pPr>
      <w:r>
        <w:rPr>
          <w:rFonts w:ascii="Arial" w:cs="Arial" w:eastAsia="Arial" w:hAnsi="Arial"/>
          <w:color w:val="475569"/>
          <w:sz w:val="22"/>
          <w:szCs w:val="22"/>
        </w:rPr>
        <w:t xml:space="preserve">India stands at a regulatory inflection point. The Digital Personal Data Protection Act (DPDPA), 2023, along with the DPDP Rules notified in November 2025, introduces the most comprehensive data protection regime the country has ever seen. With full enforcement arriving on 13 May 2027 and Consent Manager registration opening in November 2026, a massive compliance gap is emerging—particularly among India’s 63+ million SMEs and over 100,000 funded startups.</w:t>
      </w:r>
    </w:p>
    <w:p>
      <w:pPr>
        <w:spacing w:after="160" w:line="300"/>
      </w:pPr>
      <w:r>
        <w:rPr>
          <w:rFonts w:ascii="Arial" w:cs="Arial" w:eastAsia="Arial" w:hAnsi="Arial"/>
          <w:color w:val="475569"/>
          <w:sz w:val="22"/>
          <w:szCs w:val="22"/>
        </w:rPr>
        <w:t xml:space="preserve">TrustStack is designed to be India’s first vernacular, AI-powered DPDPA compliance platform built specifically for this underserved segment. Our strategic pivot is to operate as a Registered Consent Manager under Section 2(g) of the DPDPA, functioning as the trusted bridge between Data Principals (individuals) and Data Fiduciaries (businesses). This model follows the proven precedent of RBI’s Account Aggregator (AA) framework, which established the concept of consent-based data intermediaries in India’s financial services ecosystem.</w:t>
      </w:r>
    </w:p>
    <w:p>
      <w:pPr>
        <w:spacing w:after="160" w:line="300"/>
      </w:pPr>
      <w:r>
        <w:rPr>
          <w:rFonts w:ascii="Arial" w:cs="Arial" w:eastAsia="Arial" w:hAnsi="Arial"/>
          <w:color w:val="475569"/>
          <w:sz w:val="22"/>
          <w:szCs w:val="22"/>
        </w:rPr>
        <w:t xml:space="preserve">This revised proposal (v2.0) incorporates critical corrections identified through rigorous peer review, including class-specific erasure timelines, children’s data provisions, cross-border transfer obligations, and an honest assessment of risks and mitigations.</w:t>
      </w:r>
    </w:p>
    <w:p>
      <w:r>
        <w:br w:type="page"/>
      </w:r>
    </w:p>
    <w:p>
      <w:pPr>
        <w:pStyle w:val="Heading1"/>
      </w:pPr>
      <w:r>
        <w:t xml:space="preserve">Part 1: Regulatory Research &amp; Synthesis</w:t>
      </w:r>
    </w:p>
    <w:p>
      <w:pPr>
        <w:pStyle w:val="Heading2"/>
      </w:pPr>
      <w:r>
        <w:t xml:space="preserve">1.1 DPDPA &amp; DPDP Rules 2025: Key Compliance Obligations</w:t>
      </w:r>
    </w:p>
    <w:p>
      <w:pPr>
        <w:spacing w:after="160" w:line="300"/>
      </w:pPr>
      <w:r>
        <w:rPr>
          <w:rFonts w:ascii="Arial" w:cs="Arial" w:eastAsia="Arial" w:hAnsi="Arial"/>
          <w:color w:val="475569"/>
          <w:sz w:val="22"/>
          <w:szCs w:val="22"/>
        </w:rPr>
        <w:t xml:space="preserve">The DPDPA and its implementing rules create a consent-centric framework with strict timelines, novel intermediaries, and significant penalties. Below are the six critical regulatory pillars that form the foundation of TrustStack’s product design.</w:t>
      </w:r>
    </w:p>
    <w:p>
      <w:pPr>
        <w:pStyle w:val="Heading3"/>
      </w:pPr>
      <w:r>
        <w:t xml:space="preserve">A. Notice Requirements in 22 Scheduled Languages</w:t>
      </w:r>
    </w:p>
    <w:p>
      <w:pPr>
        <w:spacing w:after="160" w:line="300"/>
      </w:pPr>
      <w:r>
        <w:rPr>
          <w:rFonts w:ascii="Arial" w:cs="Arial" w:eastAsia="Arial" w:hAnsi="Arial"/>
          <w:color w:val="475569"/>
          <w:sz w:val="22"/>
          <w:szCs w:val="22"/>
        </w:rPr>
        <w:t xml:space="preserve">Section 5 of the DPDPA mandates that every Data Fiduciary must provide a standalone, clear, plain-language notice to the Data Principal before or at the time data processing begins. Rule 3 specifies this notice must contain an itemised description of all personal data collected, the specific purposes, mechanisms to exercise rights under Sections 11–14, and a grievance redressal link.</w:t>
      </w:r>
    </w:p>
    <w:p>
      <w:pPr>
        <w:spacing w:after="160" w:line="300"/>
      </w:pPr>
      <w:r>
        <w:rPr>
          <w:rFonts w:ascii="Arial" w:cs="Arial" w:eastAsia="Arial" w:hAnsi="Arial"/>
          <w:color w:val="475569"/>
          <w:sz w:val="22"/>
          <w:szCs w:val="22"/>
        </w:rPr>
        <w:t xml:space="preserve">The notice must be accessible in English or any of the 22 languages listed in the Eighth Schedule of the Indian Constitution. While legal commentators remain divided on whether all 22 must be offered simultaneously, the practical standard is clear: the consent notice must match the language of the interface being 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6"/>
              <w:bottom w:val="single" w:color="0D9488" w:sz="2"/>
              <w:right w:val="single" w:color="0D9488" w:sz="2"/>
            </w:tcBorders>
            <w:shd w:fill="F0FDFA" w:val="clear"/>
            <w:tcMar>
              <w:top w:type="dxa" w:w="120"/>
              <w:left w:type="dxa" w:w="200"/>
              <w:bottom w:type="dxa" w:w="120"/>
              <w:right w:type="dxa" w:w="200"/>
            </w:tcMar>
          </w:tcPr>
          <w:p>
            <w:pPr>
              <w:spacing w:after="60"/>
            </w:pPr>
            <w:r>
              <w:rPr>
                <w:rFonts w:ascii="Arial" w:cs="Arial" w:eastAsia="Arial" w:hAnsi="Arial"/>
                <w:b/>
                <w:bCs/>
                <w:color w:val="0D9488"/>
                <w:sz w:val="22"/>
                <w:szCs w:val="22"/>
              </w:rPr>
              <w:t xml:space="preserve">Regulatory Insight</w:t>
            </w:r>
          </w:p>
          <w:p>
            <w:pPr>
              <w:spacing w:after="0"/>
            </w:pPr>
            <w:r>
              <w:rPr>
                <w:rFonts w:ascii="Arial" w:cs="Arial" w:eastAsia="Arial" w:hAnsi="Arial"/>
                <w:color w:val="475569"/>
                <w:sz w:val="20"/>
                <w:szCs w:val="20"/>
              </w:rPr>
              <w:t xml:space="preserve">Only 6% of India’s top 50 websites currently have any form of consent banner. The multilingual notice requirement alone creates a massive compliance gap that no existing global tool addresses natively.</w:t>
            </w:r>
          </w:p>
        </w:tc>
      </w:tr>
    </w:tbl>
    <w:p>
      <w:pPr>
        <w:spacing w:after="120"/>
      </w:pPr>
    </w:p>
    <w:p>
      <w:pPr>
        <w:pStyle w:val="Heading3"/>
      </w:pPr>
      <w:r>
        <w:t xml:space="preserve">B. Consent Managers: Role &amp; Technical Requirements</w:t>
      </w:r>
    </w:p>
    <w:p>
      <w:pPr>
        <w:spacing w:after="160" w:line="300"/>
      </w:pPr>
      <w:r>
        <w:rPr>
          <w:rFonts w:ascii="Arial" w:cs="Arial" w:eastAsia="Arial" w:hAnsi="Arial"/>
          <w:color w:val="475569"/>
          <w:sz w:val="22"/>
          <w:szCs w:val="22"/>
        </w:rPr>
        <w:t xml:space="preserve">Section 2(g) defines a Consent Manager as a person registered with the DPBI, acting as a single point of contact to enable a Data Principal to give, manage, review, and withdraw consent through an accessible, transparent, and interoperable platform. Rule 4, effective 13 November 2026, establishes the registration framework.</w:t>
      </w:r>
    </w:p>
    <w:p>
      <w:pPr>
        <w:spacing w:after="160" w:line="300"/>
      </w:pPr>
      <w:r>
        <w:rPr>
          <w:rFonts w:ascii="Arial" w:cs="Arial" w:eastAsia="Arial" w:hAnsi="Arial"/>
          <w:color w:val="475569"/>
          <w:sz w:val="22"/>
          <w:szCs w:val="22"/>
        </w:rPr>
        <w:t xml:space="preserve">The First Schedule, Part A, sets eligibility conditions:</w:t>
      </w:r>
    </w:p>
    <w:p>
      <w:pPr>
        <w:pStyle w:val="ListParagraph"/>
        <w:numPr>
          <w:ilvl w:val="0"/>
          <w:numId w:val="2"/>
        </w:numPr>
        <w:spacing w:after="80" w:line="280"/>
      </w:pPr>
      <w:r>
        <w:rPr>
          <w:rFonts w:ascii="Arial" w:cs="Arial" w:eastAsia="Arial" w:hAnsi="Arial"/>
          <w:color w:val="475569"/>
          <w:sz w:val="22"/>
          <w:szCs w:val="22"/>
        </w:rPr>
        <w:t xml:space="preserve">Must be incorporated in India as a company, society, or trust.</w:t>
      </w:r>
    </w:p>
    <w:p>
      <w:pPr>
        <w:pStyle w:val="ListParagraph"/>
        <w:numPr>
          <w:ilvl w:val="0"/>
          <w:numId w:val="2"/>
        </w:numPr>
        <w:spacing w:after="80" w:line="280"/>
      </w:pPr>
      <w:r>
        <w:rPr>
          <w:rFonts w:ascii="Arial" w:cs="Arial" w:eastAsia="Arial" w:hAnsi="Arial"/>
          <w:color w:val="475569"/>
          <w:sz w:val="22"/>
          <w:szCs w:val="22"/>
        </w:rPr>
        <w:t xml:space="preserve">Minimum net worth of ₹2 crore, adjusted annually for inflation.</w:t>
      </w:r>
    </w:p>
    <w:p>
      <w:pPr>
        <w:pStyle w:val="ListParagraph"/>
        <w:numPr>
          <w:ilvl w:val="0"/>
          <w:numId w:val="2"/>
        </w:numPr>
        <w:spacing w:after="80" w:line="280"/>
      </w:pPr>
      <w:r>
        <w:rPr>
          <w:rFonts w:ascii="Arial" w:cs="Arial" w:eastAsia="Arial" w:hAnsi="Arial"/>
          <w:color w:val="475569"/>
          <w:sz w:val="22"/>
          <w:szCs w:val="22"/>
        </w:rPr>
        <w:t xml:space="preserve">Board of Directors with documented conflict-of-interest policies.</w:t>
      </w:r>
    </w:p>
    <w:p>
      <w:pPr>
        <w:pStyle w:val="ListParagraph"/>
        <w:numPr>
          <w:ilvl w:val="0"/>
          <w:numId w:val="2"/>
        </w:numPr>
        <w:spacing w:after="80" w:line="280"/>
      </w:pPr>
      <w:r>
        <w:rPr>
          <w:rFonts w:ascii="Arial" w:cs="Arial" w:eastAsia="Arial" w:hAnsi="Arial"/>
          <w:color w:val="475569"/>
          <w:sz w:val="22"/>
          <w:szCs w:val="22"/>
        </w:rPr>
        <w:t xml:space="preserve">Secure technical infrastructure: AES-256 minimum encryption, audit-ready logging, Indian-accessible servers.</w:t>
      </w:r>
    </w:p>
    <w:p>
      <w:pPr>
        <w:pStyle w:val="ListParagraph"/>
        <w:numPr>
          <w:ilvl w:val="0"/>
          <w:numId w:val="2"/>
        </w:numPr>
        <w:spacing w:after="80" w:line="280"/>
      </w:pPr>
      <w:r>
        <w:rPr>
          <w:rFonts w:ascii="Arial" w:cs="Arial" w:eastAsia="Arial" w:hAnsi="Arial"/>
          <w:color w:val="475569"/>
          <w:sz w:val="22"/>
          <w:szCs w:val="22"/>
        </w:rPr>
        <w:t xml:space="preserve">Prohibition on dual roles: cannot simultaneously act as Data Fiduciary or Data Processor for the same Data Principal whose consent it manages.</w:t>
      </w:r>
    </w:p>
    <w:p>
      <w:pPr>
        <w:spacing w:after="40"/>
      </w:pPr>
    </w:p>
    <w:p>
      <w:pPr>
        <w:spacing w:after="160" w:line="300"/>
      </w:pPr>
      <w:r>
        <w:rPr>
          <w:rFonts w:ascii="Arial" w:cs="Arial" w:eastAsia="Arial" w:hAnsi="Arial"/>
          <w:color w:val="475569"/>
          <w:sz w:val="22"/>
          <w:szCs w:val="22"/>
        </w:rPr>
        <w:t xml:space="preserve">Part B operational obligations:</w:t>
      </w:r>
    </w:p>
    <w:p>
      <w:pPr>
        <w:pStyle w:val="ListParagraph"/>
        <w:numPr>
          <w:ilvl w:val="0"/>
          <w:numId w:val="3"/>
        </w:numPr>
        <w:spacing w:after="80" w:line="280"/>
      </w:pPr>
      <w:r>
        <w:rPr>
          <w:rFonts w:ascii="Arial" w:cs="Arial" w:eastAsia="Arial" w:hAnsi="Arial"/>
          <w:color w:val="475569"/>
          <w:sz w:val="22"/>
          <w:szCs w:val="22"/>
        </w:rPr>
        <w:t xml:space="preserve">Enable Data Principals to give, manage, review, or withdraw consent for any Data Fiduciary.</w:t>
      </w:r>
    </w:p>
    <w:p>
      <w:pPr>
        <w:pStyle w:val="ListParagraph"/>
        <w:numPr>
          <w:ilvl w:val="0"/>
          <w:numId w:val="3"/>
        </w:numPr>
        <w:spacing w:after="80" w:line="280"/>
      </w:pPr>
      <w:r>
        <w:rPr>
          <w:rFonts w:ascii="Arial" w:cs="Arial" w:eastAsia="Arial" w:hAnsi="Arial"/>
          <w:color w:val="475569"/>
          <w:sz w:val="22"/>
          <w:szCs w:val="22"/>
        </w:rPr>
        <w:t xml:space="preserve">Personal data transiting the platform must remain unreadable to the Consent Manager.</w:t>
      </w:r>
    </w:p>
    <w:p>
      <w:pPr>
        <w:pStyle w:val="ListParagraph"/>
        <w:numPr>
          <w:ilvl w:val="0"/>
          <w:numId w:val="3"/>
        </w:numPr>
        <w:spacing w:after="80" w:line="280"/>
      </w:pPr>
      <w:r>
        <w:rPr>
          <w:rFonts w:ascii="Arial" w:cs="Arial" w:eastAsia="Arial" w:hAnsi="Arial"/>
          <w:color w:val="475569"/>
          <w:sz w:val="22"/>
          <w:szCs w:val="22"/>
        </w:rPr>
        <w:t xml:space="preserve">Maintain records of all consent activity; records must be machine-readable and retained for seven years.</w:t>
      </w:r>
    </w:p>
    <w:p>
      <w:pPr>
        <w:pStyle w:val="ListParagraph"/>
        <w:numPr>
          <w:ilvl w:val="0"/>
          <w:numId w:val="3"/>
        </w:numPr>
        <w:spacing w:after="80" w:line="280"/>
      </w:pPr>
      <w:r>
        <w:rPr>
          <w:rFonts w:ascii="Arial" w:cs="Arial" w:eastAsia="Arial" w:hAnsi="Arial"/>
          <w:color w:val="475569"/>
          <w:sz w:val="22"/>
          <w:szCs w:val="22"/>
        </w:rPr>
        <w:t xml:space="preserve">Consent withdrawal must be as simple as consent granting. Cumbersome multi-step processes face automatic registration rejection.</w:t>
      </w:r>
    </w:p>
    <w:p>
      <w:pPr>
        <w:spacing w:after="120"/>
      </w:pPr>
    </w:p>
    <w:p>
      <w:pPr>
        <w:pStyle w:val="Heading3"/>
      </w:pPr>
      <w:r>
        <w:t xml:space="preserve">C. Data Erasure: Class-Specific Timelines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6"/>
              <w:bottom w:val="single" w:color="DC2626" w:sz="2"/>
              <w:right w:val="single" w:color="DC2626" w:sz="2"/>
            </w:tcBorders>
            <w:shd w:fill="F0FDFA"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Critical Correction (v2.0)</w:t>
            </w:r>
          </w:p>
          <w:p>
            <w:pPr>
              <w:spacing w:after="0"/>
            </w:pPr>
            <w:r>
              <w:rPr>
                <w:rFonts w:ascii="Arial" w:cs="Arial" w:eastAsia="Arial" w:hAnsi="Arial"/>
                <w:color w:val="475569"/>
                <w:sz w:val="20"/>
                <w:szCs w:val="20"/>
              </w:rPr>
              <w:t xml:space="preserve">The original proposal stated a universal 3-year erasure rule. This is incorrect. The 3-year retention period in the Third Schedule applies ONLY to specific classes of large entities. For most SMEs (our target market), the general rule applies: erase personal data when the specified purpose is fulfilled or when consent is withdrawn, whichever is earlier.</w:t>
            </w:r>
          </w:p>
        </w:tc>
      </w:tr>
    </w:tbl>
    <w:p>
      <w:pPr>
        <w:spacing w:after="120"/>
      </w:pPr>
    </w:p>
    <w:p>
      <w:pPr>
        <w:spacing w:after="160" w:line="300"/>
      </w:pPr>
      <w:r>
        <w:rPr>
          <w:rFonts w:ascii="Arial" w:cs="Arial" w:eastAsia="Arial" w:hAnsi="Arial"/>
          <w:color w:val="475569"/>
          <w:sz w:val="22"/>
          <w:szCs w:val="22"/>
        </w:rPr>
        <w:t xml:space="preserve">Rule 8 establishes a structured erasure framework with class-specific timelines defined in the Third Schedule:</w:t>
      </w:r>
    </w:p>
    <w:p>
      <w:pPr>
        <w:pStyle w:val="ListParagraph"/>
        <w:numPr>
          <w:ilvl w:val="0"/>
          <w:numId w:val="4"/>
        </w:numPr>
        <w:spacing w:after="80" w:line="280"/>
      </w:pPr>
      <w:r>
        <w:rPr>
          <w:rFonts w:ascii="Arial" w:cs="Arial" w:eastAsia="Arial" w:hAnsi="Arial"/>
          <w:color w:val="475569"/>
          <w:sz w:val="22"/>
          <w:szCs w:val="22"/>
        </w:rPr>
        <w:t xml:space="preserve">E-commerce entities with 2 crore+ registered users: 3 years from the last transaction or login.</w:t>
      </w:r>
    </w:p>
    <w:p>
      <w:pPr>
        <w:pStyle w:val="ListParagraph"/>
        <w:numPr>
          <w:ilvl w:val="0"/>
          <w:numId w:val="4"/>
        </w:numPr>
        <w:spacing w:after="80" w:line="280"/>
      </w:pPr>
      <w:r>
        <w:rPr>
          <w:rFonts w:ascii="Arial" w:cs="Arial" w:eastAsia="Arial" w:hAnsi="Arial"/>
          <w:color w:val="475569"/>
          <w:sz w:val="22"/>
          <w:szCs w:val="22"/>
        </w:rPr>
        <w:t xml:space="preserve">Online gaming entities with 50 lakh+ registered users: 3 years from the last login.</w:t>
      </w:r>
    </w:p>
    <w:p>
      <w:pPr>
        <w:pStyle w:val="ListParagraph"/>
        <w:numPr>
          <w:ilvl w:val="0"/>
          <w:numId w:val="4"/>
        </w:numPr>
        <w:spacing w:after="80" w:line="280"/>
      </w:pPr>
      <w:r>
        <w:rPr>
          <w:rFonts w:ascii="Arial" w:cs="Arial" w:eastAsia="Arial" w:hAnsi="Arial"/>
          <w:color w:val="475569"/>
          <w:sz w:val="22"/>
          <w:szCs w:val="22"/>
        </w:rPr>
        <w:t xml:space="preserve">Significant social media intermediaries with 2 crore+ registered users: 3 years from the last login.</w:t>
      </w:r>
    </w:p>
    <w:p>
      <w:pPr>
        <w:pStyle w:val="ListParagraph"/>
        <w:numPr>
          <w:ilvl w:val="0"/>
          <w:numId w:val="4"/>
        </w:numPr>
        <w:spacing w:after="80" w:line="280"/>
      </w:pPr>
      <w:r>
        <w:rPr>
          <w:rFonts w:ascii="Arial" w:cs="Arial" w:eastAsia="Arial" w:hAnsi="Arial"/>
          <w:color w:val="475569"/>
          <w:sz w:val="22"/>
          <w:szCs w:val="22"/>
        </w:rPr>
        <w:t xml:space="preserve">All other Data Fiduciaries (including most SMEs): erase when the specified purpose is no longer served or upon consent withdrawal.</w:t>
      </w:r>
    </w:p>
    <w:p>
      <w:pPr>
        <w:spacing w:after="40"/>
      </w:pPr>
    </w:p>
    <w:p>
      <w:pPr>
        <w:spacing w:after="160" w:line="300"/>
      </w:pPr>
      <w:r>
        <w:rPr>
          <w:rFonts w:ascii="Arial" w:cs="Arial" w:eastAsia="Arial" w:hAnsi="Arial"/>
          <w:color w:val="475569"/>
          <w:sz w:val="22"/>
          <w:szCs w:val="22"/>
        </w:rPr>
        <w:t xml:space="preserve">Additional erasure mechanics: the Data Fiduciary must send a 48-hour advance notification before scheduled erasure. Erasure must be verifiable and auditable—a soft-delete will not satisfy the requirement. All processing logs and traffic data must be retained for a minimum of one year from the date of processing for security purposes, irrespective of user account status.</w:t>
      </w:r>
    </w:p>
    <w:p>
      <w:pPr>
        <w:spacing w:after="120"/>
      </w:pPr>
    </w:p>
    <w:p>
      <w:pPr>
        <w:pStyle w:val="Heading3"/>
      </w:pPr>
      <w:r>
        <w:t xml:space="preserve">D. Breach Notification &amp; Regulatory Reporting</w:t>
      </w:r>
    </w:p>
    <w:p>
      <w:pPr>
        <w:spacing w:after="160" w:line="300"/>
      </w:pPr>
      <w:r>
        <w:rPr>
          <w:rFonts w:ascii="Arial" w:cs="Arial" w:eastAsia="Arial" w:hAnsi="Arial"/>
          <w:color w:val="475569"/>
          <w:sz w:val="22"/>
          <w:szCs w:val="22"/>
        </w:rPr>
        <w:t xml:space="preserve">Rule 7 introduces a two-stage breach notification mechanism. Upon discovery, the Data Fiduciary must immediately notify affected Data Principals and the DPBI. Within 72 hours, a comprehensive report must cover the breach’s facts, causes, mitigation measures, remedial steps, and a summary of Data Principal notifications.</w:t>
      </w:r>
    </w:p>
    <w:p>
      <w:pPr>
        <w:spacing w:after="160" w:line="300"/>
      </w:pPr>
      <w:r>
        <w:rPr>
          <w:rFonts w:ascii="Arial" w:cs="Arial" w:eastAsia="Arial" w:hAnsi="Arial"/>
          <w:color w:val="475569"/>
          <w:sz w:val="22"/>
          <w:szCs w:val="22"/>
        </w:rPr>
        <w:t xml:space="preserve">Unlike the GDPR, the DPDPA does not prescribe a risk-based materiality threshold—all breaches must be reported regardless of severity. Organisations must also report incidents to CERT-In within six hours under separate directives, creating dual reporting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6"/>
              <w:bottom w:val="single" w:color="0D9488" w:sz="2"/>
              <w:right w:val="single" w:color="0D9488" w:sz="2"/>
            </w:tcBorders>
            <w:shd w:fill="F0FDFA" w:val="clear"/>
            <w:tcMar>
              <w:top w:type="dxa" w:w="120"/>
              <w:left w:type="dxa" w:w="200"/>
              <w:bottom w:type="dxa" w:w="120"/>
              <w:right w:type="dxa" w:w="200"/>
            </w:tcMar>
          </w:tcPr>
          <w:p>
            <w:pPr>
              <w:spacing w:after="60"/>
            </w:pPr>
            <w:r>
              <w:rPr>
                <w:rFonts w:ascii="Arial" w:cs="Arial" w:eastAsia="Arial" w:hAnsi="Arial"/>
                <w:b/>
                <w:bCs/>
                <w:color w:val="0D9488"/>
                <w:sz w:val="22"/>
                <w:szCs w:val="22"/>
              </w:rPr>
              <w:t xml:space="preserve">Penalty Framework</w:t>
            </w:r>
          </w:p>
          <w:p>
            <w:pPr>
              <w:spacing w:after="0"/>
            </w:pPr>
            <w:r>
              <w:rPr>
                <w:rFonts w:ascii="Arial" w:cs="Arial" w:eastAsia="Arial" w:hAnsi="Arial"/>
                <w:color w:val="475569"/>
                <w:sz w:val="20"/>
                <w:szCs w:val="20"/>
              </w:rPr>
              <w:t xml:space="preserve">Processing without valid consent: up to ₹200 crore. Inadequate notice: up to ₹200 crore. Failure to report breaches: up to ₹200 crore. Overall ceiling per violation: ₹250 crore.</w:t>
            </w:r>
          </w:p>
        </w:tc>
      </w:tr>
    </w:tbl>
    <w:p>
      <w:pPr>
        <w:spacing w:after="120"/>
      </w:pPr>
    </w:p>
    <w:p>
      <w:pPr>
        <w:pStyle w:val="Heading3"/>
      </w:pPr>
      <w:r>
        <w:t xml:space="preserve">E. Children’s Data Protection (Added in v2.0)</w:t>
      </w:r>
    </w:p>
    <w:p>
      <w:pPr>
        <w:spacing w:after="160" w:line="300"/>
      </w:pPr>
      <w:r>
        <w:rPr>
          <w:rFonts w:ascii="Arial" w:cs="Arial" w:eastAsia="Arial" w:hAnsi="Arial"/>
          <w:color w:val="475569"/>
          <w:sz w:val="22"/>
          <w:szCs w:val="22"/>
        </w:rPr>
        <w:t xml:space="preserve">Section 9 of the DPDPA imposes heightened protections for children’s data (under 18 years):</w:t>
      </w:r>
    </w:p>
    <w:p>
      <w:pPr>
        <w:pStyle w:val="ListParagraph"/>
        <w:numPr>
          <w:ilvl w:val="0"/>
          <w:numId w:val="5"/>
        </w:numPr>
        <w:spacing w:after="80" w:line="280"/>
      </w:pPr>
      <w:r>
        <w:rPr>
          <w:rFonts w:ascii="Arial" w:cs="Arial" w:eastAsia="Arial" w:hAnsi="Arial"/>
          <w:color w:val="475569"/>
          <w:sz w:val="22"/>
          <w:szCs w:val="22"/>
        </w:rPr>
        <w:t xml:space="preserve">Verifiable parental or guardian consent is mandatory before processing any child’s personal data. Rule 10 specifies acceptable verification mechanisms, including reference to reliable identity/age details available with the Data Fiduciary or voluntarily provided.</w:t>
      </w:r>
    </w:p>
    <w:p>
      <w:pPr>
        <w:pStyle w:val="ListParagraph"/>
        <w:numPr>
          <w:ilvl w:val="0"/>
          <w:numId w:val="5"/>
        </w:numPr>
        <w:spacing w:after="80" w:line="280"/>
      </w:pPr>
      <w:r>
        <w:rPr>
          <w:rFonts w:ascii="Arial" w:cs="Arial" w:eastAsia="Arial" w:hAnsi="Arial"/>
          <w:color w:val="475569"/>
          <w:sz w:val="22"/>
          <w:szCs w:val="22"/>
        </w:rPr>
        <w:t xml:space="preserve">Targeted advertising directed at children is explicitly prohibited.</w:t>
      </w:r>
    </w:p>
    <w:p>
      <w:pPr>
        <w:pStyle w:val="ListParagraph"/>
        <w:numPr>
          <w:ilvl w:val="0"/>
          <w:numId w:val="5"/>
        </w:numPr>
        <w:spacing w:after="80" w:line="280"/>
      </w:pPr>
      <w:r>
        <w:rPr>
          <w:rFonts w:ascii="Arial" w:cs="Arial" w:eastAsia="Arial" w:hAnsi="Arial"/>
          <w:color w:val="475569"/>
          <w:sz w:val="22"/>
          <w:szCs w:val="22"/>
        </w:rPr>
        <w:t xml:space="preserve">Behavioural monitoring, tracking, and profiling of children are banned.</w:t>
      </w:r>
    </w:p>
    <w:p>
      <w:pPr>
        <w:pStyle w:val="ListParagraph"/>
        <w:numPr>
          <w:ilvl w:val="0"/>
          <w:numId w:val="5"/>
        </w:numPr>
        <w:spacing w:after="80" w:line="280"/>
      </w:pPr>
      <w:r>
        <w:rPr>
          <w:rFonts w:ascii="Arial" w:cs="Arial" w:eastAsia="Arial" w:hAnsi="Arial"/>
          <w:color w:val="475569"/>
          <w:sz w:val="22"/>
          <w:szCs w:val="22"/>
        </w:rPr>
        <w:t xml:space="preserve">No processing that is detrimental to the child’s well-being is permitted.</w:t>
      </w:r>
    </w:p>
    <w:p>
      <w:pPr>
        <w:spacing w:after="40"/>
      </w:pPr>
    </w:p>
    <w:p>
      <w:pPr>
        <w:spacing w:after="160" w:line="300"/>
      </w:pPr>
      <w:r>
        <w:rPr>
          <w:rFonts w:ascii="Arial" w:cs="Arial" w:eastAsia="Arial" w:hAnsi="Arial"/>
          <w:b/>
          <w:bCs/>
          <w:color w:val="475569"/>
          <w:sz w:val="22"/>
          <w:szCs w:val="22"/>
        </w:rPr>
        <w:t xml:space="preserve">Product Impact: </w:t>
      </w:r>
      <w:r>
        <w:rPr>
          <w:rFonts w:ascii="Arial" w:cs="Arial" w:eastAsia="Arial" w:hAnsi="Arial"/>
          <w:color w:val="475569"/>
          <w:sz w:val="22"/>
          <w:szCs w:val="22"/>
        </w:rPr>
        <w:t xml:space="preserve">This is critical for our SME clients in edtech, online gaming, e-commerce, and social media. TrustStack’s Consent Vault must include a dedicated parental consent workflow with age verification gates. The Jargon Slayer must translate children’s data requirements into simple language for founders who may not realise their app has users under 18.</w:t>
      </w:r>
    </w:p>
    <w:p>
      <w:pPr>
        <w:spacing w:after="120"/>
      </w:pPr>
    </w:p>
    <w:p>
      <w:pPr>
        <w:pStyle w:val="Heading3"/>
      </w:pPr>
      <w:r>
        <w:t xml:space="preserve">F. Cross-Border Data Transfer (Added in v2.0)</w:t>
      </w:r>
    </w:p>
    <w:p>
      <w:pPr>
        <w:spacing w:after="160" w:line="300"/>
      </w:pPr>
      <w:r>
        <w:rPr>
          <w:rFonts w:ascii="Arial" w:cs="Arial" w:eastAsia="Arial" w:hAnsi="Arial"/>
          <w:color w:val="475569"/>
          <w:sz w:val="22"/>
          <w:szCs w:val="22"/>
        </w:rPr>
        <w:t xml:space="preserve">Section 16 permits Data Fiduciaries to transfer personal data outside India, but with significant conditions. If data is made available to a foreign State or its agencies, the transfer must comply with conditions specified by the Central Government through general or special orders.</w:t>
      </w:r>
    </w:p>
    <w:p>
      <w:pPr>
        <w:spacing w:after="160" w:line="300"/>
      </w:pPr>
      <w:r>
        <w:rPr>
          <w:rFonts w:ascii="Arial" w:cs="Arial" w:eastAsia="Arial" w:hAnsi="Arial"/>
          <w:color w:val="475569"/>
          <w:sz w:val="22"/>
          <w:szCs w:val="22"/>
        </w:rPr>
        <w:t xml:space="preserve">For Indian SMEs using foreign-hosted SaaS tools (AWS, GCP, Azure, Salesforce), this creates practical obligations: they must ensure the cloud provider maintains lawful accessibility for Indian regulators, execute Standard Contractual Clauses (SCCs) where applicable, and implement technical safeguards for data in transit. The Consent Manager itself must ensure that consent logs and audit trails remain accessible to the DPBI even if partially hosted on global infrastructure.</w:t>
      </w:r>
    </w:p>
    <w:p>
      <w:pPr>
        <w:spacing w:after="160" w:line="300"/>
      </w:pPr>
      <w:r>
        <w:rPr>
          <w:rFonts w:ascii="Arial" w:cs="Arial" w:eastAsia="Arial" w:hAnsi="Arial"/>
          <w:b/>
          <w:bCs/>
          <w:color w:val="475569"/>
          <w:sz w:val="22"/>
          <w:szCs w:val="22"/>
        </w:rPr>
        <w:t xml:space="preserve">Architecture Impact: </w:t>
      </w:r>
      <w:r>
        <w:rPr>
          <w:rFonts w:ascii="Arial" w:cs="Arial" w:eastAsia="Arial" w:hAnsi="Arial"/>
          <w:color w:val="475569"/>
          <w:sz w:val="22"/>
          <w:szCs w:val="22"/>
        </w:rPr>
        <w:t xml:space="preserve">TrustStack adopts a hybrid architecture: live consent records and identifiers stored on Indian cloud servers (AWS Mumbai / GCP Mumbai), with the option of global CDN for the consumer-facing dashboard. This satisfies the DPBI accessibility requirement while maintaining performance.</w:t>
      </w:r>
    </w:p>
    <w:p>
      <w:pPr>
        <w:spacing w:after="120"/>
      </w:pPr>
    </w:p>
    <w:p>
      <w:pPr>
        <w:pStyle w:val="Heading2"/>
      </w:pPr>
      <w:r>
        <w:t xml:space="preserve">1.2 DPDPA Enforcement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51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51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TrustStack</w:t>
            </w:r>
          </w:p>
        </w:tc>
      </w:tr>
      <w:tr>
        <w:tc>
          <w:tcPr>
            <w:tcW w:type="dxa" w:w="234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Nov 2025</w:t>
            </w:r>
          </w:p>
        </w:tc>
        <w:tc>
          <w:tcPr>
            <w:tcW w:type="dxa" w:w="351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DPDP Rules notified; DPBI established</w:t>
            </w:r>
          </w:p>
        </w:tc>
        <w:tc>
          <w:tcPr>
            <w:tcW w:type="dxa" w:w="351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Regulatory clarity achieved. Begin product development.</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Nov 2026</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Consent Manager registration opens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Submit registration. Launch Consent Vault beta.</w:t>
            </w:r>
          </w:p>
        </w:tc>
      </w:tr>
      <w:tr>
        <w:tc>
          <w:tcPr>
            <w:tcW w:type="dxa" w:w="234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May 2027</w:t>
            </w:r>
          </w:p>
        </w:tc>
        <w:tc>
          <w:tcPr>
            <w:tcW w:type="dxa" w:w="351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Full enforcement (no grace period)</w:t>
            </w:r>
          </w:p>
        </w:tc>
        <w:tc>
          <w:tcPr>
            <w:tcW w:type="dxa" w:w="351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Full platform live. Peak demand for SME compliance.</w:t>
            </w:r>
          </w:p>
        </w:tc>
      </w:tr>
    </w:tbl>
    <w:p>
      <w:pPr>
        <w:spacing w:after="120"/>
      </w:pPr>
    </w:p>
    <w:p>
      <w:pPr>
        <w:pStyle w:val="Heading2"/>
      </w:pPr>
      <w:r>
        <w:t xml:space="preserve">1.3 The Account Aggregator Precedent (Added in v2.0)</w:t>
      </w:r>
    </w:p>
    <w:p>
      <w:pPr>
        <w:spacing w:after="160" w:line="300"/>
      </w:pPr>
      <w:r>
        <w:rPr>
          <w:rFonts w:ascii="Arial" w:cs="Arial" w:eastAsia="Arial" w:hAnsi="Arial"/>
          <w:color w:val="475569"/>
          <w:sz w:val="22"/>
          <w:szCs w:val="22"/>
        </w:rPr>
        <w:t xml:space="preserve">The Consent Manager concept under DPDPA closely mirrors the Reserve Bank of India’s Account Aggregator (AA) framework, which was established to empower individuals with control over their financial data. Both share fundamental characteristics: they are regulated intermediaries that facilitate consent-based data access, they cannot view or store the underlying personal data, they must maintain interoperability across multiple institutions, and they must be registered with a regulatory body.</w:t>
      </w:r>
    </w:p>
    <w:p>
      <w:pPr>
        <w:spacing w:after="160" w:line="300"/>
      </w:pPr>
      <w:r>
        <w:rPr>
          <w:rFonts w:ascii="Arial" w:cs="Arial" w:eastAsia="Arial" w:hAnsi="Arial"/>
          <w:color w:val="475569"/>
          <w:sz w:val="22"/>
          <w:szCs w:val="22"/>
        </w:rPr>
        <w:t xml:space="preserve">The AA ecosystem, now serving over 50 million consents across 1,100+ financial institutions, provides a proven Indian precedent for consent intermediaries at scale. TrustStack’s architecture and business model draw directly from lessons learned in the AA rollout: invest in interoperability standards early, make the consumer experience frictionless, and build trust through regulatory compliance.</w:t>
      </w:r>
    </w:p>
    <w:p>
      <w:pPr>
        <w:spacing w:after="120"/>
      </w:pPr>
    </w:p>
    <w:p>
      <w:pPr>
        <w:pStyle w:val="Heading2"/>
      </w:pPr>
      <w:r>
        <w:t xml:space="preserve">1.4 Market Gap Analysis: Why Global Tools Fail Indian SMEs</w:t>
      </w:r>
    </w:p>
    <w:p>
      <w:pPr>
        <w:spacing w:after="160" w:line="300"/>
      </w:pPr>
      <w:r>
        <w:rPr>
          <w:rFonts w:ascii="Arial" w:cs="Arial" w:eastAsia="Arial" w:hAnsi="Arial"/>
          <w:color w:val="475569"/>
          <w:sz w:val="22"/>
          <w:szCs w:val="22"/>
        </w:rPr>
        <w:t xml:space="preserve">The Indian SME compliance market is fundamentally different from the enterprise segments served by global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49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Global Tools (OneTrust/Drata)</w:t>
            </w:r>
          </w:p>
        </w:tc>
        <w:tc>
          <w:tcPr>
            <w:tcW w:type="dxa" w:w="249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Indian SME Reality</w:t>
            </w:r>
          </w:p>
        </w:tc>
        <w:tc>
          <w:tcPr>
            <w:tcW w:type="dxa" w:w="249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TrustStack Solution</w:t>
            </w:r>
          </w:p>
        </w:tc>
      </w:tr>
      <w:tr>
        <w:tc>
          <w:tcPr>
            <w:tcW w:type="dxa" w:w="1872"/>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Pricing</w:t>
            </w:r>
          </w:p>
        </w:tc>
        <w:tc>
          <w:tcPr>
            <w:tcW w:type="dxa" w:w="249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$7,500–$50,000/year. Enterprise-oriented.</w:t>
            </w:r>
          </w:p>
        </w:tc>
        <w:tc>
          <w:tcPr>
            <w:tcW w:type="dxa" w:w="249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₹2–5 lakh annual IT budgets.</w:t>
            </w:r>
          </w:p>
        </w:tc>
        <w:tc>
          <w:tcPr>
            <w:tcW w:type="dxa" w:w="249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Free tier + unit-based from ₹999/flow.</w:t>
            </w:r>
          </w:p>
        </w:tc>
      </w:tr>
      <w:tr>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Language</w:t>
            </w:r>
          </w:p>
        </w:tc>
        <w:tc>
          <w:tcPr>
            <w:tcW w:type="dxa" w:w="249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English-only interfaces.</w:t>
            </w:r>
          </w:p>
        </w:tc>
        <w:tc>
          <w:tcPr>
            <w:tcW w:type="dxa" w:w="249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Hindi, Tamil, Telugu, Marathi are primary.</w:t>
            </w:r>
          </w:p>
        </w:tc>
        <w:tc>
          <w:tcPr>
            <w:tcW w:type="dxa" w:w="249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22 scheduled languages via Jargon Slayer.</w:t>
            </w:r>
          </w:p>
        </w:tc>
      </w:tr>
      <w:tr>
        <w:tc>
          <w:tcPr>
            <w:tcW w:type="dxa" w:w="1872"/>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Integrations</w:t>
            </w:r>
          </w:p>
        </w:tc>
        <w:tc>
          <w:tcPr>
            <w:tcW w:type="dxa" w:w="249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Salesforce, Workday, AWS.</w:t>
            </w:r>
          </w:p>
        </w:tc>
        <w:tc>
          <w:tcPr>
            <w:tcW w:type="dxa" w:w="249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Tally, Zoho, Razorpay, WhatsApp.</w:t>
            </w:r>
          </w:p>
        </w:tc>
        <w:tc>
          <w:tcPr>
            <w:tcW w:type="dxa" w:w="249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Native Indian stack connectors.</w:t>
            </w:r>
          </w:p>
        </w:tc>
      </w:tr>
      <w:tr>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Regulatory</w:t>
            </w:r>
          </w:p>
        </w:tc>
        <w:tc>
          <w:tcPr>
            <w:tcW w:type="dxa" w:w="249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GDPR/CCPA-first. DPDPA bolted on.</w:t>
            </w:r>
          </w:p>
        </w:tc>
        <w:tc>
          <w:tcPr>
            <w:tcW w:type="dxa" w:w="249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DPDPA unique: no legitimate interests.</w:t>
            </w:r>
          </w:p>
        </w:tc>
        <w:tc>
          <w:tcPr>
            <w:tcW w:type="dxa" w:w="249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DPDPA-native. Ground-up design.</w:t>
            </w:r>
          </w:p>
        </w:tc>
      </w:tr>
      <w:tr>
        <w:tc>
          <w:tcPr>
            <w:tcW w:type="dxa" w:w="1872"/>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Complexity</w:t>
            </w:r>
          </w:p>
        </w:tc>
        <w:tc>
          <w:tcPr>
            <w:tcW w:type="dxa" w:w="249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Steep learning curve. Needs privacy team.</w:t>
            </w:r>
          </w:p>
        </w:tc>
        <w:tc>
          <w:tcPr>
            <w:tcW w:type="dxa" w:w="249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Founders wear multiple hats.</w:t>
            </w:r>
          </w:p>
        </w:tc>
        <w:tc>
          <w:tcPr>
            <w:tcW w:type="dxa" w:w="249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3-minute onboarding. Zero jargon.</w:t>
            </w:r>
          </w:p>
        </w:tc>
      </w:tr>
    </w:tbl>
    <w:p>
      <w:pPr>
        <w:spacing w:after="120"/>
      </w:pPr>
    </w:p>
    <w:p>
      <w:pPr>
        <w:spacing w:after="160" w:line="300"/>
      </w:pPr>
      <w:r>
        <w:rPr>
          <w:rFonts w:ascii="Arial" w:cs="Arial" w:eastAsia="Arial" w:hAnsi="Arial"/>
          <w:b/>
          <w:bCs/>
          <w:color w:val="475569"/>
          <w:sz w:val="22"/>
          <w:szCs w:val="22"/>
        </w:rPr>
        <w:t xml:space="preserve">The “no legitimate interests” gap is the single most important market thesis. </w:t>
      </w:r>
      <w:r>
        <w:rPr>
          <w:rFonts w:ascii="Arial" w:cs="Arial" w:eastAsia="Arial" w:hAnsi="Arial"/>
          <w:color w:val="475569"/>
          <w:sz w:val="22"/>
          <w:szCs w:val="22"/>
        </w:rPr>
        <w:t xml:space="preserve">Unlike GDPR, the DPDPA offers zero alternative legal bases for advertising, analytics, marketing, or personalisation. Every Indian business doing any form of digital marketing or data-driven engagement needs explicit opt-in consent. This isn’t a niche compliance problem—it affects every company with a website, app, or digital customer touchpoint. This dramatically expands TrustStack’s total addressable market beyond traditional “privacy compliance” into the broader digital marketing and customer engagement ecosystem.</w:t>
      </w:r>
    </w:p>
    <w:p>
      <w:r>
        <w:br w:type="page"/>
      </w:r>
    </w:p>
    <w:p>
      <w:pPr>
        <w:pStyle w:val="Heading1"/>
      </w:pPr>
      <w:r>
        <w:t xml:space="preserve">Part 2: The TrustStack Product Suite</w:t>
      </w:r>
    </w:p>
    <w:p>
      <w:pPr>
        <w:spacing w:after="160" w:line="300"/>
      </w:pPr>
      <w:r>
        <w:rPr>
          <w:rFonts w:ascii="Arial" w:cs="Arial" w:eastAsia="Arial" w:hAnsi="Arial"/>
          <w:color w:val="475569"/>
          <w:sz w:val="22"/>
          <w:szCs w:val="22"/>
        </w:rPr>
        <w:t xml:space="preserve">TrustStack is architected as a three-module lifecycle mirroring the SME’s compliance journey. Each module is independently monetisable while creating natural upgrade paths.</w:t>
      </w:r>
    </w:p>
    <w:p>
      <w:pPr>
        <w:pStyle w:val="Heading2"/>
      </w:pPr>
      <w:r>
        <w:t xml:space="preserve">Module 1: Vernacular Awareness (The Hook)</w:t>
      </w:r>
    </w:p>
    <w:p>
      <w:pPr>
        <w:pStyle w:val="Heading3"/>
      </w:pPr>
      <w:r>
        <w:t xml:space="preserve">The Jargon Slayer: AI-Powered Vernacular Translation</w:t>
      </w:r>
    </w:p>
    <w:p>
      <w:pPr>
        <w:spacing w:after="160" w:line="300"/>
      </w:pPr>
      <w:r>
        <w:rPr>
          <w:rFonts w:ascii="Arial" w:cs="Arial" w:eastAsia="Arial" w:hAnsi="Arial"/>
          <w:color w:val="475569"/>
          <w:sz w:val="22"/>
          <w:szCs w:val="22"/>
        </w:rPr>
        <w:t xml:space="preserve">A proprietary AI engine that translates DPDPA rules into local languages using “Founder-speak.” Powered by fine-tuned LLMs trained on Indian regulatory corpora and regional business vernacular, with human validation by certified data protection professionals.</w:t>
      </w:r>
    </w:p>
    <w:p>
      <w:pPr>
        <w:pStyle w:val="Heading3"/>
      </w:pPr>
      <w:r>
        <w:t xml:space="preserve">The 3-Minute Trust Check: Free External Scanner</w:t>
      </w:r>
    </w:p>
    <w:p>
      <w:pPr>
        <w:spacing w:after="160" w:line="300"/>
      </w:pPr>
      <w:r>
        <w:rPr>
          <w:rFonts w:ascii="Arial" w:cs="Arial" w:eastAsia="Arial" w:hAnsi="Arial"/>
          <w:color w:val="475569"/>
          <w:sz w:val="22"/>
          <w:szCs w:val="22"/>
        </w:rPr>
        <w:t xml:space="preserve">A free, publicly accessible tool that scans any website and produces a compliance scorecard identifying: missing/non-compliant consent banners, ghost trackers firing before consent, unencrypted PII in URLs and forms, and language coverage gaps against the 22 scheduled languages.</w:t>
      </w:r>
    </w:p>
    <w:p>
      <w:pPr>
        <w:spacing w:after="120"/>
      </w:pPr>
    </w:p>
    <w:p>
      <w:pPr>
        <w:pStyle w:val="Heading2"/>
      </w:pPr>
      <w:r>
        <w:t xml:space="preserve">Module 2: Assessment &amp; Discovery (The Revenue Driver)</w:t>
      </w:r>
    </w:p>
    <w:p>
      <w:pPr>
        <w:pStyle w:val="Heading3"/>
      </w:pPr>
      <w:r>
        <w:t xml:space="preserve">Unit-Based Billing: Purpose-Linked Data Flows</w:t>
      </w:r>
    </w:p>
    <w:p>
      <w:pPr>
        <w:spacing w:after="160" w:line="300"/>
      </w:pPr>
      <w:r>
        <w:rPr>
          <w:rFonts w:ascii="Arial" w:cs="Arial" w:eastAsia="Arial" w:hAnsi="Arial"/>
          <w:color w:val="475569"/>
          <w:sz w:val="22"/>
          <w:szCs w:val="22"/>
        </w:rPr>
        <w:t xml:space="preserve">Billing per distinct processing purpose. A typical pre-seed startup has 4–8 data flows; a Series-A company has 15–25. This creates a natural, usage-based revenue curve.</w:t>
      </w:r>
    </w:p>
    <w:p>
      <w:pPr>
        <w:pStyle w:val="Heading3"/>
      </w:pPr>
      <w:r>
        <w:t xml:space="preserve">AI Data Discovery Engine</w:t>
      </w:r>
    </w:p>
    <w:p>
      <w:pPr>
        <w:spacing w:after="160" w:line="300"/>
      </w:pPr>
      <w:r>
        <w:rPr>
          <w:rFonts w:ascii="Arial" w:cs="Arial" w:eastAsia="Arial" w:hAnsi="Arial"/>
          <w:color w:val="475569"/>
          <w:sz w:val="22"/>
          <w:szCs w:val="22"/>
        </w:rPr>
        <w:t xml:space="preserve">Automated crawls across AWS, GCP, Azure, Zoho, Razorpay, WhatsApp Business to discover hidden PII. Produces a Data Flow Map that feeds directly into the Consent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6"/>
              <w:bottom w:val="single" w:color="DC2626" w:sz="2"/>
              <w:right w:val="single" w:color="DC2626" w:sz="2"/>
            </w:tcBorders>
            <w:shd w:fill="F0FDFA"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Architectural Note (v2.0)</w:t>
            </w:r>
          </w:p>
          <w:p>
            <w:pPr>
              <w:spacing w:after="0"/>
            </w:pPr>
            <w:r>
              <w:rPr>
                <w:rFonts w:ascii="Arial" w:cs="Arial" w:eastAsia="Arial" w:hAnsi="Arial"/>
                <w:color w:val="475569"/>
                <w:sz w:val="20"/>
                <w:szCs w:val="20"/>
              </w:rPr>
              <w:t xml:space="preserve">The Discovery Engine operates in a sandboxed environment with no access to Consent Vault data. This architectural separation is critical to avoid the dual-role prohibition: TrustStack cannot act as both Consent Manager and Data Processor for the same Data Principal. The Discovery Agent connects via read-only API access, processes data in an isolated compute environment, and outputs only metadata (data flow maps, PII locations) without retaining or accessing the underlying personal data.</w:t>
            </w:r>
          </w:p>
        </w:tc>
      </w:tr>
    </w:tbl>
    <w:p>
      <w:pPr>
        <w:spacing w:after="120"/>
      </w:pPr>
    </w:p>
    <w:p>
      <w:pPr>
        <w:pStyle w:val="Heading3"/>
      </w:pPr>
      <w:r>
        <w:t xml:space="preserve">Multilingual Contract Audit Agent</w:t>
      </w:r>
    </w:p>
    <w:p>
      <w:pPr>
        <w:spacing w:after="160" w:line="300"/>
      </w:pPr>
      <w:r>
        <w:rPr>
          <w:rFonts w:ascii="Arial" w:cs="Arial" w:eastAsia="Arial" w:hAnsi="Arial"/>
          <w:color w:val="475569"/>
          <w:sz w:val="22"/>
          <w:szCs w:val="22"/>
        </w:rPr>
        <w:t xml:space="preserve">NLP agent that reads vendor contracts in 22 Indian languages, flags non-compliant data-sharing clauses, generates Vendor Risk Scores, and auto-generates compliant DPAs.</w:t>
      </w:r>
    </w:p>
    <w:p>
      <w:pPr>
        <w:spacing w:after="120"/>
      </w:pPr>
    </w:p>
    <w:p>
      <w:pPr>
        <w:pStyle w:val="Heading2"/>
      </w:pPr>
      <w:r>
        <w:t xml:space="preserve">Module 3: Implementation &amp; Automation (The Shield)</w:t>
      </w:r>
    </w:p>
    <w:p>
      <w:pPr>
        <w:pStyle w:val="Heading3"/>
      </w:pPr>
      <w:r>
        <w:t xml:space="preserve">The Consent Vault: API-First Consent Management</w:t>
      </w:r>
    </w:p>
    <w:p>
      <w:pPr>
        <w:spacing w:after="160" w:line="300"/>
      </w:pPr>
      <w:r>
        <w:rPr>
          <w:rFonts w:ascii="Arial" w:cs="Arial" w:eastAsia="Arial" w:hAnsi="Arial"/>
          <w:color w:val="475569"/>
          <w:sz w:val="22"/>
          <w:szCs w:val="22"/>
        </w:rPr>
        <w:t xml:space="preserve">The Consent Vault is TrustStack’s core infrastructure product. It provides: cryptographically signed and timestamped consent records (satisfying seven-year retention), granular purpose-level consent, RESTful APIs and SDKs (JavaScript, Python, React Native) for 30-minute integration, pre-built consent widgets in 22 languages, and a consumer-facing Data Principal Dashboard for managing all consents with single-tap withdrawal.</w:t>
      </w:r>
    </w:p>
    <w:p>
      <w:pPr>
        <w:spacing w:after="160" w:line="300"/>
      </w:pPr>
      <w:r>
        <w:rPr>
          <w:rFonts w:ascii="Arial" w:cs="Arial" w:eastAsia="Arial" w:hAnsi="Arial"/>
          <w:b/>
          <w:bCs/>
          <w:color w:val="475569"/>
          <w:sz w:val="22"/>
          <w:szCs w:val="22"/>
        </w:rPr>
        <w:t xml:space="preserve">Children’s Consent Workflow (v2.0): </w:t>
      </w:r>
      <w:r>
        <w:rPr>
          <w:rFonts w:ascii="Arial" w:cs="Arial" w:eastAsia="Arial" w:hAnsi="Arial"/>
          <w:color w:val="475569"/>
          <w:sz w:val="22"/>
          <w:szCs w:val="22"/>
        </w:rPr>
        <w:t xml:space="preserve">The Consent Vault includes a dedicated age-verification gate and parental consent flow for Data Principals under 18, in compliance with Section 9. This workflow supports identity verification via Aadhaar-based eKYC for the parent/guardian and prevents any processing until verifiable consent is obtained.</w:t>
      </w:r>
    </w:p>
    <w:p>
      <w:pPr>
        <w:spacing w:after="120"/>
      </w:pPr>
    </w:p>
    <w:p>
      <w:pPr>
        <w:pStyle w:val="Heading3"/>
      </w:pPr>
      <w:r>
        <w:t xml:space="preserve">Automatic Erasure Engine</w:t>
      </w:r>
    </w:p>
    <w:p>
      <w:pPr>
        <w:spacing w:after="160" w:line="300"/>
      </w:pPr>
      <w:r>
        <w:rPr>
          <w:rFonts w:ascii="Arial" w:cs="Arial" w:eastAsia="Arial" w:hAnsi="Arial"/>
          <w:color w:val="475569"/>
          <w:sz w:val="22"/>
          <w:szCs w:val="22"/>
        </w:rPr>
        <w:t xml:space="preserve">Monitors data retention timelines and executes deletion workflows. For large e-commerce/social media (Third Schedule classes), applies the 3-year auto-erasure countdown from last interaction. For general SMEs (our primary market), triggers erasure upon purpose fulfilment or consent withdrawal. Includes: 48-hour pre-deletion notifications, propagation of deletion commands across all connected systems, and cryptographically signed deletion certificates as audit evidence.</w:t>
      </w:r>
    </w:p>
    <w:p>
      <w:pPr>
        <w:spacing w:after="120"/>
      </w:pPr>
    </w:p>
    <w:p>
      <w:pPr>
        <w:pStyle w:val="Heading3"/>
      </w:pPr>
      <w:r>
        <w:t xml:space="preserve">Regulatory War Room</w:t>
      </w:r>
    </w:p>
    <w:p>
      <w:pPr>
        <w:spacing w:after="160" w:line="300"/>
      </w:pPr>
      <w:r>
        <w:rPr>
          <w:rFonts w:ascii="Arial" w:cs="Arial" w:eastAsia="Arial" w:hAnsi="Arial"/>
          <w:color w:val="475569"/>
          <w:sz w:val="22"/>
          <w:szCs w:val="22"/>
        </w:rPr>
        <w:t xml:space="preserve">Breach Response Automation (72-hour DPBI workflow + 6-hour CERT-In parallel reporting), Annual Audit Report Generator for SDFs, and AI-powered regulatory change tracker.</w:t>
      </w:r>
    </w:p>
    <w:p>
      <w:r>
        <w:br w:type="page"/>
      </w:r>
    </w:p>
    <w:p>
      <w:pPr>
        <w:pStyle w:val="Heading1"/>
      </w:pPr>
      <w:r>
        <w:t xml:space="preserve">Part 3: Business &amp; Tech Strategy</w:t>
      </w:r>
    </w:p>
    <w:p>
      <w:pPr>
        <w:pStyle w:val="Heading2"/>
      </w:pPr>
      <w:r>
        <w:t xml:space="preserve">3.1 Name &amp;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6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Tagline</w:t>
            </w:r>
          </w:p>
        </w:tc>
      </w:tr>
      <w:tr>
        <w:tc>
          <w:tcPr>
            <w:tcW w:type="dxa" w:w="234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TrustStack</w:t>
            </w:r>
          </w:p>
        </w:tc>
        <w:tc>
          <w:tcPr>
            <w:tcW w:type="dxa" w:w="46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Positions compliance as a modular, buildable “stack.” “Trust” is the core value proposition.</w:t>
            </w:r>
          </w:p>
        </w:tc>
        <w:tc>
          <w:tcPr>
            <w:tcW w:type="dxa" w:w="234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Build Trust. Ship Faster.</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SahmatOS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“Sahmat” (सहमत) means consent in Hindi. “OS” signals an operating system.</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Consent Ka OS.</w:t>
            </w:r>
          </w:p>
        </w:tc>
      </w:tr>
      <w:tr>
        <w:tc>
          <w:tcPr>
            <w:tcW w:type="dxa" w:w="234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PrivacyDost</w:t>
            </w:r>
          </w:p>
        </w:tc>
        <w:tc>
          <w:tcPr>
            <w:tcW w:type="dxa" w:w="46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“Dost” (दोस्त) means friend in Hindi/Urdu. Approachable positioning for Tier 2–3.</w:t>
            </w:r>
          </w:p>
        </w:tc>
        <w:tc>
          <w:tcPr>
            <w:tcW w:type="dxa" w:w="234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Your Compliance Friend.</w:t>
            </w:r>
          </w:p>
        </w:tc>
      </w:tr>
    </w:tbl>
    <w:p>
      <w:pPr>
        <w:spacing w:after="120"/>
      </w:pPr>
    </w:p>
    <w:p>
      <w:pPr>
        <w:pStyle w:val="Heading2"/>
      </w:pPr>
      <w:r>
        <w:t xml:space="preserve">3.2 Integration Ecosystem</w:t>
      </w:r>
    </w:p>
    <w:p>
      <w:pPr>
        <w:spacing w:after="160" w:line="300"/>
      </w:pPr>
      <w:r>
        <w:rPr>
          <w:rFonts w:ascii="Arial" w:cs="Arial" w:eastAsia="Arial" w:hAnsi="Arial"/>
          <w:color w:val="475569"/>
          <w:sz w:val="22"/>
          <w:szCs w:val="22"/>
        </w:rPr>
        <w:t xml:space="preserve">TrustStack’s connectors target the Indian SME tech stack: Tally (7M+ businesses, financial PII discovery, consent-linked retention), Zoho (100M+ users, CRM/Books/Desk, embedded consent widgets), WhatsApp Business (500M+ Indian users, regional-language consent templates, 1-tap withdrawal), and Razorpay (payment and KYC data flows, consent tracking for payment purpose).</w:t>
      </w:r>
    </w:p>
    <w:p>
      <w:pPr>
        <w:spacing w:after="120"/>
      </w:pPr>
    </w:p>
    <w:p>
      <w:pPr>
        <w:pStyle w:val="Heading2"/>
      </w:pPr>
      <w:r>
        <w:t xml:space="preserve">3.3 Monetisation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Upsell</w:t>
            </w:r>
          </w:p>
        </w:tc>
      </w:tr>
      <w:tr>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Awareness</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Free</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₹0</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Per scan</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All founders</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Trust Check → Assessment</w:t>
            </w:r>
          </w:p>
        </w:tc>
      </w:tr>
      <w:tr>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Awareness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Pro</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₹499/mo</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Unlimited scans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Active founders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Vernacular → Discovery</w:t>
            </w:r>
          </w:p>
        </w:tc>
      </w:tr>
      <w:tr>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Assessment</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Starter</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₹999/flow</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Per Data Flow</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Pre-seed</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Per-flow → Discovery</w:t>
            </w:r>
          </w:p>
        </w:tc>
      </w:tr>
      <w:tr>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Assessment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Growth</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₹4,999/mo</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Up to 15 flows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Seed–Series A</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Discovery → Vault</w:t>
            </w:r>
          </w:p>
        </w:tc>
      </w:tr>
      <w:tr>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Assessment</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Enterprise</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₹14,999/mo</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Unlimited + Audit</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Series B+</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Full stack</w:t>
            </w:r>
          </w:p>
        </w:tc>
      </w:tr>
      <w:tr>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Consent Mgmt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Starter</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₹2,499/mo</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10K Data Principals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Early startups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Scale upsell</w:t>
            </w:r>
          </w:p>
        </w:tc>
      </w:tr>
      <w:tr>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Consent Mgmt</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Scale</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₹9,999/mo</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500K Data Principals</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Growth-stage</w:t>
            </w:r>
          </w:p>
        </w:tc>
        <w:tc>
          <w:tcPr>
            <w:tcW w:type="dxa" w:w="1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Erasure + War Room</w:t>
            </w:r>
          </w:p>
        </w:tc>
      </w:tr>
      <w:tr>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Consent Mgmt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Platform</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Custom</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Unlimited + SLA</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Large SMEs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Full compliance OS</w:t>
            </w:r>
          </w:p>
        </w:tc>
      </w:tr>
    </w:tbl>
    <w:p>
      <w:pPr>
        <w:spacing w:after="120"/>
      </w:pPr>
    </w:p>
    <w:p>
      <w:r>
        <w:br w:type="page"/>
      </w:r>
    </w:p>
    <w:p>
      <w:pPr>
        <w:pStyle w:val="Heading2"/>
      </w:pPr>
      <w:r>
        <w:t xml:space="preserve">3.4 Risks &amp; Mitigations (New in v2.0)</w:t>
      </w:r>
    </w:p>
    <w:p>
      <w:pPr>
        <w:spacing w:after="160" w:line="300"/>
      </w:pPr>
      <w:r>
        <w:rPr>
          <w:rFonts w:ascii="Arial" w:cs="Arial" w:eastAsia="Arial" w:hAnsi="Arial"/>
          <w:color w:val="475569"/>
          <w:sz w:val="22"/>
          <w:szCs w:val="22"/>
        </w:rPr>
        <w:t xml:space="preserve">Honest risk assessment is essential for mentor and investor confidence. Below are the five most significant risks to TrustStack’s execution,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5616"/>
      </w:tblGrid>
      <w:tr>
        <w:tc>
          <w:tcPr>
            <w:tcW w:type="dxa" w:w="2808"/>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93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61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8"/>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DPBI delays CM registration beyond Nov 2026</w:t>
            </w:r>
          </w:p>
        </w:tc>
        <w:tc>
          <w:tcPr>
            <w:tcW w:type="dxa" w:w="93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High</w:t>
            </w:r>
          </w:p>
        </w:tc>
        <w:tc>
          <w:tcPr>
            <w:tcW w:type="dxa" w:w="561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Modules 1–2 are revenue-generating without CM registration. Consent Vault can operate as a SaaS tool pre-registration.</w:t>
            </w:r>
          </w:p>
        </w:tc>
      </w:tr>
      <w:tr>
        <w:tc>
          <w:tcPr>
            <w:tcW w:type="dxa" w:w="2808"/>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₹2Cr net worth is steep for a startup</w:t>
            </w:r>
          </w:p>
        </w:tc>
        <w:tc>
          <w:tcPr>
            <w:tcW w:type="dxa" w:w="93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High</w:t>
            </w:r>
          </w:p>
        </w:tc>
        <w:tc>
          <w:tcPr>
            <w:tcW w:type="dxa" w:w="561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Seed round must factor in statutory capital. Alternatively, partner with an existing registered entity initially.</w:t>
            </w:r>
          </w:p>
        </w:tc>
      </w:tr>
      <w:tr>
        <w:tc>
          <w:tcPr>
            <w:tcW w:type="dxa" w:w="2808"/>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Dual-role conflict: AI Discovery + CM</w:t>
            </w:r>
          </w:p>
        </w:tc>
        <w:tc>
          <w:tcPr>
            <w:tcW w:type="dxa" w:w="93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Medium</w:t>
            </w:r>
          </w:p>
        </w:tc>
        <w:tc>
          <w:tcPr>
            <w:tcW w:type="dxa" w:w="561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Architecturally separated: sandboxed Discovery agent, no access to consent data. Separate legal entities if needed.</w:t>
            </w:r>
          </w:p>
        </w:tc>
      </w:tr>
      <w:tr>
        <w:tc>
          <w:tcPr>
            <w:tcW w:type="dxa" w:w="2808"/>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Low SME awareness delays adoption</w:t>
            </w:r>
          </w:p>
        </w:tc>
        <w:tc>
          <w:tcPr>
            <w:tcW w:type="dxa" w:w="93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Medium</w:t>
            </w:r>
          </w:p>
        </w:tc>
        <w:tc>
          <w:tcPr>
            <w:tcW w:type="dxa" w:w="561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Free Trust Check drives viral awareness. CA/law firm channel partnerships educate Tier 2–3.</w:t>
            </w:r>
          </w:p>
        </w:tc>
      </w:tr>
      <w:tr>
        <w:tc>
          <w:tcPr>
            <w:tcW w:type="dxa" w:w="2808"/>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Cross-border hosting complications</w:t>
            </w:r>
          </w:p>
        </w:tc>
        <w:tc>
          <w:tcPr>
            <w:tcW w:type="dxa" w:w="93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Low</w:t>
            </w:r>
          </w:p>
        </w:tc>
        <w:tc>
          <w:tcPr>
            <w:tcW w:type="dxa" w:w="5616"/>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All consent records on AWS/GCP Mumbai. Hybrid architecture ensures regulator accessibility.</w:t>
            </w:r>
          </w:p>
        </w:tc>
      </w:tr>
    </w:tbl>
    <w:p>
      <w:pPr>
        <w:spacing w:after="120"/>
      </w:pPr>
    </w:p>
    <w:p>
      <w:pPr>
        <w:pStyle w:val="Heading2"/>
      </w:pPr>
      <w:r>
        <w:t xml:space="preserve">3.5 Go-to-Market Strategy</w:t>
      </w:r>
    </w:p>
    <w:p>
      <w:pPr>
        <w:pStyle w:val="Heading3"/>
      </w:pPr>
      <w:r>
        <w:t xml:space="preserve">Phase 1: Community-Led Acquisition (Q2–Q3 2026)</w:t>
      </w:r>
    </w:p>
    <w:p>
      <w:pPr>
        <w:pStyle w:val="ListParagraph"/>
        <w:numPr>
          <w:ilvl w:val="0"/>
          <w:numId w:val="6"/>
        </w:numPr>
        <w:spacing w:after="80" w:line="280"/>
      </w:pPr>
      <w:r>
        <w:rPr>
          <w:rFonts w:ascii="Arial" w:cs="Arial" w:eastAsia="Arial" w:hAnsi="Arial"/>
          <w:color w:val="475569"/>
          <w:sz w:val="22"/>
          <w:szCs w:val="22"/>
        </w:rPr>
        <w:t xml:space="preserve">Launch Trust Check as a free viral tool. Target 100K scans and 10K registered users.</w:t>
      </w:r>
    </w:p>
    <w:p>
      <w:pPr>
        <w:pStyle w:val="ListParagraph"/>
        <w:numPr>
          <w:ilvl w:val="0"/>
          <w:numId w:val="6"/>
        </w:numPr>
        <w:spacing w:after="80" w:line="280"/>
      </w:pPr>
      <w:r>
        <w:rPr>
          <w:rFonts w:ascii="Arial" w:cs="Arial" w:eastAsia="Arial" w:hAnsi="Arial"/>
          <w:color w:val="475569"/>
          <w:sz w:val="22"/>
          <w:szCs w:val="22"/>
        </w:rPr>
        <w:t xml:space="preserve">Partner with accelerators (YC India, Razorpay Rize, Zoho for Startups).</w:t>
      </w:r>
    </w:p>
    <w:p>
      <w:pPr>
        <w:pStyle w:val="ListParagraph"/>
        <w:numPr>
          <w:ilvl w:val="0"/>
          <w:numId w:val="6"/>
        </w:numPr>
        <w:spacing w:after="80" w:line="280"/>
      </w:pPr>
      <w:r>
        <w:rPr>
          <w:rFonts w:ascii="Arial" w:cs="Arial" w:eastAsia="Arial" w:hAnsi="Arial"/>
          <w:color w:val="475569"/>
          <w:sz w:val="22"/>
          <w:szCs w:val="22"/>
        </w:rPr>
        <w:t xml:space="preserve">Jargon Slayer content marketing in Hindi and Tamil.</w:t>
      </w:r>
    </w:p>
    <w:p>
      <w:pPr>
        <w:spacing w:after="120"/>
      </w:pPr>
    </w:p>
    <w:p>
      <w:pPr>
        <w:pStyle w:val="Heading3"/>
      </w:pPr>
      <w:r>
        <w:t xml:space="preserve">Phase 2: Revenue Activation (Q4 2026–Q1 2027)</w:t>
      </w:r>
    </w:p>
    <w:p>
      <w:pPr>
        <w:pStyle w:val="ListParagraph"/>
        <w:numPr>
          <w:ilvl w:val="0"/>
          <w:numId w:val="7"/>
        </w:numPr>
        <w:spacing w:after="80" w:line="280"/>
      </w:pPr>
      <w:r>
        <w:rPr>
          <w:rFonts w:ascii="Arial" w:cs="Arial" w:eastAsia="Arial" w:hAnsi="Arial"/>
          <w:color w:val="475569"/>
          <w:sz w:val="22"/>
          <w:szCs w:val="22"/>
        </w:rPr>
        <w:t xml:space="preserve">Convert Trust Check users to Assessment module.</w:t>
      </w:r>
    </w:p>
    <w:p>
      <w:pPr>
        <w:pStyle w:val="ListParagraph"/>
        <w:numPr>
          <w:ilvl w:val="0"/>
          <w:numId w:val="7"/>
        </w:numPr>
        <w:spacing w:after="80" w:line="280"/>
      </w:pPr>
      <w:r>
        <w:rPr>
          <w:rFonts w:ascii="Arial" w:cs="Arial" w:eastAsia="Arial" w:hAnsi="Arial"/>
          <w:color w:val="475569"/>
          <w:sz w:val="22"/>
          <w:szCs w:val="22"/>
        </w:rPr>
        <w:t xml:space="preserve">Launch Consent Vault beta with DPBI registration (November 2026).</w:t>
      </w:r>
    </w:p>
    <w:p>
      <w:pPr>
        <w:pStyle w:val="ListParagraph"/>
        <w:numPr>
          <w:ilvl w:val="0"/>
          <w:numId w:val="7"/>
        </w:numPr>
        <w:spacing w:after="80" w:line="280"/>
      </w:pPr>
      <w:r>
        <w:rPr>
          <w:rFonts w:ascii="Arial" w:cs="Arial" w:eastAsia="Arial" w:hAnsi="Arial"/>
          <w:color w:val="475569"/>
          <w:sz w:val="22"/>
          <w:szCs w:val="22"/>
        </w:rPr>
        <w:t xml:space="preserve">Channel partnerships with CA firms and law firms in Tier 2–3 cities.</w:t>
      </w:r>
    </w:p>
    <w:p>
      <w:pPr>
        <w:spacing w:after="120"/>
      </w:pPr>
    </w:p>
    <w:p>
      <w:pPr>
        <w:pStyle w:val="Heading3"/>
      </w:pPr>
      <w:r>
        <w:t xml:space="preserve">Phase 3: Platform Scale (Q2 2027+)</w:t>
      </w:r>
    </w:p>
    <w:p>
      <w:pPr>
        <w:pStyle w:val="ListParagraph"/>
        <w:numPr>
          <w:ilvl w:val="0"/>
          <w:numId w:val="8"/>
        </w:numPr>
        <w:spacing w:after="80" w:line="280"/>
      </w:pPr>
      <w:r>
        <w:rPr>
          <w:rFonts w:ascii="Arial" w:cs="Arial" w:eastAsia="Arial" w:hAnsi="Arial"/>
          <w:color w:val="475569"/>
          <w:sz w:val="22"/>
          <w:szCs w:val="22"/>
        </w:rPr>
        <w:t xml:space="preserve">Full Consent Manager operations post-registration. B2B2C model.</w:t>
      </w:r>
    </w:p>
    <w:p>
      <w:pPr>
        <w:pStyle w:val="ListParagraph"/>
        <w:numPr>
          <w:ilvl w:val="0"/>
          <w:numId w:val="8"/>
        </w:numPr>
        <w:spacing w:after="80" w:line="280"/>
      </w:pPr>
      <w:r>
        <w:rPr>
          <w:rFonts w:ascii="Arial" w:cs="Arial" w:eastAsia="Arial" w:hAnsi="Arial"/>
          <w:color w:val="475569"/>
          <w:sz w:val="22"/>
          <w:szCs w:val="22"/>
        </w:rPr>
        <w:t xml:space="preserve">Expand to 25+ integrations. Launch third-party plugin marketplace.</w:t>
      </w:r>
    </w:p>
    <w:p>
      <w:pPr>
        <w:pStyle w:val="ListParagraph"/>
        <w:numPr>
          <w:ilvl w:val="0"/>
          <w:numId w:val="8"/>
        </w:numPr>
        <w:spacing w:after="80" w:line="280"/>
      </w:pPr>
      <w:r>
        <w:rPr>
          <w:rFonts w:ascii="Arial" w:cs="Arial" w:eastAsia="Arial" w:hAnsi="Arial"/>
          <w:color w:val="475569"/>
          <w:sz w:val="22"/>
          <w:szCs w:val="22"/>
        </w:rPr>
        <w:t xml:space="preserve">Enter adjacent markets: RBI data privacy (AA), SEBI cyber resilience, IRDAI data governance.</w:t>
      </w:r>
    </w:p>
    <w:p>
      <w:pPr>
        <w:spacing w:after="120"/>
      </w:pPr>
    </w:p>
    <w:p>
      <w:pPr>
        <w:pStyle w:val="Heading2"/>
      </w:pPr>
      <w:r>
        <w:t xml:space="preserve">3.6 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Moat Layer</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Switching Cost</w:t>
            </w:r>
          </w:p>
        </w:tc>
      </w:tr>
      <w:tr>
        <w:tc>
          <w:tcPr>
            <w:tcW w:type="dxa" w:w="312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Regulatory Registration</w:t>
            </w:r>
          </w:p>
        </w:tc>
        <w:tc>
          <w:tcPr>
            <w:tcW w:type="dxa" w:w="312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DPBI-registered CM = licensed intermediary. Limited registrations in Year 1.</w:t>
            </w:r>
          </w:p>
        </w:tc>
        <w:tc>
          <w:tcPr>
            <w:tcW w:type="dxa" w:w="312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Re-registration requires full regulatory process.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Data Network Effects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Every DP on TrustStack increases value for connected DFs. More DPs = easier consent.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Migrating millions of verifiable consent records is near-impossible.</w:t>
            </w:r>
          </w:p>
        </w:tc>
      </w:tr>
      <w:tr>
        <w:tc>
          <w:tcPr>
            <w:tcW w:type="dxa" w:w="312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Vernacular AI</w:t>
            </w:r>
          </w:p>
        </w:tc>
        <w:tc>
          <w:tcPr>
            <w:tcW w:type="dxa" w:w="312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Fine-tuned on Indian regulatory + business corpora. 22-language domain accuracy.</w:t>
            </w:r>
          </w:p>
        </w:tc>
        <w:tc>
          <w:tcPr>
            <w:tcW w:type="dxa" w:w="312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color w:val="475569"/>
                <w:sz w:val="20"/>
                <w:szCs w:val="20"/>
              </w:rPr>
              <w:t xml:space="preserve">Years of training data and cultural validation.</w:t>
            </w:r>
          </w:p>
        </w:tc>
      </w:tr>
    </w:tbl>
    <w:p>
      <w:pPr>
        <w:spacing w:after="120"/>
      </w:pPr>
    </w:p>
    <w:p>
      <w:pPr>
        <w:pStyle w:val="Heading1"/>
      </w:pPr>
      <w:r>
        <w:t xml:space="preserve">Conclusion &amp; Next Steps</w:t>
      </w:r>
    </w:p>
    <w:p>
      <w:pPr>
        <w:spacing w:after="160" w:line="300"/>
      </w:pPr>
      <w:r>
        <w:rPr>
          <w:rFonts w:ascii="Arial" w:cs="Arial" w:eastAsia="Arial" w:hAnsi="Arial"/>
          <w:color w:val="475569"/>
          <w:sz w:val="22"/>
          <w:szCs w:val="22"/>
        </w:rPr>
        <w:t xml:space="preserve">The DPDPA creates a once-in-a-decade regulatory event. With 500,000+ businesses needing compliance by May 2027 and no existing solution serving the Indian SME segment, TrustStack is positioned to be the de facto compliance operating system for this market.</w:t>
      </w:r>
    </w:p>
    <w:p>
      <w:pPr>
        <w:pStyle w:val="ListParagraph"/>
        <w:numPr>
          <w:ilvl w:val="0"/>
          <w:numId w:val="9"/>
        </w:numPr>
        <w:spacing w:after="80" w:line="280"/>
      </w:pPr>
      <w:r>
        <w:rPr>
          <w:rFonts w:ascii="Arial" w:cs="Arial" w:eastAsia="Arial" w:hAnsi="Arial"/>
          <w:color w:val="475569"/>
          <w:sz w:val="22"/>
          <w:szCs w:val="22"/>
        </w:rPr>
        <w:t xml:space="preserve">Q2 2026: Incorporate entity, establish ₹2 crore net worth, begin DPBI pre-engagement.</w:t>
      </w:r>
    </w:p>
    <w:p>
      <w:pPr>
        <w:pStyle w:val="ListParagraph"/>
        <w:numPr>
          <w:ilvl w:val="0"/>
          <w:numId w:val="9"/>
        </w:numPr>
        <w:spacing w:after="80" w:line="280"/>
      </w:pPr>
      <w:r>
        <w:rPr>
          <w:rFonts w:ascii="Arial" w:cs="Arial" w:eastAsia="Arial" w:hAnsi="Arial"/>
          <w:color w:val="475569"/>
          <w:sz w:val="22"/>
          <w:szCs w:val="22"/>
        </w:rPr>
        <w:t xml:space="preserve">Q3 2026: Launch Trust Check beta and Jargon Slayer MVP.</w:t>
      </w:r>
    </w:p>
    <w:p>
      <w:pPr>
        <w:pStyle w:val="ListParagraph"/>
        <w:numPr>
          <w:ilvl w:val="0"/>
          <w:numId w:val="9"/>
        </w:numPr>
        <w:spacing w:after="80" w:line="280"/>
      </w:pPr>
      <w:r>
        <w:rPr>
          <w:rFonts w:ascii="Arial" w:cs="Arial" w:eastAsia="Arial" w:hAnsi="Arial"/>
          <w:color w:val="475569"/>
          <w:sz w:val="22"/>
          <w:szCs w:val="22"/>
        </w:rPr>
        <w:t xml:space="preserve">Q4 2026: Submit Consent Manager registration. Launch Consent Vault and Assessment.</w:t>
      </w:r>
    </w:p>
    <w:p>
      <w:pPr>
        <w:pStyle w:val="ListParagraph"/>
        <w:numPr>
          <w:ilvl w:val="0"/>
          <w:numId w:val="9"/>
        </w:numPr>
        <w:spacing w:after="80" w:line="280"/>
      </w:pPr>
      <w:r>
        <w:rPr>
          <w:rFonts w:ascii="Arial" w:cs="Arial" w:eastAsia="Arial" w:hAnsi="Arial"/>
          <w:color w:val="475569"/>
          <w:sz w:val="22"/>
          <w:szCs w:val="22"/>
        </w:rPr>
        <w:t xml:space="preserve">Q1 2027: Activate full platform. Onboard first 100 paying customers.</w:t>
      </w:r>
    </w:p>
    <w:p>
      <w:pPr>
        <w:pStyle w:val="ListParagraph"/>
        <w:numPr>
          <w:ilvl w:val="0"/>
          <w:numId w:val="9"/>
        </w:numPr>
        <w:spacing w:after="80" w:line="280"/>
      </w:pPr>
      <w:r>
        <w:rPr>
          <w:rFonts w:ascii="Arial" w:cs="Arial" w:eastAsia="Arial" w:hAnsi="Arial"/>
          <w:color w:val="475569"/>
          <w:sz w:val="22"/>
          <w:szCs w:val="22"/>
        </w:rPr>
        <w:t xml:space="preserve">May 2027: Full enforcement. Target 500+ paying customers.</w:t>
      </w:r>
    </w:p>
    <w:p>
      <w:pPr>
        <w:spacing w:after="240"/>
      </w:pPr>
    </w:p>
    <w:p>
      <w:pPr>
        <w:pBdr>
          <w:top w:val="single" w:color="0D9488" w:sz="2" w:space="8"/>
        </w:pBdr>
        <w:spacing w:before="200"/>
        <w:jc w:val="center"/>
      </w:pPr>
      <w:r>
        <w:rPr>
          <w:rFonts w:ascii="Arial" w:cs="Arial" w:eastAsia="Arial" w:hAnsi="Arial"/>
          <w:i/>
          <w:iCs/>
          <w:color w:val="0D9488"/>
          <w:sz w:val="20"/>
          <w:szCs w:val="20"/>
        </w:rPr>
        <w:t xml:space="preserve">End of Proposal —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tabs>
        <w:tab w:val="right" w:pos="9026"/>
      </w:tabs>
    </w:pPr>
    <w:r>
      <w:rPr>
        <w:rFonts w:ascii="Arial" w:cs="Arial" w:eastAsia="Arial" w:hAnsi="Arial"/>
        <w:i/>
        <w:iCs/>
        <w:color w:val="0D9488"/>
        <w:sz w:val="18"/>
        <w:szCs w:val="18"/>
      </w:rPr>
      <w:t xml:space="preserve">TrustStack — Product Proposal v2.0</w:t>
    </w:r>
    <w:r>
      <w:rPr>
        <w:rFonts w:ascii="Arial" w:cs="Arial" w:eastAsia="Arial" w:hAnsi="Arial"/>
        <w:color w:val="47556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4"/>
    <w:lvlOverride w:ilvl="0">
      <w:startOverride w:val="1"/>
    </w:lvlOverride>
  </w:num>
  <w:num w:numId="7">
    <w:abstractNumId w:val="15"/>
    <w:lvlOverride w:ilvl="0">
      <w:startOverride w:val="1"/>
    </w:lvlOverride>
  </w:num>
  <w:num w:numId="8">
    <w:abstractNumId w:val="16"/>
    <w:lvlOverride w:ilvl="0">
      <w:startOverride w:val="1"/>
    </w:lvlOverride>
  </w:num>
  <w:num w:numId="9">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9488" w:sz="4" w:space="4"/>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2026-04-13T18:55:28.304Z</dcterms:created>
  <dcterms:modified xsi:type="dcterms:W3CDTF">2026-04-13T18:55:28.304Z</dcterms:modified>
</cp:coreProperties>
</file>

<file path=docProps/custom.xml><?xml version="1.0" encoding="utf-8"?>
<Properties xmlns="http://schemas.openxmlformats.org/officeDocument/2006/custom-properties" xmlns:vt="http://schemas.openxmlformats.org/officeDocument/2006/docPropsVTypes"/>
</file>