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0A6" w:rsidRDefault="00EF30A6"/>
    <w:p w:rsidR="00505B38" w:rsidRDefault="00505B38">
      <w:proofErr w:type="gramStart"/>
      <w:r>
        <w:t>Identity and access management.</w:t>
      </w:r>
      <w:proofErr w:type="gramEnd"/>
    </w:p>
    <w:p w:rsidR="00505B38" w:rsidRDefault="00505B38"/>
    <w:p w:rsidR="00686F8E" w:rsidRDefault="003F1232">
      <w:hyperlink r:id="rId6" w:history="1">
        <w:r w:rsidR="00686F8E" w:rsidRPr="00FB0E00">
          <w:rPr>
            <w:rStyle w:val="Hyperlink"/>
          </w:rPr>
          <w:t>https://developer.salesforce.com/docs/atlas.en-us.api_rest.meta/api_rest/intro_understanding_authentication.htm</w:t>
        </w:r>
      </w:hyperlink>
    </w:p>
    <w:p w:rsidR="00686F8E" w:rsidRPr="00686F8E" w:rsidRDefault="00686F8E" w:rsidP="00686F8E">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686F8E">
        <w:rPr>
          <w:rFonts w:ascii="ProximaNovaLight" w:eastAsia="Times New Roman" w:hAnsi="ProximaNovaLight" w:cs="Times New Roman"/>
          <w:b/>
          <w:bCs/>
          <w:color w:val="01344E"/>
          <w:kern w:val="36"/>
          <w:sz w:val="42"/>
          <w:szCs w:val="42"/>
        </w:rPr>
        <w:t>Understanding Authentication</w:t>
      </w:r>
    </w:p>
    <w:p w:rsidR="006C1739" w:rsidRPr="006C1739" w:rsidRDefault="006C1739" w:rsidP="006C1739">
      <w:pPr>
        <w:shd w:val="clear" w:color="auto" w:fill="F5F5F5"/>
        <w:spacing w:before="300" w:after="300" w:line="240" w:lineRule="auto"/>
        <w:rPr>
          <w:rFonts w:ascii="Helvetica" w:eastAsia="Times New Roman" w:hAnsi="Helvetica" w:cs="Times New Roman"/>
          <w:color w:val="3E3E3C"/>
          <w:sz w:val="24"/>
          <w:szCs w:val="24"/>
        </w:rPr>
      </w:pPr>
      <w:r>
        <w:rPr>
          <w:rFonts w:ascii="Helvetica" w:eastAsia="Times New Roman" w:hAnsi="Helvetica" w:cs="Times New Roman"/>
          <w:color w:val="3E3E3C"/>
          <w:sz w:val="24"/>
          <w:szCs w:val="24"/>
        </w:rPr>
        <w:t>T</w:t>
      </w:r>
      <w:r w:rsidRPr="006C1739">
        <w:rPr>
          <w:rFonts w:ascii="Helvetica" w:eastAsia="Times New Roman" w:hAnsi="Helvetica" w:cs="Times New Roman"/>
          <w:color w:val="3E3E3C"/>
          <w:sz w:val="24"/>
          <w:szCs w:val="24"/>
        </w:rPr>
        <w:t>hree protocols that Salesforce and other identity vendors follow to implement identity solutions.</w:t>
      </w:r>
    </w:p>
    <w:p w:rsidR="006C1739" w:rsidRPr="006C1739" w:rsidRDefault="006C1739" w:rsidP="006C1739">
      <w:pPr>
        <w:numPr>
          <w:ilvl w:val="0"/>
          <w:numId w:val="2"/>
        </w:numPr>
        <w:shd w:val="clear" w:color="auto" w:fill="F5F5F5"/>
        <w:spacing w:before="100" w:beforeAutospacing="1" w:after="100" w:afterAutospacing="1" w:line="360" w:lineRule="atLeast"/>
        <w:rPr>
          <w:rFonts w:ascii="Helvetica" w:eastAsia="Times New Roman" w:hAnsi="Helvetica" w:cs="Times New Roman"/>
          <w:color w:val="3E3E3C"/>
          <w:sz w:val="24"/>
          <w:szCs w:val="24"/>
        </w:rPr>
      </w:pPr>
      <w:r w:rsidRPr="006C1739">
        <w:rPr>
          <w:rFonts w:ascii="Helvetica" w:eastAsia="Times New Roman" w:hAnsi="Helvetica" w:cs="Times New Roman"/>
          <w:color w:val="3E3E3C"/>
          <w:sz w:val="24"/>
          <w:szCs w:val="24"/>
        </w:rPr>
        <w:t>SAML</w:t>
      </w:r>
    </w:p>
    <w:p w:rsidR="006C1739" w:rsidRPr="006C1739" w:rsidRDefault="006C1739" w:rsidP="006C1739">
      <w:pPr>
        <w:numPr>
          <w:ilvl w:val="0"/>
          <w:numId w:val="2"/>
        </w:numPr>
        <w:shd w:val="clear" w:color="auto" w:fill="F5F5F5"/>
        <w:spacing w:before="100" w:beforeAutospacing="1" w:after="100" w:afterAutospacing="1" w:line="360" w:lineRule="atLeast"/>
        <w:rPr>
          <w:rFonts w:ascii="Helvetica" w:eastAsia="Times New Roman" w:hAnsi="Helvetica" w:cs="Times New Roman"/>
          <w:color w:val="3E3E3C"/>
          <w:sz w:val="24"/>
          <w:szCs w:val="24"/>
        </w:rPr>
      </w:pPr>
      <w:r w:rsidRPr="006C1739">
        <w:rPr>
          <w:rFonts w:ascii="Helvetica" w:eastAsia="Times New Roman" w:hAnsi="Helvetica" w:cs="Times New Roman"/>
          <w:color w:val="3E3E3C"/>
          <w:sz w:val="24"/>
          <w:szCs w:val="24"/>
        </w:rPr>
        <w:t>OAuth 2.0</w:t>
      </w:r>
    </w:p>
    <w:p w:rsidR="006C1739" w:rsidRPr="006C1739" w:rsidRDefault="006C1739" w:rsidP="006C1739">
      <w:pPr>
        <w:numPr>
          <w:ilvl w:val="0"/>
          <w:numId w:val="2"/>
        </w:numPr>
        <w:shd w:val="clear" w:color="auto" w:fill="F5F5F5"/>
        <w:spacing w:before="100" w:beforeAutospacing="1" w:after="100" w:afterAutospacing="1" w:line="360" w:lineRule="atLeast"/>
        <w:rPr>
          <w:rFonts w:ascii="Helvetica" w:eastAsia="Times New Roman" w:hAnsi="Helvetica" w:cs="Times New Roman"/>
          <w:color w:val="3E3E3C"/>
          <w:sz w:val="24"/>
          <w:szCs w:val="24"/>
        </w:rPr>
      </w:pPr>
      <w:r w:rsidRPr="006C1739">
        <w:rPr>
          <w:rFonts w:ascii="Helvetica" w:eastAsia="Times New Roman" w:hAnsi="Helvetica" w:cs="Times New Roman"/>
          <w:color w:val="3E3E3C"/>
          <w:sz w:val="24"/>
          <w:szCs w:val="24"/>
        </w:rPr>
        <w:t>OpenID Connect</w:t>
      </w:r>
    </w:p>
    <w:p w:rsidR="00816738" w:rsidRPr="00816738" w:rsidRDefault="00816738" w:rsidP="0063563B">
      <w:pPr>
        <w:shd w:val="clear" w:color="auto" w:fill="FFFFFF"/>
        <w:spacing w:after="173" w:line="240" w:lineRule="auto"/>
        <w:rPr>
          <w:rFonts w:ascii="DSCDefaultFontRegular" w:eastAsia="Times New Roman" w:hAnsi="DSCDefaultFontRegular" w:cs="Times New Roman"/>
          <w:b/>
          <w:color w:val="333333"/>
          <w:sz w:val="23"/>
          <w:szCs w:val="23"/>
        </w:rPr>
      </w:pPr>
      <w:r w:rsidRPr="00816738">
        <w:rPr>
          <w:rFonts w:ascii="DSCDefaultFontRegular" w:eastAsia="Times New Roman" w:hAnsi="DSCDefaultFontRegular" w:cs="Times New Roman"/>
          <w:b/>
          <w:color w:val="333333"/>
          <w:sz w:val="23"/>
          <w:szCs w:val="23"/>
        </w:rPr>
        <w:t>OAuth</w:t>
      </w:r>
    </w:p>
    <w:p w:rsidR="0063563B" w:rsidRPr="00686F8E" w:rsidRDefault="0063563B" w:rsidP="0063563B">
      <w:pPr>
        <w:shd w:val="clear" w:color="auto" w:fill="FFFFFF"/>
        <w:spacing w:after="173" w:line="240" w:lineRule="auto"/>
        <w:rPr>
          <w:rFonts w:ascii="DSCDefaultFontRegular" w:eastAsia="Times New Roman" w:hAnsi="DSCDefaultFontRegular" w:cs="Times New Roman"/>
          <w:color w:val="333333"/>
          <w:sz w:val="23"/>
          <w:szCs w:val="23"/>
        </w:rPr>
      </w:pPr>
      <w:r w:rsidRPr="00686F8E">
        <w:rPr>
          <w:rFonts w:ascii="DSCDefaultFontRegular" w:eastAsia="Times New Roman" w:hAnsi="DSCDefaultFontRegular" w:cs="Times New Roman"/>
          <w:color w:val="333333"/>
          <w:sz w:val="23"/>
          <w:szCs w:val="23"/>
        </w:rPr>
        <w:t>Salesforce uses the OAuth protocol to allow users of applications to securely access data without having to reveal username and password credentials.</w:t>
      </w:r>
    </w:p>
    <w:p w:rsidR="0063563B" w:rsidRDefault="0063563B" w:rsidP="0063563B">
      <w:pPr>
        <w:rPr>
          <w:rFonts w:ascii="DSCDefaultFontRegular" w:hAnsi="DSCDefaultFontRegular"/>
          <w:color w:val="333333"/>
          <w:sz w:val="23"/>
          <w:szCs w:val="23"/>
          <w:shd w:val="clear" w:color="auto" w:fill="FFFFFF"/>
        </w:rPr>
      </w:pPr>
      <w:r>
        <w:rPr>
          <w:rFonts w:ascii="DSCDefaultFontRegular" w:hAnsi="DSCDefaultFontRegular"/>
          <w:color w:val="333333"/>
          <w:sz w:val="23"/>
          <w:szCs w:val="23"/>
          <w:shd w:val="clear" w:color="auto" w:fill="FFFFFF"/>
        </w:rPr>
        <w:t>Supported OAuth flows include:</w:t>
      </w:r>
    </w:p>
    <w:p w:rsidR="0063563B" w:rsidRDefault="003F1232" w:rsidP="0063563B">
      <w:pPr>
        <w:numPr>
          <w:ilvl w:val="0"/>
          <w:numId w:val="1"/>
        </w:numPr>
        <w:shd w:val="clear" w:color="auto" w:fill="FFFFFF"/>
        <w:spacing w:before="100" w:beforeAutospacing="1" w:after="100" w:afterAutospacing="1" w:line="345" w:lineRule="atLeast"/>
        <w:ind w:left="375"/>
        <w:rPr>
          <w:rFonts w:ascii="DSCDefaultFontRegular" w:hAnsi="DSCDefaultFontRegular"/>
          <w:color w:val="333333"/>
          <w:sz w:val="23"/>
          <w:szCs w:val="23"/>
        </w:rPr>
      </w:pPr>
      <w:hyperlink r:id="rId7" w:tooltip="Apps that are hosted on a secure server use the web server authentication flow. A critical aspect of the web server flow is that the server must be able to protect the consumer secret. You can use code challenge and verifier values in the flow to prevent autho" w:history="1">
        <w:r w:rsidR="0063563B">
          <w:rPr>
            <w:rStyle w:val="Hyperlink"/>
            <w:rFonts w:ascii="DSCDefaultFontRegular" w:hAnsi="DSCDefaultFontRegular"/>
            <w:color w:val="048EC6"/>
            <w:sz w:val="23"/>
            <w:szCs w:val="23"/>
            <w:u w:val="none"/>
          </w:rPr>
          <w:t>Web server flow</w:t>
        </w:r>
      </w:hyperlink>
      <w:r w:rsidR="0063563B">
        <w:rPr>
          <w:rFonts w:ascii="DSCDefaultFontRegular" w:hAnsi="DSCDefaultFontRegular"/>
          <w:color w:val="333333"/>
          <w:sz w:val="23"/>
          <w:szCs w:val="23"/>
        </w:rPr>
        <w:t>, where the server can securely protect the consumer secret.</w:t>
      </w:r>
      <w:r w:rsidR="002D2D70">
        <w:rPr>
          <w:rFonts w:ascii="DSCDefaultFontRegular" w:hAnsi="DSCDefaultFontRegular"/>
          <w:color w:val="333333"/>
          <w:sz w:val="23"/>
          <w:szCs w:val="23"/>
        </w:rPr>
        <w:br/>
        <w:t>(When an identity provider is social media e.g. Facebook, Google etc.)</w:t>
      </w:r>
    </w:p>
    <w:p w:rsidR="0063563B" w:rsidRDefault="003F1232" w:rsidP="0063563B">
      <w:pPr>
        <w:numPr>
          <w:ilvl w:val="0"/>
          <w:numId w:val="1"/>
        </w:numPr>
        <w:shd w:val="clear" w:color="auto" w:fill="FFFFFF"/>
        <w:spacing w:before="100" w:beforeAutospacing="1" w:after="100" w:afterAutospacing="1" w:line="345" w:lineRule="atLeast"/>
        <w:ind w:left="375"/>
        <w:rPr>
          <w:rFonts w:ascii="DSCDefaultFontRegular" w:hAnsi="DSCDefaultFontRegular"/>
          <w:color w:val="333333"/>
          <w:sz w:val="23"/>
          <w:szCs w:val="23"/>
        </w:rPr>
      </w:pPr>
      <w:hyperlink r:id="rId8" w:tooltip="The user-agent authentication flow is used by client apps (consumers) that reside on the user’s device or computer. It’s also used by client apps running in a browser using a scripting language such as JavaScript. These apps can protect per-user secrets. But, " w:history="1">
        <w:r w:rsidR="0063563B">
          <w:rPr>
            <w:rStyle w:val="Hyperlink"/>
            <w:rFonts w:ascii="DSCDefaultFontRegular" w:hAnsi="DSCDefaultFontRegular"/>
            <w:color w:val="048EC6"/>
            <w:sz w:val="23"/>
            <w:szCs w:val="23"/>
            <w:u w:val="none"/>
          </w:rPr>
          <w:t>User-agent flow</w:t>
        </w:r>
      </w:hyperlink>
      <w:r w:rsidR="0063563B">
        <w:rPr>
          <w:rFonts w:ascii="DSCDefaultFontRegular" w:hAnsi="DSCDefaultFontRegular"/>
          <w:color w:val="333333"/>
          <w:sz w:val="23"/>
          <w:szCs w:val="23"/>
        </w:rPr>
        <w:t>, used by applications that cannot securely store the consumer secret.</w:t>
      </w:r>
      <w:r w:rsidR="00B031DF">
        <w:rPr>
          <w:rFonts w:ascii="DSCDefaultFontRegular" w:hAnsi="DSCDefaultFontRegular"/>
          <w:color w:val="333333"/>
          <w:sz w:val="23"/>
          <w:szCs w:val="23"/>
        </w:rPr>
        <w:br/>
        <w:t>(Mainly apps that reside on phones or computers.)</w:t>
      </w:r>
    </w:p>
    <w:p w:rsidR="00A115EF" w:rsidRDefault="003F1232" w:rsidP="00816738">
      <w:pPr>
        <w:numPr>
          <w:ilvl w:val="0"/>
          <w:numId w:val="1"/>
        </w:numPr>
        <w:pBdr>
          <w:bottom w:val="single" w:sz="6" w:space="1" w:color="auto"/>
        </w:pBdr>
        <w:shd w:val="clear" w:color="auto" w:fill="FFFFFF"/>
        <w:spacing w:before="100" w:beforeAutospacing="1" w:after="100" w:afterAutospacing="1" w:line="345" w:lineRule="atLeast"/>
        <w:ind w:left="375"/>
      </w:pPr>
      <w:hyperlink r:id="rId9" w:tooltip="Use the username-password authentication flow to authenticate when the consumer already has the user’s credentials." w:history="1">
        <w:r w:rsidR="0063563B" w:rsidRPr="00816738">
          <w:rPr>
            <w:rStyle w:val="Hyperlink"/>
            <w:rFonts w:ascii="DSCDefaultFontRegular" w:hAnsi="DSCDefaultFontRegular"/>
            <w:color w:val="048EC6"/>
            <w:sz w:val="23"/>
            <w:szCs w:val="23"/>
            <w:u w:val="none"/>
          </w:rPr>
          <w:t>Username-password flow</w:t>
        </w:r>
      </w:hyperlink>
      <w:r w:rsidR="0063563B" w:rsidRPr="00816738">
        <w:rPr>
          <w:rFonts w:ascii="DSCDefaultFontRegular" w:hAnsi="DSCDefaultFontRegular"/>
          <w:color w:val="333333"/>
          <w:sz w:val="23"/>
          <w:szCs w:val="23"/>
        </w:rPr>
        <w:t>, where the application has direct access to user credentials.</w:t>
      </w:r>
      <w:r w:rsidR="0063563B" w:rsidRPr="00816738">
        <w:rPr>
          <w:rFonts w:ascii="DSCDefaultFontRegular" w:hAnsi="DSCDefaultFontRegular"/>
          <w:color w:val="333333"/>
          <w:sz w:val="23"/>
          <w:szCs w:val="23"/>
        </w:rPr>
        <w:br/>
      </w:r>
    </w:p>
    <w:p w:rsidR="00686F8E" w:rsidRDefault="00686F8E"/>
    <w:p w:rsidR="00A115EF" w:rsidRPr="00B00D04" w:rsidRDefault="00A115EF" w:rsidP="00A115EF">
      <w:pPr>
        <w:shd w:val="clear" w:color="auto" w:fill="FFFFFF"/>
        <w:spacing w:before="100" w:beforeAutospacing="1" w:after="100" w:afterAutospacing="1" w:line="240" w:lineRule="auto"/>
        <w:textAlignment w:val="baseline"/>
        <w:outlineLvl w:val="1"/>
        <w:rPr>
          <w:rFonts w:ascii="Arial" w:eastAsia="Times New Roman" w:hAnsi="Arial" w:cs="Arial"/>
          <w:color w:val="333333"/>
          <w:sz w:val="36"/>
          <w:szCs w:val="36"/>
        </w:rPr>
      </w:pPr>
      <w:r w:rsidRPr="00B00D04">
        <w:rPr>
          <w:rFonts w:ascii="Arial" w:eastAsia="Times New Roman" w:hAnsi="Arial" w:cs="Arial"/>
          <w:color w:val="333333"/>
          <w:sz w:val="36"/>
          <w:szCs w:val="36"/>
        </w:rPr>
        <w:t>Choosing an OAuth 2.0 Authentication Flow for Salesforce</w:t>
      </w:r>
    </w:p>
    <w:p w:rsidR="00A115EF" w:rsidRPr="00B00D04" w:rsidRDefault="00A115EF" w:rsidP="00A115EF">
      <w:pPr>
        <w:shd w:val="clear" w:color="auto" w:fill="FFFFFF"/>
        <w:spacing w:before="100" w:beforeAutospacing="1" w:after="100" w:afterAutospacing="1" w:line="240" w:lineRule="auto"/>
        <w:textAlignment w:val="baseline"/>
        <w:rPr>
          <w:rFonts w:ascii="Arial" w:eastAsia="Times New Roman" w:hAnsi="Arial" w:cs="Arial"/>
          <w:color w:val="333333"/>
          <w:sz w:val="24"/>
          <w:szCs w:val="24"/>
        </w:rPr>
      </w:pPr>
      <w:r w:rsidRPr="00B00D04">
        <w:rPr>
          <w:rFonts w:ascii="Arial" w:eastAsia="Times New Roman" w:hAnsi="Arial" w:cs="Arial"/>
          <w:color w:val="333333"/>
          <w:sz w:val="24"/>
          <w:szCs w:val="24"/>
        </w:rPr>
        <w:t>As a Salesforce developer, you can use OAuth 2.0 with several authentication flows. When selecting the correct flow for your app, consider the use cases in this table. For details about each flow and its parameters, see references for the flow.</w:t>
      </w:r>
    </w:p>
    <w:tbl>
      <w:tblPr>
        <w:tblW w:w="10905" w:type="dxa"/>
        <w:tblCellSpacing w:w="15" w:type="dxa"/>
        <w:tblBorders>
          <w:top w:val="single" w:sz="6" w:space="0" w:color="DDDBDA"/>
          <w:bottom w:val="single" w:sz="6" w:space="0" w:color="DDDBDA"/>
        </w:tblBorders>
        <w:shd w:val="clear" w:color="auto" w:fill="FFFFFF"/>
        <w:tblCellMar>
          <w:left w:w="0" w:type="dxa"/>
          <w:right w:w="0" w:type="dxa"/>
        </w:tblCellMar>
        <w:tblLook w:val="04A0" w:firstRow="1" w:lastRow="0" w:firstColumn="1" w:lastColumn="0" w:noHBand="0" w:noVBand="1"/>
      </w:tblPr>
      <w:tblGrid>
        <w:gridCol w:w="1698"/>
        <w:gridCol w:w="7341"/>
        <w:gridCol w:w="1866"/>
      </w:tblGrid>
      <w:tr w:rsidR="00A115EF" w:rsidRPr="00B00D04" w:rsidTr="00731588">
        <w:trPr>
          <w:tblCellSpacing w:w="15" w:type="dxa"/>
        </w:trPr>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b/>
                <w:bCs/>
                <w:color w:val="333333"/>
                <w:sz w:val="20"/>
                <w:szCs w:val="20"/>
                <w:bdr w:val="none" w:sz="0" w:space="0" w:color="auto" w:frame="1"/>
              </w:rPr>
              <w:t>Authentication Flow</w:t>
            </w:r>
          </w:p>
        </w:tc>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b/>
                <w:bCs/>
                <w:color w:val="333333"/>
                <w:sz w:val="20"/>
                <w:szCs w:val="20"/>
                <w:bdr w:val="none" w:sz="0" w:space="0" w:color="auto" w:frame="1"/>
              </w:rPr>
              <w:t>Description and Use Cases</w:t>
            </w:r>
          </w:p>
        </w:tc>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b/>
                <w:bCs/>
                <w:color w:val="333333"/>
                <w:sz w:val="20"/>
                <w:szCs w:val="20"/>
                <w:bdr w:val="none" w:sz="0" w:space="0" w:color="auto" w:frame="1"/>
              </w:rPr>
              <w:t>References</w:t>
            </w:r>
          </w:p>
        </w:tc>
      </w:tr>
      <w:tr w:rsidR="00A115EF" w:rsidRPr="00B00D04" w:rsidTr="00731588">
        <w:trPr>
          <w:tblCellSpacing w:w="15" w:type="dxa"/>
        </w:trPr>
        <w:tc>
          <w:tcPr>
            <w:tcW w:w="0" w:type="auto"/>
            <w:tcBorders>
              <w:top w:val="single" w:sz="6" w:space="0" w:color="DDDBDA"/>
              <w:left w:val="nil"/>
              <w:bottom w:val="nil"/>
              <w:right w:val="nil"/>
            </w:tcBorders>
            <w:shd w:val="clear" w:color="auto" w:fill="F3F2F2"/>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Web Server</w:t>
            </w:r>
          </w:p>
        </w:tc>
        <w:tc>
          <w:tcPr>
            <w:tcW w:w="0" w:type="auto"/>
            <w:tcBorders>
              <w:top w:val="single" w:sz="6" w:space="0" w:color="DDDBDA"/>
              <w:left w:val="nil"/>
              <w:bottom w:val="nil"/>
              <w:right w:val="nil"/>
            </w:tcBorders>
            <w:shd w:val="clear" w:color="auto" w:fill="F3F2F2"/>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Apps hosted on a secure server use the web server authentication flow. A critical aspect of the web server flow is that the server must be able to protect the client secret. This flow uses an OAuth 2.0 authorization code grant type.</w:t>
            </w:r>
          </w:p>
        </w:tc>
        <w:tc>
          <w:tcPr>
            <w:tcW w:w="0" w:type="auto"/>
            <w:tcBorders>
              <w:top w:val="single" w:sz="6" w:space="0" w:color="DDDBDA"/>
              <w:left w:val="nil"/>
              <w:bottom w:val="nil"/>
              <w:right w:val="nil"/>
            </w:tcBorders>
            <w:shd w:val="clear" w:color="auto" w:fill="F3F2F2"/>
            <w:vAlign w:val="bottom"/>
            <w:hideMark/>
          </w:tcPr>
          <w:p w:rsidR="00A115EF" w:rsidRPr="00B00D04" w:rsidRDefault="003F1232" w:rsidP="00731588">
            <w:pPr>
              <w:spacing w:beforeAutospacing="1" w:after="0" w:afterAutospacing="1" w:line="240" w:lineRule="auto"/>
              <w:textAlignment w:val="baseline"/>
              <w:rPr>
                <w:rFonts w:ascii="Arial" w:eastAsia="Times New Roman" w:hAnsi="Arial" w:cs="Arial"/>
                <w:color w:val="333333"/>
                <w:sz w:val="20"/>
                <w:szCs w:val="20"/>
              </w:rPr>
            </w:pPr>
            <w:hyperlink r:id="rId10" w:tooltip="HTML (New Window)" w:history="1">
              <w:r w:rsidR="00A115EF" w:rsidRPr="00B00D04">
                <w:rPr>
                  <w:rFonts w:ascii="Arial" w:eastAsia="Times New Roman" w:hAnsi="Arial" w:cs="Arial"/>
                  <w:color w:val="0070D2"/>
                  <w:sz w:val="20"/>
                  <w:szCs w:val="20"/>
                  <w:bdr w:val="none" w:sz="0" w:space="0" w:color="auto" w:frame="1"/>
                </w:rPr>
                <w:t>OAuth 2.0 Web Server Authentication Flow</w:t>
              </w:r>
            </w:hyperlink>
          </w:p>
          <w:p w:rsidR="00B00D04" w:rsidRPr="00B00D04" w:rsidRDefault="003F1232" w:rsidP="00731588">
            <w:pPr>
              <w:spacing w:after="0" w:line="240" w:lineRule="auto"/>
              <w:textAlignment w:val="baseline"/>
              <w:rPr>
                <w:rFonts w:ascii="Arial" w:eastAsia="Times New Roman" w:hAnsi="Arial" w:cs="Arial"/>
                <w:color w:val="333333"/>
                <w:sz w:val="20"/>
                <w:szCs w:val="20"/>
              </w:rPr>
            </w:pPr>
            <w:hyperlink r:id="rId11" w:anchor="section-4.1" w:tgtFrame="_blank" w:tooltip="HTML (New Window)" w:history="1">
              <w:r w:rsidR="00A115EF" w:rsidRPr="00B00D04">
                <w:rPr>
                  <w:rFonts w:ascii="Arial" w:eastAsia="Times New Roman" w:hAnsi="Arial" w:cs="Arial"/>
                  <w:color w:val="0070D2"/>
                  <w:sz w:val="20"/>
                  <w:szCs w:val="20"/>
                  <w:bdr w:val="none" w:sz="0" w:space="0" w:color="auto" w:frame="1"/>
                </w:rPr>
                <w:t>OAuth 2.0 authorization code grant type</w:t>
              </w:r>
            </w:hyperlink>
          </w:p>
        </w:tc>
      </w:tr>
      <w:tr w:rsidR="00A115EF" w:rsidRPr="00B00D04" w:rsidTr="00731588">
        <w:trPr>
          <w:tblCellSpacing w:w="15" w:type="dxa"/>
        </w:trPr>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lastRenderedPageBreak/>
              <w:t>User-Agent</w:t>
            </w:r>
          </w:p>
        </w:tc>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Users can authorize a desktop or mobile application to access data using an external or embedded browser (or user agent) for authentication. These apps often use a scripting language, such as JavaScript, running within the browser. This flow uses the OAuth 2.0 implicit grant type.</w:t>
            </w:r>
          </w:p>
        </w:tc>
        <w:tc>
          <w:tcPr>
            <w:tcW w:w="0" w:type="auto"/>
            <w:tcBorders>
              <w:top w:val="single" w:sz="6" w:space="0" w:color="DDDBDA"/>
              <w:left w:val="nil"/>
              <w:bottom w:val="nil"/>
              <w:right w:val="nil"/>
            </w:tcBorders>
            <w:shd w:val="clear" w:color="auto" w:fill="FFFFFF"/>
            <w:vAlign w:val="bottom"/>
            <w:hideMark/>
          </w:tcPr>
          <w:p w:rsidR="00A115EF" w:rsidRPr="00B00D04" w:rsidRDefault="003F1232" w:rsidP="00731588">
            <w:pPr>
              <w:spacing w:beforeAutospacing="1" w:after="0" w:afterAutospacing="1" w:line="240" w:lineRule="auto"/>
              <w:textAlignment w:val="baseline"/>
              <w:rPr>
                <w:rFonts w:ascii="Arial" w:eastAsia="Times New Roman" w:hAnsi="Arial" w:cs="Arial"/>
                <w:color w:val="333333"/>
                <w:sz w:val="20"/>
                <w:szCs w:val="20"/>
              </w:rPr>
            </w:pPr>
            <w:hyperlink r:id="rId12" w:tooltip="HTML (New Window)" w:history="1">
              <w:r w:rsidR="00A115EF" w:rsidRPr="00B00D04">
                <w:rPr>
                  <w:rFonts w:ascii="Arial" w:eastAsia="Times New Roman" w:hAnsi="Arial" w:cs="Arial"/>
                  <w:color w:val="0070D2"/>
                  <w:sz w:val="20"/>
                  <w:szCs w:val="20"/>
                  <w:bdr w:val="none" w:sz="0" w:space="0" w:color="auto" w:frame="1"/>
                </w:rPr>
                <w:t>OAuth 2.0 User-Agent Flow</w:t>
              </w:r>
            </w:hyperlink>
          </w:p>
          <w:p w:rsidR="00B00D04" w:rsidRPr="00B00D04" w:rsidRDefault="003F1232" w:rsidP="00731588">
            <w:pPr>
              <w:spacing w:after="0" w:line="240" w:lineRule="auto"/>
              <w:textAlignment w:val="baseline"/>
              <w:rPr>
                <w:rFonts w:ascii="Arial" w:eastAsia="Times New Roman" w:hAnsi="Arial" w:cs="Arial"/>
                <w:color w:val="333333"/>
                <w:sz w:val="20"/>
                <w:szCs w:val="20"/>
              </w:rPr>
            </w:pPr>
            <w:hyperlink r:id="rId13" w:anchor="section-4.2" w:tgtFrame="_blank" w:tooltip="HTML (New Window)" w:history="1">
              <w:r w:rsidR="00A115EF" w:rsidRPr="00B00D04">
                <w:rPr>
                  <w:rFonts w:ascii="Arial" w:eastAsia="Times New Roman" w:hAnsi="Arial" w:cs="Arial"/>
                  <w:color w:val="0070D2"/>
                  <w:sz w:val="20"/>
                  <w:szCs w:val="20"/>
                  <w:bdr w:val="none" w:sz="0" w:space="0" w:color="auto" w:frame="1"/>
                </w:rPr>
                <w:t>OAuth 2.0 implicit grant type</w:t>
              </w:r>
            </w:hyperlink>
          </w:p>
        </w:tc>
      </w:tr>
      <w:tr w:rsidR="00A115EF" w:rsidRPr="00B00D04" w:rsidTr="00731588">
        <w:trPr>
          <w:tblCellSpacing w:w="15" w:type="dxa"/>
        </w:trPr>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JWT Bearer Token Flow</w:t>
            </w:r>
          </w:p>
        </w:tc>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The main use case of the JWT Bearer Token Flow is server-to-server API integration. This flow uses a certificate to sign the JWT request and doesn’t require explicit user interaction.</w:t>
            </w:r>
          </w:p>
        </w:tc>
        <w:tc>
          <w:tcPr>
            <w:tcW w:w="0" w:type="auto"/>
            <w:tcBorders>
              <w:top w:val="single" w:sz="6" w:space="0" w:color="DDDBDA"/>
              <w:left w:val="nil"/>
              <w:bottom w:val="nil"/>
              <w:right w:val="nil"/>
            </w:tcBorders>
            <w:shd w:val="clear" w:color="auto" w:fill="FFFFFF"/>
            <w:vAlign w:val="bottom"/>
            <w:hideMark/>
          </w:tcPr>
          <w:p w:rsidR="00A115EF" w:rsidRPr="00B00D04" w:rsidRDefault="003F1232" w:rsidP="00731588">
            <w:pPr>
              <w:spacing w:after="0" w:line="240" w:lineRule="auto"/>
              <w:rPr>
                <w:rFonts w:ascii="Arial" w:eastAsia="Times New Roman" w:hAnsi="Arial" w:cs="Arial"/>
                <w:color w:val="333333"/>
                <w:sz w:val="20"/>
                <w:szCs w:val="20"/>
              </w:rPr>
            </w:pPr>
            <w:hyperlink r:id="rId14" w:tooltip="HTML (New Window)" w:history="1">
              <w:r w:rsidR="00A115EF" w:rsidRPr="00B00D04">
                <w:rPr>
                  <w:rFonts w:ascii="Arial" w:eastAsia="Times New Roman" w:hAnsi="Arial" w:cs="Arial"/>
                  <w:color w:val="0070D2"/>
                  <w:sz w:val="20"/>
                  <w:szCs w:val="20"/>
                  <w:bdr w:val="none" w:sz="0" w:space="0" w:color="auto" w:frame="1"/>
                </w:rPr>
                <w:t>OAuth 2.0 JWT Bearer Token Flow</w:t>
              </w:r>
            </w:hyperlink>
          </w:p>
        </w:tc>
      </w:tr>
      <w:tr w:rsidR="00A115EF" w:rsidRPr="00B00D04" w:rsidTr="00731588">
        <w:trPr>
          <w:tblCellSpacing w:w="15" w:type="dxa"/>
        </w:trPr>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Device Authentication Flow</w:t>
            </w:r>
          </w:p>
        </w:tc>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 xml:space="preserve">Command-line apps or applications that run on devices with limited input and display capabilities, such as TVs, appliances, and other </w:t>
            </w:r>
            <w:proofErr w:type="spellStart"/>
            <w:r w:rsidRPr="00B00D04">
              <w:rPr>
                <w:rFonts w:ascii="Arial" w:eastAsia="Times New Roman" w:hAnsi="Arial" w:cs="Arial"/>
                <w:color w:val="333333"/>
                <w:sz w:val="20"/>
                <w:szCs w:val="20"/>
              </w:rPr>
              <w:t>IoT</w:t>
            </w:r>
            <w:proofErr w:type="spellEnd"/>
            <w:r w:rsidRPr="00B00D04">
              <w:rPr>
                <w:rFonts w:ascii="Arial" w:eastAsia="Times New Roman" w:hAnsi="Arial" w:cs="Arial"/>
                <w:color w:val="333333"/>
                <w:sz w:val="20"/>
                <w:szCs w:val="20"/>
              </w:rPr>
              <w:t xml:space="preserve"> devices, can use this flow. Users can connect these applications to Salesforce by accessing a browser on a device with more advanced input capabilities, such as a desktop or a smartphone.</w:t>
            </w:r>
          </w:p>
        </w:tc>
        <w:tc>
          <w:tcPr>
            <w:tcW w:w="0" w:type="auto"/>
            <w:tcBorders>
              <w:top w:val="single" w:sz="6" w:space="0" w:color="DDDBDA"/>
              <w:left w:val="nil"/>
              <w:bottom w:val="nil"/>
              <w:right w:val="nil"/>
            </w:tcBorders>
            <w:shd w:val="clear" w:color="auto" w:fill="FFFFFF"/>
            <w:vAlign w:val="bottom"/>
            <w:hideMark/>
          </w:tcPr>
          <w:p w:rsidR="00A115EF" w:rsidRPr="00B00D04" w:rsidRDefault="003F1232" w:rsidP="00731588">
            <w:pPr>
              <w:spacing w:after="0" w:line="240" w:lineRule="auto"/>
              <w:rPr>
                <w:rFonts w:ascii="Arial" w:eastAsia="Times New Roman" w:hAnsi="Arial" w:cs="Arial"/>
                <w:color w:val="333333"/>
                <w:sz w:val="20"/>
                <w:szCs w:val="20"/>
              </w:rPr>
            </w:pPr>
            <w:hyperlink r:id="rId15" w:tooltip="HTML (New Window)" w:history="1">
              <w:r w:rsidR="00A115EF" w:rsidRPr="00B00D04">
                <w:rPr>
                  <w:rFonts w:ascii="Arial" w:eastAsia="Times New Roman" w:hAnsi="Arial" w:cs="Arial"/>
                  <w:color w:val="0070D2"/>
                  <w:sz w:val="20"/>
                  <w:szCs w:val="20"/>
                  <w:bdr w:val="none" w:sz="0" w:space="0" w:color="auto" w:frame="1"/>
                </w:rPr>
                <w:t>OAuth 2.0 Device Authentication Flow</w:t>
              </w:r>
            </w:hyperlink>
          </w:p>
        </w:tc>
      </w:tr>
      <w:tr w:rsidR="00A115EF" w:rsidRPr="00B00D04" w:rsidTr="00731588">
        <w:trPr>
          <w:tblCellSpacing w:w="15" w:type="dxa"/>
        </w:trPr>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Asset Token Flow</w:t>
            </w:r>
          </w:p>
        </w:tc>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Client applications use this flow to request an asset token from Salesforce for connected devices. An OAuth access token and an actor token are exchanged for an asset token. This flow combines issuing and registering asset tokens for efficient token exchange and automatic linking of devices to service cloud asset data.</w:t>
            </w:r>
          </w:p>
        </w:tc>
        <w:tc>
          <w:tcPr>
            <w:tcW w:w="0" w:type="auto"/>
            <w:tcBorders>
              <w:top w:val="single" w:sz="6" w:space="0" w:color="DDDBDA"/>
              <w:left w:val="nil"/>
              <w:bottom w:val="nil"/>
              <w:right w:val="nil"/>
            </w:tcBorders>
            <w:shd w:val="clear" w:color="auto" w:fill="FFFFFF"/>
            <w:vAlign w:val="bottom"/>
            <w:hideMark/>
          </w:tcPr>
          <w:p w:rsidR="00A115EF" w:rsidRPr="00B00D04" w:rsidRDefault="003F1232" w:rsidP="00731588">
            <w:pPr>
              <w:spacing w:after="0" w:line="240" w:lineRule="auto"/>
              <w:rPr>
                <w:rFonts w:ascii="Arial" w:eastAsia="Times New Roman" w:hAnsi="Arial" w:cs="Arial"/>
                <w:color w:val="333333"/>
                <w:sz w:val="20"/>
                <w:szCs w:val="20"/>
              </w:rPr>
            </w:pPr>
            <w:hyperlink r:id="rId16" w:tooltip="HTML (New Window)" w:history="1">
              <w:r w:rsidR="00A115EF" w:rsidRPr="00B00D04">
                <w:rPr>
                  <w:rFonts w:ascii="Arial" w:eastAsia="Times New Roman" w:hAnsi="Arial" w:cs="Arial"/>
                  <w:color w:val="0070D2"/>
                  <w:sz w:val="20"/>
                  <w:szCs w:val="20"/>
                  <w:bdr w:val="none" w:sz="0" w:space="0" w:color="auto" w:frame="1"/>
                </w:rPr>
                <w:t>OAuth 2.0 Asset Token Flow</w:t>
              </w:r>
            </w:hyperlink>
          </w:p>
        </w:tc>
      </w:tr>
      <w:tr w:rsidR="00A115EF" w:rsidRPr="00B00D04" w:rsidTr="00731588">
        <w:trPr>
          <w:tblCellSpacing w:w="15" w:type="dxa"/>
        </w:trPr>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SAML Bearer Assertion Flow</w:t>
            </w:r>
          </w:p>
        </w:tc>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 xml:space="preserve">An app can reuse an </w:t>
            </w:r>
            <w:r w:rsidRPr="00B00D04">
              <w:rPr>
                <w:rFonts w:ascii="Arial" w:eastAsia="Times New Roman" w:hAnsi="Arial" w:cs="Arial"/>
                <w:b/>
                <w:color w:val="333333"/>
                <w:sz w:val="20"/>
                <w:szCs w:val="20"/>
              </w:rPr>
              <w:t>existing authorization by supplying a signed SAML 2.0 assertion</w:t>
            </w:r>
            <w:r w:rsidRPr="00B00D04">
              <w:rPr>
                <w:rFonts w:ascii="Arial" w:eastAsia="Times New Roman" w:hAnsi="Arial" w:cs="Arial"/>
                <w:color w:val="333333"/>
                <w:sz w:val="20"/>
                <w:szCs w:val="20"/>
              </w:rPr>
              <w:t>, as specified in the </w:t>
            </w:r>
            <w:hyperlink r:id="rId17" w:tgtFrame="_blank" w:tooltip="HTML (New Window)" w:history="1">
              <w:r w:rsidRPr="00B00D04">
                <w:rPr>
                  <w:rFonts w:ascii="Arial" w:eastAsia="Times New Roman" w:hAnsi="Arial" w:cs="Arial"/>
                  <w:color w:val="0070D2"/>
                  <w:sz w:val="20"/>
                  <w:szCs w:val="20"/>
                  <w:bdr w:val="none" w:sz="0" w:space="0" w:color="auto" w:frame="1"/>
                </w:rPr>
                <w:t>SAML 2.0 Profile for OAuth 2.0 Client Authentication and Authorization Grants</w:t>
              </w:r>
            </w:hyperlink>
            <w:r w:rsidRPr="00B00D04">
              <w:rPr>
                <w:rFonts w:ascii="Arial" w:eastAsia="Times New Roman" w:hAnsi="Arial" w:cs="Arial"/>
                <w:color w:val="333333"/>
                <w:sz w:val="20"/>
                <w:szCs w:val="20"/>
              </w:rPr>
              <w:t>. A digital signature applied to the SAML assertion authenticates the authorized app.</w:t>
            </w:r>
          </w:p>
        </w:tc>
        <w:tc>
          <w:tcPr>
            <w:tcW w:w="0" w:type="auto"/>
            <w:tcBorders>
              <w:top w:val="single" w:sz="6" w:space="0" w:color="DDDBDA"/>
              <w:left w:val="nil"/>
              <w:bottom w:val="nil"/>
              <w:right w:val="nil"/>
            </w:tcBorders>
            <w:shd w:val="clear" w:color="auto" w:fill="FFFFFF"/>
            <w:vAlign w:val="bottom"/>
            <w:hideMark/>
          </w:tcPr>
          <w:p w:rsidR="00A115EF" w:rsidRPr="00B00D04" w:rsidRDefault="003F1232" w:rsidP="00731588">
            <w:pPr>
              <w:spacing w:after="0" w:line="240" w:lineRule="auto"/>
              <w:rPr>
                <w:rFonts w:ascii="Arial" w:eastAsia="Times New Roman" w:hAnsi="Arial" w:cs="Arial"/>
                <w:color w:val="333333"/>
                <w:sz w:val="20"/>
                <w:szCs w:val="20"/>
              </w:rPr>
            </w:pPr>
            <w:hyperlink r:id="rId18" w:tooltip="HTML (New Window)" w:history="1">
              <w:r w:rsidR="00A115EF" w:rsidRPr="00B00D04">
                <w:rPr>
                  <w:rFonts w:ascii="Arial" w:eastAsia="Times New Roman" w:hAnsi="Arial" w:cs="Arial"/>
                  <w:color w:val="0070D2"/>
                  <w:sz w:val="20"/>
                  <w:szCs w:val="20"/>
                  <w:bdr w:val="none" w:sz="0" w:space="0" w:color="auto" w:frame="1"/>
                </w:rPr>
                <w:t>OAuth 2.0 SAML Bearer Assertion Flow</w:t>
              </w:r>
            </w:hyperlink>
          </w:p>
        </w:tc>
      </w:tr>
      <w:tr w:rsidR="00A115EF" w:rsidRPr="00B00D04" w:rsidTr="00731588">
        <w:trPr>
          <w:tblCellSpacing w:w="15" w:type="dxa"/>
        </w:trPr>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SAML Assertion Flow</w:t>
            </w:r>
          </w:p>
        </w:tc>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 xml:space="preserve">This flow is an alternative for orgs that are using SAML to access Salesforce and want to access </w:t>
            </w:r>
            <w:r w:rsidRPr="00B00D04">
              <w:rPr>
                <w:rFonts w:ascii="Arial" w:eastAsia="Times New Roman" w:hAnsi="Arial" w:cs="Arial"/>
                <w:b/>
                <w:color w:val="333333"/>
                <w:sz w:val="20"/>
                <w:szCs w:val="20"/>
              </w:rPr>
              <w:t>the web services API</w:t>
            </w:r>
            <w:r w:rsidRPr="00B00D04">
              <w:rPr>
                <w:rFonts w:ascii="Arial" w:eastAsia="Times New Roman" w:hAnsi="Arial" w:cs="Arial"/>
                <w:color w:val="333333"/>
                <w:sz w:val="20"/>
                <w:szCs w:val="20"/>
              </w:rPr>
              <w:t xml:space="preserve"> in the same way.</w:t>
            </w:r>
          </w:p>
        </w:tc>
        <w:tc>
          <w:tcPr>
            <w:tcW w:w="0" w:type="auto"/>
            <w:tcBorders>
              <w:top w:val="single" w:sz="6" w:space="0" w:color="DDDBDA"/>
              <w:left w:val="nil"/>
              <w:bottom w:val="nil"/>
              <w:right w:val="nil"/>
            </w:tcBorders>
            <w:shd w:val="clear" w:color="auto" w:fill="FFFFFF"/>
            <w:vAlign w:val="bottom"/>
            <w:hideMark/>
          </w:tcPr>
          <w:p w:rsidR="00A115EF" w:rsidRPr="00B00D04" w:rsidRDefault="003F1232" w:rsidP="00731588">
            <w:pPr>
              <w:spacing w:after="0" w:line="240" w:lineRule="auto"/>
              <w:rPr>
                <w:rFonts w:ascii="Arial" w:eastAsia="Times New Roman" w:hAnsi="Arial" w:cs="Arial"/>
                <w:color w:val="333333"/>
                <w:sz w:val="20"/>
                <w:szCs w:val="20"/>
              </w:rPr>
            </w:pPr>
            <w:hyperlink r:id="rId19" w:tooltip="HTML (New Window)" w:history="1">
              <w:r w:rsidR="00A115EF" w:rsidRPr="00B00D04">
                <w:rPr>
                  <w:rFonts w:ascii="Arial" w:eastAsia="Times New Roman" w:hAnsi="Arial" w:cs="Arial"/>
                  <w:color w:val="0070D2"/>
                  <w:sz w:val="20"/>
                  <w:szCs w:val="20"/>
                  <w:bdr w:val="none" w:sz="0" w:space="0" w:color="auto" w:frame="1"/>
                </w:rPr>
                <w:t>SAML Assertion Flow</w:t>
              </w:r>
            </w:hyperlink>
          </w:p>
        </w:tc>
      </w:tr>
      <w:tr w:rsidR="00A115EF" w:rsidRPr="00B00D04" w:rsidTr="00731588">
        <w:trPr>
          <w:tblCellSpacing w:w="15" w:type="dxa"/>
        </w:trPr>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Username and Password</w:t>
            </w:r>
          </w:p>
        </w:tc>
        <w:tc>
          <w:tcPr>
            <w:tcW w:w="0" w:type="auto"/>
            <w:tcBorders>
              <w:top w:val="single" w:sz="6" w:space="0" w:color="DDDBDA"/>
              <w:left w:val="nil"/>
              <w:bottom w:val="nil"/>
              <w:right w:val="nil"/>
            </w:tcBorders>
            <w:shd w:val="clear" w:color="auto" w:fill="FFFFFF"/>
            <w:vAlign w:val="bottom"/>
            <w:hideMark/>
          </w:tcPr>
          <w:p w:rsidR="00A115EF" w:rsidRPr="00B00D04" w:rsidRDefault="00A115EF" w:rsidP="00731588">
            <w:pPr>
              <w:spacing w:after="0" w:line="240" w:lineRule="auto"/>
              <w:rPr>
                <w:rFonts w:ascii="Arial" w:eastAsia="Times New Roman" w:hAnsi="Arial" w:cs="Arial"/>
                <w:color w:val="333333"/>
                <w:sz w:val="20"/>
                <w:szCs w:val="20"/>
              </w:rPr>
            </w:pPr>
            <w:r w:rsidRPr="00B00D04">
              <w:rPr>
                <w:rFonts w:ascii="Arial" w:eastAsia="Times New Roman" w:hAnsi="Arial" w:cs="Arial"/>
                <w:color w:val="333333"/>
                <w:sz w:val="20"/>
                <w:szCs w:val="20"/>
              </w:rPr>
              <w:t>Because the username and password flow passes credentials back and forth, avoid using this flow. Use it only for testing, when a user is not present at app startup, or with highly privileged apps. In these cases, set user permissions to minimize access and protect stored credentials from unauthorized access.</w:t>
            </w:r>
          </w:p>
        </w:tc>
        <w:tc>
          <w:tcPr>
            <w:tcW w:w="0" w:type="auto"/>
            <w:tcBorders>
              <w:top w:val="single" w:sz="6" w:space="0" w:color="DDDBDA"/>
              <w:left w:val="nil"/>
              <w:bottom w:val="nil"/>
              <w:right w:val="nil"/>
            </w:tcBorders>
            <w:shd w:val="clear" w:color="auto" w:fill="FFFFFF"/>
            <w:vAlign w:val="bottom"/>
            <w:hideMark/>
          </w:tcPr>
          <w:p w:rsidR="00A115EF" w:rsidRPr="00B00D04" w:rsidRDefault="003F1232" w:rsidP="00731588">
            <w:pPr>
              <w:spacing w:after="0" w:line="240" w:lineRule="auto"/>
              <w:rPr>
                <w:rFonts w:ascii="Arial" w:eastAsia="Times New Roman" w:hAnsi="Arial" w:cs="Arial"/>
                <w:color w:val="333333"/>
                <w:sz w:val="20"/>
                <w:szCs w:val="20"/>
              </w:rPr>
            </w:pPr>
            <w:hyperlink r:id="rId20" w:tooltip="HTML (New Window)" w:history="1">
              <w:r w:rsidR="00A115EF" w:rsidRPr="00B00D04">
                <w:rPr>
                  <w:rFonts w:ascii="Arial" w:eastAsia="Times New Roman" w:hAnsi="Arial" w:cs="Arial"/>
                  <w:color w:val="0070D2"/>
                  <w:sz w:val="20"/>
                  <w:szCs w:val="20"/>
                  <w:bdr w:val="none" w:sz="0" w:space="0" w:color="auto" w:frame="1"/>
                </w:rPr>
                <w:t>OAuth 2.0 Username-Password Flow</w:t>
              </w:r>
            </w:hyperlink>
          </w:p>
        </w:tc>
      </w:tr>
    </w:tbl>
    <w:p w:rsidR="00A115EF" w:rsidRDefault="00A115EF" w:rsidP="00A115EF"/>
    <w:p w:rsidR="00A115EF" w:rsidRDefault="00A115EF"/>
    <w:p w:rsidR="00C77E42" w:rsidRDefault="00C77E42">
      <w:r>
        <w:br w:type="page"/>
      </w:r>
    </w:p>
    <w:p w:rsidR="00686F8E" w:rsidRDefault="003F1232">
      <w:r>
        <w:lastRenderedPageBreak/>
        <w:t>Some of the questions – on Sept 27</w:t>
      </w:r>
      <w:r w:rsidRPr="003F1232">
        <w:rPr>
          <w:vertAlign w:val="superscript"/>
        </w:rPr>
        <w:t>th</w:t>
      </w:r>
      <w:r>
        <w:t xml:space="preserve"> during Dreamforce 2018 week.</w:t>
      </w:r>
    </w:p>
    <w:p w:rsidR="003F1232" w:rsidRPr="003F1232" w:rsidRDefault="003F1232" w:rsidP="003F1232">
      <w:pPr>
        <w:pStyle w:val="ListParagraph"/>
        <w:numPr>
          <w:ilvl w:val="0"/>
          <w:numId w:val="3"/>
        </w:numPr>
        <w:spacing w:line="360" w:lineRule="auto"/>
        <w:rPr>
          <w:rFonts w:ascii="HelveticaNeue" w:eastAsia="Times New Roman" w:hAnsi="HelveticaNeue"/>
          <w:color w:val="333333"/>
        </w:rPr>
      </w:pPr>
      <w:r w:rsidRPr="003F1232">
        <w:rPr>
          <w:rFonts w:ascii="HelveticaNeue" w:eastAsia="Times New Roman" w:hAnsi="HelveticaNeue"/>
          <w:color w:val="333333"/>
        </w:rPr>
        <w:t>Post ideas from internal portal to salesforce ideas via API. What settings are required?</w:t>
      </w:r>
    </w:p>
    <w:p w:rsidR="003F1232" w:rsidRPr="003F1232" w:rsidRDefault="003F1232" w:rsidP="003F1232">
      <w:pPr>
        <w:pStyle w:val="ListParagraph"/>
        <w:numPr>
          <w:ilvl w:val="0"/>
          <w:numId w:val="3"/>
        </w:numPr>
        <w:spacing w:line="360" w:lineRule="auto"/>
        <w:rPr>
          <w:rFonts w:ascii="HelveticaNeue" w:eastAsia="Times New Roman" w:hAnsi="HelveticaNeue"/>
          <w:color w:val="333333"/>
        </w:rPr>
      </w:pPr>
      <w:r w:rsidRPr="003F1232">
        <w:rPr>
          <w:rFonts w:ascii="HelveticaNeue" w:eastAsia="Times New Roman" w:hAnsi="HelveticaNeue"/>
          <w:color w:val="333333"/>
        </w:rPr>
        <w:t>When users click on the links on internal site, How to authenticate users and redirect them to salesforce ideas site?</w:t>
      </w:r>
    </w:p>
    <w:p w:rsidR="003F1232" w:rsidRPr="003F1232" w:rsidRDefault="003F1232" w:rsidP="003F1232">
      <w:pPr>
        <w:pStyle w:val="ListParagraph"/>
        <w:numPr>
          <w:ilvl w:val="0"/>
          <w:numId w:val="3"/>
        </w:numPr>
        <w:spacing w:line="360" w:lineRule="auto"/>
        <w:rPr>
          <w:rFonts w:ascii="HelveticaNeue" w:eastAsia="Times New Roman" w:hAnsi="HelveticaNeue"/>
          <w:color w:val="333333"/>
        </w:rPr>
      </w:pPr>
      <w:r w:rsidRPr="003F1232">
        <w:rPr>
          <w:rFonts w:ascii="HelveticaNeue" w:eastAsia="Times New Roman" w:hAnsi="HelveticaNeue"/>
          <w:color w:val="333333"/>
        </w:rPr>
        <w:t>Integration between salesforce and google apps.</w:t>
      </w:r>
    </w:p>
    <w:p w:rsidR="003F1232" w:rsidRPr="003F1232" w:rsidRDefault="003F1232" w:rsidP="003F1232">
      <w:pPr>
        <w:pStyle w:val="ListParagraph"/>
        <w:numPr>
          <w:ilvl w:val="0"/>
          <w:numId w:val="3"/>
        </w:numPr>
        <w:spacing w:line="360" w:lineRule="auto"/>
        <w:rPr>
          <w:rFonts w:ascii="HelveticaNeue" w:eastAsia="Times New Roman" w:hAnsi="HelveticaNeue"/>
          <w:color w:val="333333"/>
        </w:rPr>
      </w:pPr>
      <w:r w:rsidRPr="003F1232">
        <w:rPr>
          <w:rFonts w:ascii="HelveticaNeue" w:eastAsia="Times New Roman" w:hAnsi="HelveticaNeue"/>
          <w:color w:val="333333"/>
        </w:rPr>
        <w:t>How to reflect user changes in salesforce to google apps.</w:t>
      </w:r>
    </w:p>
    <w:p w:rsidR="003F1232" w:rsidRPr="003F1232" w:rsidRDefault="003F1232" w:rsidP="003F1232">
      <w:pPr>
        <w:pStyle w:val="ListParagraph"/>
        <w:numPr>
          <w:ilvl w:val="0"/>
          <w:numId w:val="3"/>
        </w:numPr>
        <w:spacing w:line="360" w:lineRule="auto"/>
        <w:rPr>
          <w:rFonts w:ascii="HelveticaNeue" w:eastAsia="Times New Roman" w:hAnsi="HelveticaNeue"/>
          <w:color w:val="333333"/>
        </w:rPr>
      </w:pPr>
      <w:r w:rsidRPr="003F1232">
        <w:rPr>
          <w:rFonts w:ascii="HelveticaNeue" w:eastAsia="Times New Roman" w:hAnsi="HelveticaNeue"/>
          <w:color w:val="333333"/>
        </w:rPr>
        <w:t>Rest API</w:t>
      </w:r>
    </w:p>
    <w:p w:rsidR="003F1232" w:rsidRPr="003F1232" w:rsidRDefault="003F1232" w:rsidP="003F1232">
      <w:pPr>
        <w:pStyle w:val="ListParagraph"/>
        <w:numPr>
          <w:ilvl w:val="0"/>
          <w:numId w:val="3"/>
        </w:numPr>
        <w:spacing w:line="360" w:lineRule="auto"/>
        <w:rPr>
          <w:rFonts w:ascii="HelveticaNeue" w:eastAsia="Times New Roman" w:hAnsi="HelveticaNeue"/>
          <w:color w:val="333333"/>
        </w:rPr>
      </w:pPr>
      <w:r w:rsidRPr="003F1232">
        <w:rPr>
          <w:rFonts w:ascii="HelveticaNeue" w:eastAsia="Times New Roman" w:hAnsi="HelveticaNeue"/>
          <w:color w:val="333333"/>
        </w:rPr>
        <w:t>Salesforce as an identity provider.</w:t>
      </w:r>
    </w:p>
    <w:p w:rsidR="003F1232" w:rsidRPr="003F1232" w:rsidRDefault="003F1232" w:rsidP="003F1232">
      <w:pPr>
        <w:pStyle w:val="ListParagraph"/>
        <w:numPr>
          <w:ilvl w:val="0"/>
          <w:numId w:val="3"/>
        </w:numPr>
        <w:spacing w:line="360" w:lineRule="auto"/>
        <w:rPr>
          <w:rFonts w:ascii="HelveticaNeue" w:eastAsia="Times New Roman" w:hAnsi="HelveticaNeue"/>
          <w:color w:val="333333"/>
        </w:rPr>
      </w:pPr>
      <w:bookmarkStart w:id="0" w:name="_GoBack"/>
      <w:bookmarkEnd w:id="0"/>
      <w:r w:rsidRPr="003F1232">
        <w:rPr>
          <w:rFonts w:ascii="HelveticaNeue" w:eastAsia="Times New Roman" w:hAnsi="HelveticaNeue"/>
          <w:color w:val="333333"/>
        </w:rPr>
        <w:t>How to use central dB as identity provider for multiple orgs.</w:t>
      </w:r>
    </w:p>
    <w:p w:rsidR="003F1232" w:rsidRDefault="003F1232"/>
    <w:p w:rsidR="00505B38" w:rsidRDefault="00505B38"/>
    <w:p w:rsidR="00505B38" w:rsidRDefault="00505B38"/>
    <w:sectPr w:rsidR="00505B38" w:rsidSect="00A115EF">
      <w:pgSz w:w="12240" w:h="15840"/>
      <w:pgMar w:top="1440" w:right="54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Light">
    <w:altName w:val="Times New Roman"/>
    <w:panose1 w:val="00000000000000000000"/>
    <w:charset w:val="00"/>
    <w:family w:val="roman"/>
    <w:notTrueType/>
    <w:pitch w:val="default"/>
  </w:font>
  <w:font w:name="DSCDefaultFont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HelveticaNeu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5B44"/>
    <w:multiLevelType w:val="hybridMultilevel"/>
    <w:tmpl w:val="20B4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D718B0"/>
    <w:multiLevelType w:val="multilevel"/>
    <w:tmpl w:val="9012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9872E6"/>
    <w:multiLevelType w:val="multilevel"/>
    <w:tmpl w:val="41D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B38"/>
    <w:rsid w:val="00087253"/>
    <w:rsid w:val="002D2D70"/>
    <w:rsid w:val="003F1232"/>
    <w:rsid w:val="00505B38"/>
    <w:rsid w:val="0063563B"/>
    <w:rsid w:val="00686F8E"/>
    <w:rsid w:val="006C1739"/>
    <w:rsid w:val="00816738"/>
    <w:rsid w:val="00A115EF"/>
    <w:rsid w:val="00B031DF"/>
    <w:rsid w:val="00C579FE"/>
    <w:rsid w:val="00C77E42"/>
    <w:rsid w:val="00E143D6"/>
    <w:rsid w:val="00E219B9"/>
    <w:rsid w:val="00EF3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6F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F8E"/>
    <w:rPr>
      <w:color w:val="0000FF" w:themeColor="hyperlink"/>
      <w:u w:val="single"/>
    </w:rPr>
  </w:style>
  <w:style w:type="character" w:customStyle="1" w:styleId="Heading1Char">
    <w:name w:val="Heading 1 Char"/>
    <w:basedOn w:val="DefaultParagraphFont"/>
    <w:link w:val="Heading1"/>
    <w:uiPriority w:val="9"/>
    <w:rsid w:val="00686F8E"/>
    <w:rPr>
      <w:rFonts w:ascii="Times New Roman" w:eastAsia="Times New Roman" w:hAnsi="Times New Roman" w:cs="Times New Roman"/>
      <w:b/>
      <w:bCs/>
      <w:kern w:val="36"/>
      <w:sz w:val="48"/>
      <w:szCs w:val="48"/>
    </w:rPr>
  </w:style>
  <w:style w:type="character" w:customStyle="1" w:styleId="ph">
    <w:name w:val="ph"/>
    <w:basedOn w:val="DefaultParagraphFont"/>
    <w:rsid w:val="00686F8E"/>
  </w:style>
  <w:style w:type="paragraph" w:customStyle="1" w:styleId="p">
    <w:name w:val="p"/>
    <w:basedOn w:val="Normal"/>
    <w:rsid w:val="006C17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12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6F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F8E"/>
    <w:rPr>
      <w:color w:val="0000FF" w:themeColor="hyperlink"/>
      <w:u w:val="single"/>
    </w:rPr>
  </w:style>
  <w:style w:type="character" w:customStyle="1" w:styleId="Heading1Char">
    <w:name w:val="Heading 1 Char"/>
    <w:basedOn w:val="DefaultParagraphFont"/>
    <w:link w:val="Heading1"/>
    <w:uiPriority w:val="9"/>
    <w:rsid w:val="00686F8E"/>
    <w:rPr>
      <w:rFonts w:ascii="Times New Roman" w:eastAsia="Times New Roman" w:hAnsi="Times New Roman" w:cs="Times New Roman"/>
      <w:b/>
      <w:bCs/>
      <w:kern w:val="36"/>
      <w:sz w:val="48"/>
      <w:szCs w:val="48"/>
    </w:rPr>
  </w:style>
  <w:style w:type="character" w:customStyle="1" w:styleId="ph">
    <w:name w:val="ph"/>
    <w:basedOn w:val="DefaultParagraphFont"/>
    <w:rsid w:val="00686F8E"/>
  </w:style>
  <w:style w:type="paragraph" w:customStyle="1" w:styleId="p">
    <w:name w:val="p"/>
    <w:basedOn w:val="Normal"/>
    <w:rsid w:val="006C17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1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3469">
      <w:bodyDiv w:val="1"/>
      <w:marLeft w:val="0"/>
      <w:marRight w:val="0"/>
      <w:marTop w:val="0"/>
      <w:marBottom w:val="0"/>
      <w:divBdr>
        <w:top w:val="none" w:sz="0" w:space="0" w:color="auto"/>
        <w:left w:val="none" w:sz="0" w:space="0" w:color="auto"/>
        <w:bottom w:val="none" w:sz="0" w:space="0" w:color="auto"/>
        <w:right w:val="none" w:sz="0" w:space="0" w:color="auto"/>
      </w:divBdr>
    </w:div>
    <w:div w:id="849028932">
      <w:bodyDiv w:val="1"/>
      <w:marLeft w:val="0"/>
      <w:marRight w:val="0"/>
      <w:marTop w:val="0"/>
      <w:marBottom w:val="0"/>
      <w:divBdr>
        <w:top w:val="none" w:sz="0" w:space="0" w:color="auto"/>
        <w:left w:val="none" w:sz="0" w:space="0" w:color="auto"/>
        <w:bottom w:val="none" w:sz="0" w:space="0" w:color="auto"/>
        <w:right w:val="none" w:sz="0" w:space="0" w:color="auto"/>
      </w:divBdr>
    </w:div>
    <w:div w:id="1812477166">
      <w:bodyDiv w:val="1"/>
      <w:marLeft w:val="0"/>
      <w:marRight w:val="0"/>
      <w:marTop w:val="0"/>
      <w:marBottom w:val="0"/>
      <w:divBdr>
        <w:top w:val="none" w:sz="0" w:space="0" w:color="auto"/>
        <w:left w:val="none" w:sz="0" w:space="0" w:color="auto"/>
        <w:bottom w:val="none" w:sz="0" w:space="0" w:color="auto"/>
        <w:right w:val="none" w:sz="0" w:space="0" w:color="auto"/>
      </w:divBdr>
    </w:div>
    <w:div w:id="1980111971">
      <w:bodyDiv w:val="1"/>
      <w:marLeft w:val="0"/>
      <w:marRight w:val="0"/>
      <w:marTop w:val="0"/>
      <w:marBottom w:val="0"/>
      <w:divBdr>
        <w:top w:val="none" w:sz="0" w:space="0" w:color="auto"/>
        <w:left w:val="none" w:sz="0" w:space="0" w:color="auto"/>
        <w:bottom w:val="none" w:sz="0" w:space="0" w:color="auto"/>
        <w:right w:val="none" w:sz="0" w:space="0" w:color="auto"/>
      </w:divBdr>
      <w:divsChild>
        <w:div w:id="1919048593">
          <w:marLeft w:val="0"/>
          <w:marRight w:val="0"/>
          <w:marTop w:val="0"/>
          <w:marBottom w:val="0"/>
          <w:divBdr>
            <w:top w:val="none" w:sz="0" w:space="0" w:color="auto"/>
            <w:left w:val="none" w:sz="0" w:space="0" w:color="auto"/>
            <w:bottom w:val="none" w:sz="0" w:space="0" w:color="auto"/>
            <w:right w:val="none" w:sz="0" w:space="0" w:color="auto"/>
          </w:divBdr>
          <w:divsChild>
            <w:div w:id="1984965638">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api_rest.meta/api_rest/intro_understanding_user_agent_oauth_flow.htm" TargetMode="External"/><Relationship Id="rId13" Type="http://schemas.openxmlformats.org/officeDocument/2006/relationships/hyperlink" Target="http://tools.ietf.org/html/rfc6749" TargetMode="External"/><Relationship Id="rId18" Type="http://schemas.openxmlformats.org/officeDocument/2006/relationships/hyperlink" Target="https://help.salesforce.com/articleView?id=remoteaccess_oauth_SAML_bearer_flow.htm&amp;type=5&amp;language=en_U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developer.salesforce.com/docs/atlas.en-us.api_rest.meta/api_rest/intro_understanding_web_server_oauth_flow.htm" TargetMode="External"/><Relationship Id="rId12" Type="http://schemas.openxmlformats.org/officeDocument/2006/relationships/hyperlink" Target="https://help.salesforce.com/articleView?id=remoteaccess_oauth_user_agent_flow.htm&amp;type=5&amp;language=en_US" TargetMode="External"/><Relationship Id="rId17" Type="http://schemas.openxmlformats.org/officeDocument/2006/relationships/hyperlink" Target="http://tools.ietf.org/html/draft-ietf-oauth-saml2-bearer" TargetMode="External"/><Relationship Id="rId2" Type="http://schemas.openxmlformats.org/officeDocument/2006/relationships/styles" Target="styles.xml"/><Relationship Id="rId16" Type="http://schemas.openxmlformats.org/officeDocument/2006/relationships/hyperlink" Target="https://help.salesforce.com/articleView?id=remoteaccess_oauth_asset_token_flow.htm&amp;type=5&amp;language=en_US" TargetMode="External"/><Relationship Id="rId20" Type="http://schemas.openxmlformats.org/officeDocument/2006/relationships/hyperlink" Target="https://help.salesforce.com/articleView?id=remoteaccess_oauth_username_password_flow.htm&amp;type=5&amp;language=en_US" TargetMode="External"/><Relationship Id="rId1" Type="http://schemas.openxmlformats.org/officeDocument/2006/relationships/numbering" Target="numbering.xml"/><Relationship Id="rId6" Type="http://schemas.openxmlformats.org/officeDocument/2006/relationships/hyperlink" Target="https://developer.salesforce.com/docs/atlas.en-us.api_rest.meta/api_rest/intro_understanding_authentication.htm" TargetMode="External"/><Relationship Id="rId11" Type="http://schemas.openxmlformats.org/officeDocument/2006/relationships/hyperlink" Target="http://tools.ietf.org/html/rfc6749" TargetMode="External"/><Relationship Id="rId5" Type="http://schemas.openxmlformats.org/officeDocument/2006/relationships/webSettings" Target="webSettings.xml"/><Relationship Id="rId15" Type="http://schemas.openxmlformats.org/officeDocument/2006/relationships/hyperlink" Target="https://help.salesforce.com/articleView?id=remoteaccess_oauth_device_flow.htm&amp;type=5&amp;language=en_US" TargetMode="External"/><Relationship Id="rId10" Type="http://schemas.openxmlformats.org/officeDocument/2006/relationships/hyperlink" Target="https://help.salesforce.com/articleView?id=remoteaccess_oauth_web_server_flow.htm&amp;type=5&amp;language=en_US" TargetMode="External"/><Relationship Id="rId19" Type="http://schemas.openxmlformats.org/officeDocument/2006/relationships/hyperlink" Target="https://help.salesforce.com/articleView?id=remoteaccess_oauth_web_sso_flow.htm&amp;type=5&amp;language=en_US" TargetMode="External"/><Relationship Id="rId4" Type="http://schemas.openxmlformats.org/officeDocument/2006/relationships/settings" Target="settings.xml"/><Relationship Id="rId9" Type="http://schemas.openxmlformats.org/officeDocument/2006/relationships/hyperlink" Target="https://developer.salesforce.com/docs/atlas.en-us.api_rest.meta/api_rest/intro_understanding_username_password_oauth_flow.htm" TargetMode="External"/><Relationship Id="rId14" Type="http://schemas.openxmlformats.org/officeDocument/2006/relationships/hyperlink" Target="https://help.salesforce.com/articleView?id=remoteaccess_oauth_jwt_flow.htm&amp;type=5&amp;language=en_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3</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Texas Capital Bank</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Vaidya, Sanket</dc:creator>
  <cp:lastModifiedBy>Vaidya, Sanket</cp:lastModifiedBy>
  <cp:revision>12</cp:revision>
  <dcterms:created xsi:type="dcterms:W3CDTF">2018-09-17T16:01:00Z</dcterms:created>
  <dcterms:modified xsi:type="dcterms:W3CDTF">2018-10-01T16:20:00Z</dcterms:modified>
</cp:coreProperties>
</file>