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 Light" w:hAnsi="Calibri Light"/>
          <w:color w:val="1F4E79"/>
          <w:sz w:val="36"/>
        </w:rPr>
        <w:t>Project Documentation: Veritas Claims Ingestion &amp; Standardisation Engine</w:t>
      </w:r>
    </w:p>
    <w:p>
      <w:pPr>
        <w:spacing w:after="120" w:line="276" w:lineRule="auto"/>
      </w:pPr>
      <w:r>
        <w:t xml:space="preserve">Welcome to the official developer and architecture documentation for the </w:t>
      </w:r>
      <w:r>
        <w:rPr>
          <w:b/>
        </w:rPr>
        <w:t>Veritas Claims (Medical-Data-Standardizer)</w:t>
      </w:r>
      <w:r>
        <w:t>. This document serves as a comprehensive guide for developers, clinical auditors, and interviewers to understand the system design, data flow, engineering decisions, and operational capabilities of this platform.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120"/>
      </w:pPr>
      <w:r>
        <w:rPr>
          <w:rFonts w:ascii="Calibri Light" w:hAnsi="Calibri Light"/>
          <w:color w:val="2E75B6"/>
          <w:sz w:val="28"/>
        </w:rPr>
        <w:t>1. Executive Summary</w:t>
      </w:r>
    </w:p>
    <w:p>
      <w:pPr>
        <w:spacing w:after="120" w:line="276" w:lineRule="auto"/>
      </w:pPr>
      <w:r>
        <w:t>In healthcare and insurance tech, clinical data arrives from thousands of clinics and labs in highly unstructured, inconsistent, and messy formats (different units, spelling variations, layout structures, and typos).</w:t>
      </w:r>
    </w:p>
    <w:p>
      <w:pPr>
        <w:spacing w:after="120" w:line="276" w:lineRule="auto"/>
      </w:pPr>
      <w:r>
        <w:t xml:space="preserve">The </w:t>
      </w:r>
      <w:r>
        <w:rPr>
          <w:b/>
        </w:rPr>
        <w:t>Veritas Claims Ingestion &amp; Standardisation Engine</w:t>
      </w:r>
      <w:r>
        <w:t xml:space="preserve"> is an enterprise-grade, configuration-driven ETL pipeline and web dashboard designed to:</w:t>
      </w:r>
    </w:p>
    <w:p>
      <w:pPr>
        <w:pStyle w:val="ListNumber"/>
        <w:spacing w:after="60"/>
      </w:pPr>
      <w:r/>
      <w:r>
        <w:rPr>
          <w:b/>
        </w:rPr>
        <w:t>Ingest</w:t>
      </w:r>
      <w:r>
        <w:t xml:space="preserve"> raw, unstructured medical claims (discharge summaries and lab reports) in JSON format.</w:t>
      </w:r>
    </w:p>
    <w:p>
      <w:pPr>
        <w:pStyle w:val="ListNumber"/>
        <w:spacing w:after="60"/>
      </w:pPr>
      <w:r/>
      <w:r>
        <w:rPr>
          <w:b/>
        </w:rPr>
        <w:t>Standardise</w:t>
      </w:r>
      <w:r>
        <w:t xml:space="preserve"> demographic and clinical data (e.g. converting tests and medications to canonical names, and resolving spelling variations using fuzzy Levenshtein distance).</w:t>
      </w:r>
    </w:p>
    <w:p>
      <w:pPr>
        <w:pStyle w:val="ListNumber"/>
        <w:spacing w:after="60"/>
      </w:pPr>
      <w:r/>
      <w:r>
        <w:rPr>
          <w:b/>
        </w:rPr>
        <w:t>Normalize Units</w:t>
      </w:r>
      <w:r>
        <w:t xml:space="preserve"> dynamically to standard medical units using mathematical scaling rules.</w:t>
      </w:r>
    </w:p>
    <w:p>
      <w:pPr>
        <w:pStyle w:val="ListNumber"/>
        <w:spacing w:after="60"/>
      </w:pPr>
      <w:r/>
      <w:r>
        <w:rPr>
          <w:b/>
        </w:rPr>
        <w:t>Validate</w:t>
      </w:r>
      <w:r>
        <w:t xml:space="preserve"> results using a precedence-based clinical rule hierarchy (identifying normal results, outliers, anomalies, and unparseable text).</w:t>
      </w:r>
    </w:p>
    <w:p>
      <w:pPr>
        <w:pStyle w:val="ListNumber"/>
        <w:spacing w:after="60"/>
      </w:pPr>
      <w:r/>
      <w:r>
        <w:rPr>
          <w:b/>
        </w:rPr>
        <w:t>Deduplicate</w:t>
      </w:r>
      <w:r>
        <w:t xml:space="preserve"> records using deterministic SHA256 hashing to guarantee pipeline idempotency.</w:t>
      </w:r>
    </w:p>
    <w:p>
      <w:pPr>
        <w:pStyle w:val="ListNumber"/>
        <w:spacing w:after="60"/>
      </w:pPr>
      <w:r/>
      <w:r>
        <w:rPr>
          <w:b/>
        </w:rPr>
        <w:t>Persist</w:t>
      </w:r>
      <w:r>
        <w:t xml:space="preserve"> clean standardized rows into a normalized MySQL schema.</w:t>
      </w:r>
    </w:p>
    <w:p>
      <w:pPr>
        <w:pStyle w:val="ListNumber"/>
        <w:spacing w:after="60"/>
      </w:pPr>
      <w:r/>
      <w:r>
        <w:rPr>
          <w:b/>
        </w:rPr>
        <w:t>Monitor and Audit</w:t>
      </w:r>
      <w:r>
        <w:t xml:space="preserve"> pipeline runs, ingestion errors, and flagged clinical anomalies via a real-time dark-mode web dashboard.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120"/>
      </w:pPr>
      <w:r>
        <w:rPr>
          <w:rFonts w:ascii="Calibri Light" w:hAnsi="Calibri Light"/>
          <w:color w:val="2E75B6"/>
          <w:sz w:val="28"/>
        </w:rPr>
        <w:t>2. System Architecture &amp; Data Flow</w:t>
      </w:r>
    </w:p>
    <w:p>
      <w:pPr>
        <w:spacing w:after="120" w:line="276" w:lineRule="auto"/>
      </w:pPr>
      <w:r>
        <w:t>The pipeline uses a multi-tier, decoupled ingestion strategy. Below is the technical data flow outlining how a raw payload is processed, transformed, validated, and persisted.</w:t>
      </w:r>
    </w:p>
    <w:p>
      <w:pPr>
        <w:pStyle w:val="Heading3"/>
        <w:spacing w:before="240" w:after="120"/>
      </w:pPr>
      <w:r>
        <w:rPr>
          <w:rFonts w:ascii="Calibri Light" w:hAnsi="Calibri Light"/>
          <w:color w:val="595959"/>
          <w:sz w:val="24"/>
        </w:rPr>
        <w:t>Ingestion Flow Diagram</w:t>
      </w:r>
    </w:p>
    <w:p>
      <w:pPr>
        <w:spacing w:after="120" w:before="120"/>
        <w:ind w:left="360"/>
      </w:pPr>
      <w:r>
        <w:rPr>
          <w:rFonts w:ascii="Courier New" w:hAnsi="Courier New"/>
          <w:color w:val="3C3C3C"/>
          <w:sz w:val="19"/>
        </w:rPr>
        <w:t>flowchart TD</w:t>
        <w:br/>
        <w:t xml:space="preserve">    A[Start Pipeline Run] --&gt; B[Scan sample-data/ for JSON files]</w:t>
        <w:br/>
        <w:t xml:space="preserve">    B --&gt; C{For Each File}</w:t>
        <w:br/>
        <w:t xml:space="preserve">    </w:t>
        <w:br/>
        <w:t xml:space="preserve">    C --&gt;|Malformed JSON| D[Log Ingestion Failures to DB]</w:t>
        <w:br/>
        <w:t xml:space="preserve">    C --&gt;|Valid JSON| E[Metadata Extraction &amp; Mapping]</w:t>
        <w:br/>
        <w:t xml:space="preserve">    </w:t>
        <w:br/>
        <w:t xml:space="preserve">    E --&gt; F[Flatten Document Arrays]</w:t>
        <w:br/>
        <w:t xml:space="preserve">    F --&gt;|Lab Report| G[Resolve Test Canonical Names &amp; Units]</w:t>
        <w:br/>
        <w:t xml:space="preserve">    F --&gt;|Discharge Summary| H[Resolve Medication Canonical Names &amp; Forms]</w:t>
        <w:br/>
        <w:t xml:space="preserve">    </w:t>
        <w:br/>
        <w:t xml:space="preserve">    G --&gt; I[Scale Numeric Values &amp; Ranges]</w:t>
        <w:br/>
        <w:t xml:space="preserve">    H --&gt; J[Apply Precedence Validation]</w:t>
        <w:br/>
        <w:t xml:space="preserve">    </w:t>
        <w:br/>
        <w:t xml:space="preserve">    I --&gt; J</w:t>
        <w:br/>
        <w:t xml:space="preserve">    </w:t>
        <w:br/>
        <w:t xml:space="preserve">    J --&gt; K{Validation Precedence}</w:t>
        <w:br/>
        <w:t xml:space="preserve">    K --&gt;|1. Document Range Wins| L[Validate Against Parsed Range]</w:t>
        <w:br/>
        <w:t xml:space="preserve">    K --&gt;|2. Config Range Fallback| M[Validate Against reference_ranges.yaml]</w:t>
        <w:br/>
        <w:t xml:space="preserve">    K --&gt;|3. Qualitative Allowed| N[Validate Against allowed_values list]</w:t>
        <w:br/>
        <w:t xml:space="preserve">    K --&gt;|4. No Match| O[Mark Record as Invalid]</w:t>
        <w:br/>
        <w:t xml:space="preserve">    </w:t>
        <w:br/>
        <w:t xml:space="preserve">    L --&gt; P[Compute Anomaly Status]</w:t>
        <w:br/>
        <w:t xml:space="preserve">    M --&gt; P</w:t>
        <w:br/>
        <w:t xml:space="preserve">    N --&gt; P</w:t>
        <w:br/>
        <w:t xml:space="preserve">    O --&gt; P</w:t>
        <w:br/>
        <w:t xml:space="preserve">    </w:t>
        <w:br/>
        <w:t xml:space="preserve">    P --&gt; Q[Insert into MySQL database]</w:t>
        <w:br/>
        <w:t xml:space="preserve">    Q --&gt; R{Unique Key Collision?}</w:t>
        <w:br/>
        <w:t xml:space="preserve">    R --&gt;|No| S[New Record Inserted]</w:t>
        <w:br/>
        <w:t xml:space="preserve">    R --&gt;|Yes| T[Update in-place, set duplicate_flag = TRUE]</w:t>
        <w:br/>
        <w:t xml:space="preserve">    </w:t>
        <w:br/>
        <w:t xml:space="preserve">    S --&gt; U[Log Pipeline Run Statistics]</w:t>
        <w:br/>
        <w:t xml:space="preserve">    T --&gt; U</w:t>
        <w:br/>
        <w:t xml:space="preserve">    U --&gt; V[Render Metrics on Web Dashboard]</w:t>
        <w:br/>
      </w:r>
    </w:p>
    <w:p>
      <w:pPr>
        <w:pStyle w:val="Heading3"/>
        <w:spacing w:before="240" w:after="120"/>
      </w:pPr>
      <w:r>
        <w:rPr>
          <w:rFonts w:ascii="Calibri Light" w:hAnsi="Calibri Light"/>
          <w:color w:val="595959"/>
          <w:sz w:val="24"/>
        </w:rPr>
        <w:t>Components</w:t>
      </w:r>
    </w:p>
    <w:p>
      <w:pPr>
        <w:pStyle w:val="ListBullet"/>
        <w:spacing w:after="60"/>
      </w:pPr>
      <w:r/>
      <w:r>
        <w:rPr>
          <w:b/>
        </w:rPr>
        <w:t>Ingestion Layer (`src/ingest.py`)</w:t>
      </w:r>
      <w:r>
        <w:t xml:space="preserve">: Reads input files and parses demographic details. Resolves structural layouts using configurations defined in </w:t>
      </w:r>
      <w:r>
        <w:rPr>
          <w:rFonts w:ascii="Courier New" w:hAnsi="Courier New"/>
          <w:color w:val="C7254E"/>
          <w:sz w:val="20"/>
        </w:rPr>
        <w:t>config/document_types/</w:t>
      </w:r>
      <w:r>
        <w:t>. If a file is malformed or missing key metadata, it fails early and logs the failure to the audit trail.</w:t>
      </w:r>
    </w:p>
    <w:p>
      <w:pPr>
        <w:pStyle w:val="ListBullet"/>
        <w:spacing w:after="60"/>
      </w:pPr>
      <w:r/>
      <w:r>
        <w:rPr>
          <w:b/>
        </w:rPr>
        <w:t>Standardisation Layer (`src/standardize.py`)</w:t>
      </w:r>
      <w:r>
        <w:t>: Uses string-similarity calculations and dictionaries to normalize test names, medications, genders, and dates. It also runs numeric extraction and unit conversion.</w:t>
      </w:r>
    </w:p>
    <w:p>
      <w:pPr>
        <w:pStyle w:val="ListBullet"/>
        <w:spacing w:after="60"/>
      </w:pPr>
      <w:r/>
      <w:r>
        <w:rPr>
          <w:b/>
        </w:rPr>
        <w:t>Validation Layer (`src/validate.py`)</w:t>
      </w:r>
      <w:r>
        <w:t>: Implements numeric range parsers, qualitative check algorithms, and outlier detection logic to flag anomalies.</w:t>
      </w:r>
    </w:p>
    <w:p>
      <w:pPr>
        <w:pStyle w:val="ListBullet"/>
        <w:spacing w:after="60"/>
      </w:pPr>
      <w:r/>
      <w:r>
        <w:rPr>
          <w:b/>
        </w:rPr>
        <w:t>Database Operations (`src/db_loader.py`)</w:t>
      </w:r>
      <w:r>
        <w:t>: Manages transactions, pipeline run statistics, error logging, and idempotent data loads using MySQL.</w:t>
      </w:r>
    </w:p>
    <w:p>
      <w:pPr>
        <w:pStyle w:val="ListBullet"/>
        <w:spacing w:after="60"/>
      </w:pPr>
      <w:r/>
      <w:r>
        <w:rPr>
          <w:b/>
        </w:rPr>
        <w:t>Operations Dashboard (`ui/app.py`)</w:t>
      </w:r>
      <w:r>
        <w:t>: Provides a Flask-powered user interface for real-time analytics, record search/inspection, audit trails, and PDF/CSV report exports.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120"/>
      </w:pPr>
      <w:r>
        <w:rPr>
          <w:rFonts w:ascii="Calibri Light" w:hAnsi="Calibri Light"/>
          <w:color w:val="2E75B6"/>
          <w:sz w:val="28"/>
        </w:rPr>
        <w:t>3. Data Model &amp; Database Schema</w:t>
      </w:r>
    </w:p>
    <w:p>
      <w:pPr>
        <w:spacing w:after="120" w:line="276" w:lineRule="auto"/>
      </w:pPr>
      <w:r>
        <w:t>The system uses a highly queryable, flattened schema design. Clinical records are exploded at the individual test/medication grain (one row per test or medication entry) to support fast relational analysis.</w:t>
      </w:r>
    </w:p>
    <w:p>
      <w:pPr>
        <w:pStyle w:val="Heading3"/>
        <w:spacing w:before="240" w:after="120"/>
      </w:pPr>
      <w:r>
        <w:rPr>
          <w:rFonts w:ascii="Calibri Light" w:hAnsi="Calibri Light"/>
          <w:color w:val="595959"/>
          <w:sz w:val="24"/>
        </w:rPr>
        <w:t>Primary Tables (`database/schema.sql`)</w:t>
      </w:r>
    </w:p>
    <w:p>
      <w:pPr>
        <w:pStyle w:val="Heading4"/>
        <w:spacing w:before="240" w:after="120"/>
      </w:pPr>
      <w:r>
        <w:rPr>
          <w:rFonts w:ascii="Calibri Light" w:hAnsi="Calibri Light"/>
          <w:color w:val="595959"/>
          <w:sz w:val="24"/>
        </w:rPr>
        <w:t>1. `standardized_records`</w:t>
      </w:r>
    </w:p>
    <w:p>
      <w:pPr>
        <w:spacing w:after="120" w:line="276" w:lineRule="auto"/>
      </w:pPr>
      <w:r>
        <w:t>Stores the flattened, standardized clinical entries.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id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VARCHAR(64)</w:t>
            </w:r>
            <w:r/>
          </w:p>
        </w:tc>
        <w:tc>
          <w:tcPr>
            <w:tcW w:type="dxa" w:w="3120"/>
          </w:tcPr>
          <w:p>
            <w:r>
              <w:t>Deterministic SHA256 primary key hash (Claim No + Doc ID + Record Type + Clinical Name).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claim_no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>Cross-system identifier representing the claims case.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document_id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>Unique document identifier from the origin clinic.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record_type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lab_report</w:t>
            </w:r>
            <w:r>
              <w:t xml:space="preserve"> or </w:t>
            </w:r>
            <w:r>
              <w:rPr>
                <w:rFonts w:ascii="Courier New" w:hAnsi="Courier New"/>
                <w:color w:val="C7254E"/>
                <w:sz w:val="20"/>
              </w:rPr>
              <w:t>discharge_summary</w:t>
            </w:r>
            <w:r>
              <w:t>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patient_name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>Normalized patient name.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age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>Standardized age field.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gender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>Standardized gender (</w:t>
            </w:r>
            <w:r>
              <w:rPr>
                <w:rFonts w:ascii="Courier New" w:hAnsi="Courier New"/>
                <w:color w:val="C7254E"/>
                <w:sz w:val="20"/>
              </w:rPr>
              <w:t>Male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20"/>
              </w:rPr>
              <w:t>Female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20"/>
              </w:rPr>
              <w:t>Other</w:t>
            </w:r>
            <w:r>
              <w:t>, or preserved redactions).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hospital_name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>Normalized hospital name (resolved via alias config).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test_name_canonical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 xml:space="preserve">Resolved canonical clinical entity (e.g. </w:t>
            </w:r>
            <w:r>
              <w:rPr>
                <w:rFonts w:ascii="Courier New" w:hAnsi="Courier New"/>
                <w:color w:val="C7254E"/>
                <w:sz w:val="20"/>
              </w:rPr>
              <w:t>HAEMOGLOBIN</w:t>
            </w:r>
            <w:r>
              <w:t>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test_name_original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TEXT</w:t>
            </w:r>
            <w:r/>
          </w:p>
        </w:tc>
        <w:tc>
          <w:tcPr>
            <w:tcW w:type="dxa" w:w="3120"/>
          </w:tcPr>
          <w:p>
            <w:r>
              <w:t>Raw clinical test name as read from input.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result_value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DOUBLE</w:t>
            </w:r>
            <w:r/>
          </w:p>
        </w:tc>
        <w:tc>
          <w:tcPr>
            <w:tcW w:type="dxa" w:w="3120"/>
          </w:tcPr>
          <w:p>
            <w:r>
              <w:t>Numerically parsed result value (null for text/qualitative tests).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result_text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TEXT</w:t>
            </w:r>
            <w:r/>
          </w:p>
        </w:tc>
        <w:tc>
          <w:tcPr>
            <w:tcW w:type="dxa" w:w="3120"/>
          </w:tcPr>
          <w:p>
            <w:r>
              <w:t>Raw result text from input.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unit_canonical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 xml:space="preserve">Target normalized unit (e.g., </w:t>
            </w:r>
            <w:r>
              <w:rPr>
                <w:rFonts w:ascii="Courier New" w:hAnsi="Courier New"/>
                <w:color w:val="C7254E"/>
                <w:sz w:val="20"/>
              </w:rPr>
              <w:t>g/dL</w:t>
            </w:r>
            <w:r>
              <w:t xml:space="preserve"> for Hemoglobin).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unit_original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>Original raw unit read from input.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range_low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20"/>
              </w:rPr>
              <w:t>range_high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DOUBLE</w:t>
            </w:r>
            <w:r/>
          </w:p>
        </w:tc>
        <w:tc>
          <w:tcPr>
            <w:tcW w:type="dxa" w:w="3120"/>
          </w:tcPr>
          <w:p>
            <w:r>
              <w:t>Parsed numeric boundaries.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test_analytics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>Processing result status (</w:t>
            </w:r>
            <w:r>
              <w:rPr>
                <w:rFonts w:ascii="Courier New" w:hAnsi="Courier New"/>
                <w:color w:val="C7254E"/>
                <w:sz w:val="20"/>
              </w:rPr>
              <w:t>Within Range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20"/>
              </w:rPr>
              <w:t>Below Range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20"/>
              </w:rPr>
              <w:t>Above Range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20"/>
              </w:rPr>
              <w:t>Outlier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20"/>
              </w:rPr>
              <w:t>Invalid</w:t>
            </w:r>
            <w:r>
              <w:t>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normalization_method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>Tracking code for resolution (</w:t>
            </w:r>
            <w:r>
              <w:rPr>
                <w:rFonts w:ascii="Courier New" w:hAnsi="Courier New"/>
                <w:color w:val="C7254E"/>
                <w:sz w:val="20"/>
              </w:rPr>
              <w:t>exact_alias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20"/>
              </w:rPr>
              <w:t>fuzzy_match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20"/>
              </w:rPr>
              <w:t>unmapped_fallback</w:t>
            </w:r>
            <w:r>
              <w:t>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medicine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>Canonical medicine name (Discharge Summary only).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dose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20"/>
              </w:rPr>
              <w:t>frequency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VARCHAR(128)</w:t>
            </w:r>
            <w:r/>
          </w:p>
        </w:tc>
        <w:tc>
          <w:tcPr>
            <w:tcW w:type="dxa" w:w="3120"/>
          </w:tcPr>
          <w:p>
            <w:r>
              <w:t>Prescribed dosage and frequency.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processing_status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VARCHAR(16)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processed</w:t>
            </w:r>
            <w:r>
              <w:t xml:space="preserve"> or </w:t>
            </w:r>
            <w:r>
              <w:rPr>
                <w:rFonts w:ascii="Courier New" w:hAnsi="Courier New"/>
                <w:color w:val="C7254E"/>
                <w:sz w:val="20"/>
              </w:rPr>
              <w:t>flagged</w:t>
            </w:r>
            <w:r>
              <w:t>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duplicate_flag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BOOLEAN</w:t>
            </w:r>
            <w:r/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TRUE</w:t>
            </w:r>
            <w:r>
              <w:t xml:space="preserve"> if this record is a duplicate run of an existing claim entry.</w:t>
            </w:r>
          </w:p>
        </w:tc>
      </w:tr>
    </w:tbl>
    <w:p>
      <w:pPr>
        <w:pStyle w:val="Heading4"/>
        <w:spacing w:before="240" w:after="120"/>
      </w:pPr>
      <w:r>
        <w:rPr>
          <w:rFonts w:ascii="Calibri Light" w:hAnsi="Calibri Light"/>
          <w:color w:val="595959"/>
          <w:sz w:val="24"/>
        </w:rPr>
        <w:t>2. `ingestion_errors`</w:t>
      </w:r>
    </w:p>
    <w:p>
      <w:pPr>
        <w:spacing w:after="120" w:line="276" w:lineRule="auto"/>
      </w:pPr>
      <w:r>
        <w:t>Maintains an audit trail for file ingestion failures (malformed JSON schemas, unhandled runtime exceptions) to ensure no source file is dropped silently.</w:t>
      </w:r>
    </w:p>
    <w:p>
      <w:pPr>
        <w:pStyle w:val="Heading4"/>
        <w:spacing w:before="240" w:after="120"/>
      </w:pPr>
      <w:r>
        <w:rPr>
          <w:rFonts w:ascii="Calibri Light" w:hAnsi="Calibri Light"/>
          <w:color w:val="595959"/>
          <w:sz w:val="24"/>
        </w:rPr>
        <w:t>3. `pipeline_runs`</w:t>
      </w:r>
    </w:p>
    <w:p>
      <w:pPr>
        <w:spacing w:after="120" w:line="276" w:lineRule="auto"/>
      </w:pPr>
      <w:r>
        <w:t>Logs run metadata (start/finish timestamps, total files seen, files processed successfully, files failed, records flagged, and duplicates skipped) to monitor operational health.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120"/>
      </w:pPr>
      <w:r>
        <w:rPr>
          <w:rFonts w:ascii="Calibri Light" w:hAnsi="Calibri Light"/>
          <w:color w:val="2E75B6"/>
          <w:sz w:val="28"/>
        </w:rPr>
        <w:t>4. Configuration-Driven Standardization</w:t>
      </w:r>
    </w:p>
    <w:p>
      <w:pPr>
        <w:spacing w:after="120" w:line="276" w:lineRule="auto"/>
      </w:pPr>
      <w:r>
        <w:t xml:space="preserve">The engine is built on a </w:t>
      </w:r>
      <w:r>
        <w:rPr>
          <w:b/>
        </w:rPr>
        <w:t>Zero-Code Onboarding</w:t>
      </w:r>
      <w:r>
        <w:t xml:space="preserve"> principle. To adapt to new hospitals, new test names, or altered guidelines, developers update YAML files in the </w:t>
      </w:r>
      <w:r>
        <w:rPr>
          <w:rFonts w:ascii="Courier New" w:hAnsi="Courier New"/>
          <w:color w:val="C7254E"/>
          <w:sz w:val="20"/>
        </w:rPr>
        <w:t>config/</w:t>
      </w:r>
      <w:r>
        <w:t xml:space="preserve"> directory without writing Python code:</w:t>
      </w:r>
    </w:p>
    <w:p>
      <w:pPr>
        <w:pStyle w:val="ListNumber"/>
        <w:spacing w:after="60"/>
      </w:pPr>
      <w:r/>
      <w:r>
        <w:rPr>
          <w:b/>
        </w:rPr>
        <w:t>`document_types/`</w:t>
      </w:r>
      <w:r>
        <w:t>: Maps input JSON keys to canonical schema fields dynamically for different document structures.</w:t>
      </w:r>
    </w:p>
    <w:p>
      <w:pPr>
        <w:pStyle w:val="ListNumber"/>
        <w:spacing w:after="60"/>
      </w:pPr>
      <w:r/>
      <w:r>
        <w:rPr>
          <w:b/>
        </w:rPr>
        <w:t>`field_aliases.yaml`</w:t>
      </w:r>
      <w:r>
        <w:t xml:space="preserve">: Standardises patient demographic headers (e.g., mapping </w:t>
      </w:r>
      <w:r>
        <w:rPr>
          <w:rFonts w:ascii="Courier New" w:hAnsi="Courier New"/>
          <w:color w:val="C7254E"/>
          <w:sz w:val="20"/>
        </w:rPr>
        <w:t>"patientFullName"</w:t>
      </w:r>
      <w:r>
        <w:t xml:space="preserve">, </w:t>
      </w:r>
      <w:r>
        <w:rPr>
          <w:rFonts w:ascii="Courier New" w:hAnsi="Courier New"/>
          <w:color w:val="C7254E"/>
          <w:sz w:val="20"/>
        </w:rPr>
        <w:t>"patName"</w:t>
      </w:r>
      <w:r>
        <w:t xml:space="preserve">, </w:t>
      </w:r>
      <w:r>
        <w:rPr>
          <w:rFonts w:ascii="Courier New" w:hAnsi="Courier New"/>
          <w:color w:val="C7254E"/>
          <w:sz w:val="20"/>
        </w:rPr>
        <w:t>"patient"</w:t>
      </w:r>
      <w:r>
        <w:t xml:space="preserve"> to </w:t>
      </w:r>
      <w:r>
        <w:rPr>
          <w:rFonts w:ascii="Courier New" w:hAnsi="Courier New"/>
          <w:color w:val="C7254E"/>
          <w:sz w:val="20"/>
        </w:rPr>
        <w:t>"patient_name"</w:t>
      </w:r>
      <w:r>
        <w:t>).</w:t>
      </w:r>
    </w:p>
    <w:p>
      <w:pPr>
        <w:pStyle w:val="ListNumber"/>
        <w:spacing w:after="60"/>
      </w:pPr>
      <w:r/>
      <w:r>
        <w:rPr>
          <w:b/>
        </w:rPr>
        <w:t>`test_name_dictionary.yaml`</w:t>
      </w:r>
      <w:r>
        <w:t>: Contains standard clinical tests, their category, default target units, and known aliases/typos.</w:t>
      </w:r>
    </w:p>
    <w:p>
      <w:pPr>
        <w:pStyle w:val="ListNumber"/>
        <w:spacing w:after="60"/>
      </w:pPr>
      <w:r/>
      <w:r>
        <w:rPr>
          <w:b/>
        </w:rPr>
        <w:t>`medicine_dictionary.yaml`</w:t>
      </w:r>
      <w:r>
        <w:t>: Maps common medication brand names and typos to their canonical generic drug names.</w:t>
      </w:r>
    </w:p>
    <w:p>
      <w:pPr>
        <w:pStyle w:val="ListNumber"/>
        <w:spacing w:after="60"/>
      </w:pPr>
      <w:r/>
      <w:r>
        <w:rPr>
          <w:b/>
        </w:rPr>
        <w:t>`unit_conversion.yaml`</w:t>
      </w:r>
      <w:r>
        <w:t xml:space="preserve">: Stores target clinical units and decimal scaling factors (e.g., standardizing </w:t>
      </w:r>
      <w:r>
        <w:rPr>
          <w:rFonts w:ascii="Courier New" w:hAnsi="Courier New"/>
          <w:color w:val="C7254E"/>
          <w:sz w:val="20"/>
        </w:rPr>
        <w:t>g/L</w:t>
      </w:r>
      <w:r>
        <w:t xml:space="preserve"> to </w:t>
      </w:r>
      <w:r>
        <w:rPr>
          <w:rFonts w:ascii="Courier New" w:hAnsi="Courier New"/>
          <w:color w:val="C7254E"/>
          <w:sz w:val="20"/>
        </w:rPr>
        <w:t>g/dL</w:t>
      </w:r>
      <w:r>
        <w:t xml:space="preserve"> using a </w:t>
      </w:r>
      <w:r>
        <w:rPr>
          <w:rFonts w:ascii="Courier New" w:hAnsi="Courier New"/>
          <w:color w:val="C7254E"/>
          <w:sz w:val="20"/>
        </w:rPr>
        <w:t>0.1</w:t>
      </w:r>
      <w:r>
        <w:t xml:space="preserve"> multiplier).</w:t>
      </w:r>
    </w:p>
    <w:p>
      <w:pPr>
        <w:pStyle w:val="ListNumber"/>
        <w:spacing w:after="60"/>
      </w:pPr>
      <w:r/>
      <w:r>
        <w:rPr>
          <w:b/>
        </w:rPr>
        <w:t>`reference_ranges.yaml`</w:t>
      </w:r>
      <w:r>
        <w:t>: Contains normal/outlier thresholds and qualitative parameters, supporting gender-specific bounds.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120"/>
      </w:pPr>
      <w:r>
        <w:rPr>
          <w:rFonts w:ascii="Calibri Light" w:hAnsi="Calibri Light"/>
          <w:color w:val="2E75B6"/>
          <w:sz w:val="28"/>
        </w:rPr>
        <w:t>5. Core Business &amp; Clinical Logic</w:t>
      </w:r>
    </w:p>
    <w:p>
      <w:pPr>
        <w:pStyle w:val="Heading3"/>
        <w:spacing w:before="240" w:after="120"/>
      </w:pPr>
      <w:r>
        <w:rPr>
          <w:rFonts w:ascii="Calibri Light" w:hAnsi="Calibri Light"/>
          <w:color w:val="595959"/>
          <w:sz w:val="24"/>
        </w:rPr>
        <w:t>Canonical Standardization &amp; Fuzzy Matching</w:t>
      </w:r>
    </w:p>
    <w:p>
      <w:pPr>
        <w:spacing w:after="120" w:line="276" w:lineRule="auto"/>
      </w:pPr>
      <w:r>
        <w:t>The engine resolves input strings using a tiered matching algorithm:</w:t>
      </w:r>
    </w:p>
    <w:p>
      <w:pPr>
        <w:pStyle w:val="ListBullet"/>
        <w:spacing w:after="60"/>
      </w:pPr>
      <w:r/>
      <w:r>
        <w:rPr>
          <w:b/>
        </w:rPr>
        <w:t>Tier 1: Exact Alias Matching</w:t>
      </w:r>
      <w:r>
        <w:t>: Compares clean lowercase strings with dictionary entries.</w:t>
      </w:r>
    </w:p>
    <w:p>
      <w:pPr>
        <w:pStyle w:val="ListBullet"/>
        <w:spacing w:after="60"/>
      </w:pPr>
      <w:r/>
      <w:r>
        <w:rPr>
          <w:b/>
        </w:rPr>
        <w:t>Tier 2: Levenshtein Distance Fuzzy Matching</w:t>
      </w:r>
      <w:r>
        <w:t xml:space="preserve">: If exact matching fails, calculates similarity. If similarity $\ge 80\%$, standardizes it to the canonical term and marks it as </w:t>
      </w:r>
      <w:r>
        <w:rPr>
          <w:rFonts w:ascii="Courier New" w:hAnsi="Courier New"/>
          <w:color w:val="C7254E"/>
          <w:sz w:val="20"/>
        </w:rPr>
        <w:t>fuzzy_match</w:t>
      </w:r>
      <w:r>
        <w:t>.</w:t>
      </w:r>
    </w:p>
    <w:p>
      <w:pPr>
        <w:pStyle w:val="ListBullet"/>
        <w:spacing w:after="60"/>
      </w:pPr>
      <w:r/>
      <w:r>
        <w:rPr>
          <w:b/>
        </w:rPr>
        <w:t>Tier 3: Fallback</w:t>
      </w:r>
      <w:r>
        <w:t xml:space="preserve">: If no match is found, uppercase original values are preserved as </w:t>
      </w:r>
      <w:r>
        <w:rPr>
          <w:rFonts w:ascii="Courier New" w:hAnsi="Courier New"/>
          <w:color w:val="C7254E"/>
          <w:sz w:val="20"/>
        </w:rPr>
        <w:t>unmapped_fallback</w:t>
      </w:r>
      <w:r>
        <w:t xml:space="preserve"> to prevent data loss.</w:t>
      </w:r>
    </w:p>
    <w:p>
      <w:pPr>
        <w:pStyle w:val="Heading3"/>
        <w:spacing w:before="240" w:after="120"/>
      </w:pPr>
      <w:r>
        <w:rPr>
          <w:rFonts w:ascii="Calibri Light" w:hAnsi="Calibri Light"/>
          <w:color w:val="595959"/>
          <w:sz w:val="24"/>
        </w:rPr>
        <w:t>Dynamic Unit Conversion</w:t>
      </w:r>
    </w:p>
    <w:p>
      <w:pPr>
        <w:spacing w:after="120" w:line="276" w:lineRule="auto"/>
      </w:pPr>
      <w:r>
        <w:t xml:space="preserve">When raw results arrive with alternative units, the system checks </w:t>
      </w:r>
      <w:r>
        <w:rPr>
          <w:rFonts w:ascii="Courier New" w:hAnsi="Courier New"/>
          <w:color w:val="C7254E"/>
          <w:sz w:val="20"/>
        </w:rPr>
        <w:t>config/unit_conversion.yaml</w:t>
      </w:r>
      <w:r>
        <w:t>. If a conversion path exists, it:</w:t>
      </w:r>
    </w:p>
    <w:p>
      <w:pPr>
        <w:pStyle w:val="ListNumber"/>
        <w:spacing w:after="60"/>
      </w:pPr>
      <w:r>
        <w:t>Multiplies the numeric value by the configured scaling factor.</w:t>
      </w:r>
    </w:p>
    <w:p>
      <w:pPr>
        <w:pStyle w:val="ListNumber"/>
        <w:spacing w:after="60"/>
      </w:pPr>
      <w:r>
        <w:t>Multiplies the parsed reference low/high bounds by the same scaling factor.</w:t>
      </w:r>
    </w:p>
    <w:p>
      <w:pPr>
        <w:pStyle w:val="ListNumber"/>
        <w:spacing w:after="60"/>
      </w:pPr>
      <w:r>
        <w:t>Overrides the canonical unit field to the standard target.</w:t>
      </w:r>
    </w:p>
    <w:p>
      <w:pPr>
        <w:pStyle w:val="Heading3"/>
        <w:spacing w:before="240" w:after="120"/>
      </w:pPr>
      <w:r>
        <w:rPr>
          <w:rFonts w:ascii="Calibri Light" w:hAnsi="Calibri Light"/>
          <w:color w:val="595959"/>
          <w:sz w:val="24"/>
        </w:rPr>
        <w:t>Precedence-Based Validation Hierarchy</w:t>
      </w:r>
    </w:p>
    <w:p>
      <w:pPr>
        <w:spacing w:after="120" w:line="276" w:lineRule="auto"/>
      </w:pPr>
      <w:r>
        <w:t>To evaluate whether a test is normal, abnormal, or an outlier:</w:t>
      </w:r>
    </w:p>
    <w:p>
      <w:pPr>
        <w:pStyle w:val="ListNumber"/>
        <w:spacing w:after="60"/>
      </w:pPr>
      <w:r/>
      <w:r>
        <w:rPr>
          <w:b/>
        </w:rPr>
        <w:t>Document Range (Highest Priority)</w:t>
      </w:r>
      <w:r>
        <w:t xml:space="preserve">: If the incoming lab record contains a range (e.g. </w:t>
      </w:r>
      <w:r>
        <w:rPr>
          <w:rFonts w:ascii="Courier New" w:hAnsi="Courier New"/>
          <w:color w:val="C7254E"/>
          <w:sz w:val="20"/>
        </w:rPr>
        <w:t>12.0 - 16.0</w:t>
      </w:r>
      <w:r>
        <w:t>), it is parsed and used.</w:t>
      </w:r>
    </w:p>
    <w:p>
      <w:pPr>
        <w:pStyle w:val="ListNumber"/>
        <w:spacing w:after="60"/>
      </w:pPr>
      <w:r/>
      <w:r>
        <w:rPr>
          <w:b/>
        </w:rPr>
        <w:t>Config Range (Fallback)</w:t>
      </w:r>
      <w:r>
        <w:t xml:space="preserve">: If no document range is parsed, the engine checks </w:t>
      </w:r>
      <w:r>
        <w:rPr>
          <w:rFonts w:ascii="Courier New" w:hAnsi="Courier New"/>
          <w:color w:val="C7254E"/>
          <w:sz w:val="20"/>
        </w:rPr>
        <w:t>config/reference_ranges.yaml</w:t>
      </w:r>
      <w:r>
        <w:t xml:space="preserve"> for gender- or age-specific ranges matching the canonical test.</w:t>
      </w:r>
    </w:p>
    <w:p>
      <w:pPr>
        <w:pStyle w:val="ListNumber"/>
        <w:spacing w:after="60"/>
      </w:pPr>
      <w:r/>
      <w:r>
        <w:rPr>
          <w:b/>
        </w:rPr>
        <w:t>Qualitative Verification</w:t>
      </w:r>
      <w:r>
        <w:t xml:space="preserve">: If the test is text-based (e.g. </w:t>
      </w:r>
      <w:r>
        <w:rPr>
          <w:rFonts w:ascii="Courier New" w:hAnsi="Courier New"/>
          <w:color w:val="C7254E"/>
          <w:sz w:val="20"/>
        </w:rPr>
        <w:t>COVID19: Positive</w:t>
      </w:r>
      <w:r>
        <w:t>), it checks against allowed qualitative categories.</w:t>
      </w:r>
    </w:p>
    <w:p>
      <w:pPr>
        <w:pStyle w:val="ListNumber"/>
        <w:spacing w:after="60"/>
      </w:pPr>
      <w:r/>
      <w:r>
        <w:rPr>
          <w:b/>
        </w:rPr>
        <w:t>Mark Invalid</w:t>
      </w:r>
      <w:r>
        <w:t xml:space="preserve">: If a numeric test has no range defined anywhere, it is flagged as </w:t>
      </w:r>
      <w:r>
        <w:rPr>
          <w:rFonts w:ascii="Courier New" w:hAnsi="Courier New"/>
          <w:color w:val="C7254E"/>
          <w:sz w:val="20"/>
        </w:rPr>
        <w:t>Invalid</w:t>
      </w:r>
      <w:r>
        <w:t xml:space="preserve"> for human audit.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120"/>
      </w:pPr>
      <w:r>
        <w:rPr>
          <w:rFonts w:ascii="Calibri Light" w:hAnsi="Calibri Light"/>
          <w:color w:val="2E75B6"/>
          <w:sz w:val="28"/>
        </w:rPr>
        <w:t>6. Web Operations Dashboard</w:t>
      </w:r>
    </w:p>
    <w:p>
      <w:pPr>
        <w:spacing w:after="120" w:line="276" w:lineRule="auto"/>
      </w:pPr>
      <w:r>
        <w:t>Built using a Flask backend and an optimized dark-mode CSS theme, the dashboard provides administrators and clinical reviewers with full visibility into the ingestion stream.</w:t>
      </w:r>
    </w:p>
    <w:p>
      <w:pPr>
        <w:spacing w:after="120" w:line="276" w:lineRule="auto"/>
      </w:pPr>
    </w:p>
    <w:p>
      <w:pPr>
        <w:pStyle w:val="Heading3"/>
        <w:spacing w:before="240" w:after="120"/>
      </w:pPr>
      <w:r>
        <w:rPr>
          <w:rFonts w:ascii="Calibri Light" w:hAnsi="Calibri Light"/>
          <w:color w:val="595959"/>
          <w:sz w:val="24"/>
        </w:rPr>
        <w:t>Key Features</w:t>
      </w:r>
    </w:p>
    <w:p>
      <w:pPr>
        <w:pStyle w:val="ListBullet"/>
        <w:spacing w:after="60"/>
      </w:pPr>
      <w:r/>
      <w:r>
        <w:rPr>
          <w:b/>
        </w:rPr>
        <w:t>KPI Header Cards</w:t>
      </w:r>
      <w:r>
        <w:t>: Real-time counts of files processed, ingestion failures, total database rows, flagged anomalies, and duplicate runs.</w:t>
      </w:r>
    </w:p>
    <w:p>
      <w:pPr>
        <w:pStyle w:val="ListBullet"/>
        <w:spacing w:after="60"/>
      </w:pPr>
      <w:r/>
      <w:r>
        <w:rPr>
          <w:b/>
        </w:rPr>
        <w:t>Audit Logs / Ingestion Errors Page</w:t>
      </w:r>
      <w:r>
        <w:t>: A list of files that failed parsing, displaying the exact Python stack trace, stage, and raw payload.</w:t>
      </w:r>
    </w:p>
    <w:p>
      <w:pPr>
        <w:pStyle w:val="ListBullet"/>
        <w:spacing w:after="60"/>
      </w:pPr>
      <w:r/>
      <w:r>
        <w:rPr>
          <w:b/>
        </w:rPr>
        <w:t>Interactive Records Search</w:t>
      </w:r>
      <w:r>
        <w:t>: Paginated, filterable grid to search by claim number, document ID, patient name, record type, and processing status.</w:t>
      </w:r>
    </w:p>
    <w:p>
      <w:pPr>
        <w:pStyle w:val="ListBullet"/>
        <w:spacing w:after="60"/>
      </w:pPr>
      <w:r/>
      <w:r>
        <w:rPr>
          <w:b/>
        </w:rPr>
        <w:t>Single-Record Inspector</w:t>
      </w:r>
      <w:r>
        <w:t>: Click a record to open a modal displaying raw metadata side-by-side with resolved canonical values.</w:t>
      </w:r>
    </w:p>
    <w:p>
      <w:pPr>
        <w:pStyle w:val="ListBullet"/>
        <w:spacing w:after="60"/>
      </w:pPr>
      <w:r/>
      <w:r>
        <w:rPr>
          <w:b/>
        </w:rPr>
        <w:t>Flagged Queue</w:t>
      </w:r>
      <w:r>
        <w:t xml:space="preserve">: An inbox for clinical reviewers. Showcases records marked as </w:t>
      </w:r>
      <w:r>
        <w:rPr>
          <w:rFonts w:ascii="Courier New" w:hAnsi="Courier New"/>
          <w:color w:val="C7254E"/>
          <w:sz w:val="20"/>
        </w:rPr>
        <w:t>Below Range</w:t>
      </w:r>
      <w:r>
        <w:t xml:space="preserve">, </w:t>
      </w:r>
      <w:r>
        <w:rPr>
          <w:rFonts w:ascii="Courier New" w:hAnsi="Courier New"/>
          <w:color w:val="C7254E"/>
          <w:sz w:val="20"/>
        </w:rPr>
        <w:t>Above Range</w:t>
      </w:r>
      <w:r>
        <w:t xml:space="preserve">, </w:t>
      </w:r>
      <w:r>
        <w:rPr>
          <w:rFonts w:ascii="Courier New" w:hAnsi="Courier New"/>
          <w:color w:val="C7254E"/>
          <w:sz w:val="20"/>
        </w:rPr>
        <w:t>Outlier</w:t>
      </w:r>
      <w:r>
        <w:t xml:space="preserve">, or </w:t>
      </w:r>
      <w:r>
        <w:rPr>
          <w:rFonts w:ascii="Courier New" w:hAnsi="Courier New"/>
          <w:color w:val="C7254E"/>
          <w:sz w:val="20"/>
        </w:rPr>
        <w:t>Invalid</w:t>
      </w:r>
      <w:r>
        <w:t xml:space="preserve"> due to unparseable values.</w:t>
      </w:r>
    </w:p>
    <w:p>
      <w:pPr>
        <w:pStyle w:val="ListBullet"/>
        <w:spacing w:after="60"/>
      </w:pPr>
      <w:r/>
      <w:r>
        <w:rPr>
          <w:b/>
        </w:rPr>
        <w:t>Reports Export</w:t>
      </w:r>
      <w:r>
        <w:t>: Generates and downloads paginated PDF reports or CSV audit files from the current page view.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120"/>
      </w:pPr>
      <w:r>
        <w:rPr>
          <w:rFonts w:ascii="Calibri Light" w:hAnsi="Calibri Light"/>
          <w:color w:val="2E75B6"/>
          <w:sz w:val="28"/>
        </w:rPr>
        <w:t>7. Setup &amp; Run Instructions</w:t>
      </w:r>
    </w:p>
    <w:p>
      <w:pPr>
        <w:pStyle w:val="Heading3"/>
        <w:spacing w:before="240" w:after="120"/>
      </w:pPr>
      <w:r>
        <w:rPr>
          <w:rFonts w:ascii="Calibri Light" w:hAnsi="Calibri Light"/>
          <w:color w:val="595959"/>
          <w:sz w:val="24"/>
        </w:rPr>
        <w:t>Prerequisites</w:t>
      </w:r>
    </w:p>
    <w:p>
      <w:pPr>
        <w:pStyle w:val="ListBullet"/>
        <w:spacing w:after="60"/>
      </w:pPr>
      <w:r>
        <w:t>Python 3.10+</w:t>
      </w:r>
    </w:p>
    <w:p>
      <w:pPr>
        <w:pStyle w:val="ListBullet"/>
        <w:spacing w:after="60"/>
      </w:pPr>
      <w:r>
        <w:t xml:space="preserve">MySQL Server running on </w:t>
      </w:r>
      <w:r>
        <w:rPr>
          <w:rFonts w:ascii="Courier New" w:hAnsi="Courier New"/>
          <w:color w:val="C7254E"/>
          <w:sz w:val="20"/>
        </w:rPr>
        <w:t>localhost:3306</w:t>
      </w:r>
      <w:r/>
    </w:p>
    <w:p>
      <w:pPr>
        <w:pStyle w:val="Heading3"/>
        <w:spacing w:before="240" w:after="120"/>
      </w:pPr>
      <w:r>
        <w:rPr>
          <w:rFonts w:ascii="Calibri Light" w:hAnsi="Calibri Light"/>
          <w:color w:val="595959"/>
          <w:sz w:val="24"/>
        </w:rPr>
        <w:t>Installation Steps</w:t>
      </w:r>
    </w:p>
    <w:p>
      <w:pPr>
        <w:pStyle w:val="ListNumber"/>
        <w:spacing w:after="60"/>
      </w:pPr>
      <w:r/>
      <w:r>
        <w:rPr>
          <w:b/>
        </w:rPr>
        <w:t>Activate Virtual Environment</w:t>
      </w:r>
      <w:r>
        <w:t>:</w:t>
      </w:r>
    </w:p>
    <w:p>
      <w:pPr>
        <w:spacing w:after="120" w:before="120"/>
        <w:ind w:left="360"/>
      </w:pPr>
      <w:r>
        <w:rPr>
          <w:rFonts w:ascii="Courier New" w:hAnsi="Courier New"/>
          <w:color w:val="3C3C3C"/>
          <w:sz w:val="19"/>
        </w:rPr>
        <w:t xml:space="preserve">   python -m venv .venv</w:t>
        <w:br/>
        <w:t xml:space="preserve">   .\.venv\Scripts\Activate.ps1</w:t>
        <w:br/>
      </w:r>
    </w:p>
    <w:p>
      <w:pPr>
        <w:pStyle w:val="ListNumber"/>
        <w:spacing w:after="60"/>
      </w:pPr>
      <w:r/>
      <w:r>
        <w:rPr>
          <w:b/>
        </w:rPr>
        <w:t>Install Dependencies</w:t>
      </w:r>
      <w:r>
        <w:t>:</w:t>
      </w:r>
    </w:p>
    <w:p>
      <w:pPr>
        <w:spacing w:after="120" w:before="120"/>
        <w:ind w:left="360"/>
      </w:pPr>
      <w:r>
        <w:rPr>
          <w:rFonts w:ascii="Courier New" w:hAnsi="Courier New"/>
          <w:color w:val="3C3C3C"/>
          <w:sz w:val="19"/>
        </w:rPr>
        <w:t xml:space="preserve">   pip install -r requirements.txt</w:t>
        <w:br/>
      </w:r>
    </w:p>
    <w:p>
      <w:pPr>
        <w:pStyle w:val="ListNumber"/>
        <w:spacing w:after="60"/>
      </w:pPr>
      <w:r/>
      <w:r>
        <w:rPr>
          <w:b/>
        </w:rPr>
        <w:t>Environment Setup</w:t>
      </w:r>
      <w:r>
        <w:t>:</w:t>
      </w:r>
    </w:p>
    <w:p>
      <w:pPr>
        <w:spacing w:after="120" w:line="276" w:lineRule="auto"/>
      </w:pPr>
      <w:r>
        <w:t xml:space="preserve">Create a </w:t>
      </w:r>
      <w:r>
        <w:rPr>
          <w:rFonts w:ascii="Courier New" w:hAnsi="Courier New"/>
          <w:color w:val="C7254E"/>
          <w:sz w:val="20"/>
        </w:rPr>
        <w:t>.env</w:t>
      </w:r>
      <w:r>
        <w:t xml:space="preserve"> file from the template and configure your MySQL credentials:</w:t>
      </w:r>
    </w:p>
    <w:p>
      <w:pPr>
        <w:spacing w:after="120" w:before="120"/>
        <w:ind w:left="360"/>
      </w:pPr>
      <w:r>
        <w:rPr>
          <w:rFonts w:ascii="Courier New" w:hAnsi="Courier New"/>
          <w:color w:val="3C3C3C"/>
          <w:sz w:val="19"/>
        </w:rPr>
        <w:t xml:space="preserve">   DB_HOST=localhost</w:t>
        <w:br/>
        <w:t xml:space="preserve">   DB_PORT=3306</w:t>
        <w:br/>
        <w:t xml:space="preserve">   DB_USER=root</w:t>
        <w:br/>
        <w:t xml:space="preserve">   DB_PASSWORD=your_mysql_password</w:t>
        <w:br/>
        <w:t xml:space="preserve">   DB_NAME=medical_data_standardisation</w:t>
        <w:br/>
      </w:r>
    </w:p>
    <w:p>
      <w:pPr>
        <w:pStyle w:val="ListNumber"/>
        <w:spacing w:after="60"/>
      </w:pPr>
      <w:r/>
      <w:r>
        <w:rPr>
          <w:b/>
        </w:rPr>
        <w:t>Seed Database Schema</w:t>
      </w:r>
      <w:r>
        <w:t>:</w:t>
      </w:r>
    </w:p>
    <w:p>
      <w:pPr>
        <w:spacing w:after="120" w:line="276" w:lineRule="auto"/>
      </w:pPr>
      <w:r>
        <w:t>Run the generated SQL script on your MySQL server:</w:t>
      </w:r>
    </w:p>
    <w:p>
      <w:pPr>
        <w:spacing w:after="120" w:before="120"/>
        <w:ind w:left="360"/>
      </w:pPr>
      <w:r>
        <w:rPr>
          <w:rFonts w:ascii="Courier New" w:hAnsi="Courier New"/>
          <w:color w:val="3C3C3C"/>
          <w:sz w:val="19"/>
        </w:rPr>
        <w:t xml:space="preserve">   Get-Content database/schema.sql -Raw | mysql -u root -p</w:t>
        <w:br/>
      </w:r>
    </w:p>
    <w:p>
      <w:pPr>
        <w:pStyle w:val="Heading3"/>
        <w:spacing w:before="240" w:after="120"/>
      </w:pPr>
      <w:r>
        <w:rPr>
          <w:rFonts w:ascii="Calibri Light" w:hAnsi="Calibri Light"/>
          <w:color w:val="595959"/>
          <w:sz w:val="24"/>
        </w:rPr>
        <w:t>Execution Commands</w:t>
      </w:r>
    </w:p>
    <w:p>
      <w:pPr>
        <w:pStyle w:val="ListBullet"/>
        <w:spacing w:after="60"/>
      </w:pPr>
      <w:r/>
      <w:r>
        <w:rPr>
          <w:b/>
        </w:rPr>
        <w:t>Run the ETL Pipeline (Incremental)</w:t>
      </w:r>
      <w:r>
        <w:t>:</w:t>
      </w:r>
    </w:p>
    <w:p>
      <w:pPr>
        <w:spacing w:after="120" w:before="120"/>
        <w:ind w:left="360"/>
      </w:pPr>
      <w:r>
        <w:rPr>
          <w:rFonts w:ascii="Courier New" w:hAnsi="Courier New"/>
          <w:color w:val="3C3C3C"/>
          <w:sz w:val="19"/>
        </w:rPr>
        <w:t xml:space="preserve">   python -m src.pipeline</w:t>
        <w:br/>
      </w:r>
    </w:p>
    <w:p>
      <w:pPr>
        <w:pStyle w:val="ListBullet"/>
        <w:spacing w:after="60"/>
      </w:pPr>
      <w:r/>
      <w:r>
        <w:rPr>
          <w:b/>
        </w:rPr>
        <w:t>Run the ETL Pipeline (Clear &amp; Fresh Reload)</w:t>
      </w:r>
      <w:r>
        <w:t>:</w:t>
      </w:r>
    </w:p>
    <w:p>
      <w:pPr>
        <w:spacing w:after="120" w:before="120"/>
        <w:ind w:left="360"/>
      </w:pPr>
      <w:r>
        <w:rPr>
          <w:rFonts w:ascii="Courier New" w:hAnsi="Courier New"/>
          <w:color w:val="3C3C3C"/>
          <w:sz w:val="19"/>
        </w:rPr>
        <w:t xml:space="preserve">   python -m src.pipeline --reset</w:t>
        <w:br/>
      </w:r>
    </w:p>
    <w:p>
      <w:pPr>
        <w:pStyle w:val="ListBullet"/>
        <w:spacing w:after="60"/>
      </w:pPr>
      <w:r/>
      <w:r>
        <w:rPr>
          <w:b/>
        </w:rPr>
        <w:t>Launch the Web Dashboard</w:t>
      </w:r>
      <w:r>
        <w:t>:</w:t>
      </w:r>
    </w:p>
    <w:p>
      <w:pPr>
        <w:spacing w:after="120" w:before="120"/>
        <w:ind w:left="360"/>
      </w:pPr>
      <w:r>
        <w:rPr>
          <w:rFonts w:ascii="Courier New" w:hAnsi="Courier New"/>
          <w:color w:val="3C3C3C"/>
          <w:sz w:val="19"/>
        </w:rPr>
        <w:t xml:space="preserve">   python ui/app.py</w:t>
        <w:br/>
      </w:r>
    </w:p>
    <w:p>
      <w:pPr>
        <w:spacing w:after="120" w:line="276" w:lineRule="auto"/>
      </w:pPr>
      <w:r>
        <w:t xml:space="preserve">Open </w:t>
      </w:r>
      <w:r>
        <w:rPr>
          <w:b/>
        </w:rPr>
        <w:t>`http://localhost:5000`</w:t>
      </w:r>
      <w:r>
        <w:t xml:space="preserve"> in your browser.</w:t>
      </w:r>
    </w:p>
    <w:p>
      <w:pPr>
        <w:pStyle w:val="ListBullet"/>
        <w:spacing w:after="60"/>
      </w:pPr>
      <w:r/>
      <w:r>
        <w:rPr>
          <w:b/>
        </w:rPr>
        <w:t>Run the Unit Test Suites</w:t>
      </w:r>
      <w:r>
        <w:t>:</w:t>
      </w:r>
    </w:p>
    <w:p>
      <w:pPr>
        <w:spacing w:after="120" w:before="120"/>
        <w:ind w:left="360"/>
      </w:pPr>
      <w:r>
        <w:rPr>
          <w:rFonts w:ascii="Courier New" w:hAnsi="Courier New"/>
          <w:color w:val="3C3C3C"/>
          <w:sz w:val="19"/>
        </w:rPr>
        <w:t xml:space="preserve">   python tests/test_standardize.py</w:t>
        <w:br/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120"/>
      </w:pPr>
      <w:r>
        <w:rPr>
          <w:rFonts w:ascii="Calibri Light" w:hAnsi="Calibri Light"/>
          <w:color w:val="2E75B6"/>
          <w:sz w:val="28"/>
        </w:rPr>
        <w:t>8. Clinical Safety &amp; Audit Capabilities</w:t>
      </w:r>
    </w:p>
    <w:p>
      <w:pPr>
        <w:spacing w:after="120" w:line="276" w:lineRule="auto"/>
      </w:pPr>
      <w:r>
        <w:t>Standardization must never happen silently behind the scenes. This platform ensures clinical safety in two ways:</w:t>
      </w:r>
    </w:p>
    <w:p>
      <w:pPr>
        <w:pStyle w:val="ListNumber"/>
        <w:spacing w:after="60"/>
      </w:pPr>
      <w:r/>
      <w:r>
        <w:rPr>
          <w:b/>
        </w:rPr>
        <w:t>The Ingestion Errors Log</w:t>
      </w:r>
      <w:r>
        <w:t xml:space="preserve">: Tracks files containing corrupt structures or missing key demographics (e.g. missing </w:t>
      </w:r>
      <w:r>
        <w:rPr>
          <w:rFonts w:ascii="Courier New" w:hAnsi="Courier New"/>
          <w:color w:val="C7254E"/>
          <w:sz w:val="20"/>
        </w:rPr>
        <w:t>patientName</w:t>
      </w:r>
      <w:r>
        <w:t>). This prevents claims from being lost in the system.</w:t>
      </w:r>
    </w:p>
    <w:p>
      <w:pPr>
        <w:pStyle w:val="ListNumber"/>
        <w:spacing w:after="60"/>
      </w:pPr>
      <w:r/>
      <w:r>
        <w:rPr>
          <w:b/>
        </w:rPr>
        <w:t>The Flagged Anomalies Queue</w:t>
      </w:r>
      <w:r>
        <w:t>: Any clinical item that is out of bounds or has an unparseable result (such as textual values where numbers were expected) is diverted here. A human clinical editor can inspect the audit trail, examine raw vs. canonical outputs, and manually approve or reject the claim.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120"/>
      </w:pPr>
      <w:r>
        <w:rPr>
          <w:rFonts w:ascii="Calibri Light" w:hAnsi="Calibri Light"/>
          <w:color w:val="2E75B6"/>
          <w:sz w:val="28"/>
        </w:rPr>
        <w:t>9. Future Production Architecture Additions</w:t>
      </w:r>
    </w:p>
    <w:p>
      <w:pPr>
        <w:spacing w:after="120" w:line="276" w:lineRule="auto"/>
      </w:pPr>
      <w:r>
        <w:t>For enterprise-scale production, the following enhancements are planned:</w:t>
      </w:r>
    </w:p>
    <w:p>
      <w:pPr>
        <w:pStyle w:val="ListNumber"/>
        <w:spacing w:after="60"/>
      </w:pPr>
      <w:r/>
      <w:r>
        <w:rPr>
          <w:b/>
        </w:rPr>
        <w:t>Dynamic Config Generation via LLM</w:t>
      </w:r>
      <w:r>
        <w:t xml:space="preserve">: Integrating Google Gemini to parse uploaded raw files, automatically generate new alias and dictionary configuration entries in </w:t>
      </w:r>
      <w:r>
        <w:rPr>
          <w:rFonts w:ascii="Courier New" w:hAnsi="Courier New"/>
          <w:color w:val="C7254E"/>
          <w:sz w:val="20"/>
        </w:rPr>
        <w:t>config/</w:t>
      </w:r>
      <w:r>
        <w:t>, and save them. This eliminates the need to manually build YAML files for new clinics.</w:t>
      </w:r>
    </w:p>
    <w:p>
      <w:pPr>
        <w:pStyle w:val="ListNumber"/>
        <w:spacing w:after="60"/>
      </w:pPr>
      <w:r/>
      <w:r>
        <w:rPr>
          <w:b/>
        </w:rPr>
        <w:t>Standard Vocabulary Mapping</w:t>
      </w:r>
      <w:r>
        <w:t>: Seeding dictionaries using clinical standards (LOINC for lab tests, RxNorm/Snomed-CT for medications).</w:t>
      </w:r>
    </w:p>
    <w:p>
      <w:pPr>
        <w:pStyle w:val="ListNumber"/>
        <w:spacing w:after="60"/>
      </w:pPr>
      <w:r/>
      <w:r>
        <w:rPr>
          <w:b/>
        </w:rPr>
        <w:t>Cloud Native Storage</w:t>
      </w:r>
      <w:r>
        <w:t>: Replacing local disk polling with cloud object stores (Google Cloud Storage or AWS S3) triggering automated cloud functions (e.g. Cloud Run, AWS Lambda) upon file upload.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