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color w:val="F58220"/>
          <w:sz w:val="26"/>
        </w:rPr>
        <w:t>DEEKSHAAM BUSINESS SCHOOL</w:t>
      </w:r>
    </w:p>
    <w:p>
      <w:pPr>
        <w:spacing w:after="80"/>
        <w:jc w:val="center"/>
      </w:pPr>
      <w:r>
        <w:rPr>
          <w:b/>
          <w:color w:val="111827"/>
          <w:sz w:val="54"/>
        </w:rPr>
        <w:t>Website Audit, Digital Campus Demo &amp; Future Product Roadmap</w:t>
      </w:r>
    </w:p>
    <w:p>
      <w:pPr>
        <w:spacing w:after="360"/>
        <w:jc w:val="center"/>
      </w:pPr>
      <w:r>
        <w:rPr>
          <w:color w:val="667085"/>
          <w:sz w:val="24"/>
        </w:rPr>
        <w:t>Client-facing report for owner approval before codebase handover</w:t>
      </w:r>
    </w:p>
    <w:tbl>
      <w:tblPr>
        <w:tblW w:type="auto" w:w="0"/>
        <w:jc w:val="center"/>
        <w:tblLook w:firstColumn="1" w:firstRow="1" w:lastColumn="0" w:lastRow="0" w:noHBand="0" w:noVBand="1" w:val="04A0"/>
      </w:tblPr>
      <w:tblGrid>
        <w:gridCol w:w="10368"/>
      </w:tblGrid>
      <w:tr>
        <w:tc>
          <w:tcPr>
            <w:tcW w:type="dxa" w:w="10368"/>
            <w:shd w:fill="FFF7EF"/>
            <w:tcBorders>
              <w:top w:val="single" w:sz="4" w:space="0" w:color="F58220"/>
              <w:left w:val="single" w:sz="4" w:space="0" w:color="F58220"/>
              <w:bottom w:val="single" w:sz="4" w:space="0" w:color="F58220"/>
              <w:right w:val="single" w:sz="4" w:space="0" w:color="F58220"/>
            </w:tcBorders>
          </w:tcPr>
          <w:p>
            <w:pPr>
              <w:spacing w:after="60"/>
            </w:pPr>
            <w:r>
              <w:rPr>
                <w:b/>
                <w:color w:val="F58220"/>
                <w:sz w:val="20"/>
              </w:rPr>
              <w:t>Purpose of this document</w:t>
            </w:r>
          </w:p>
          <w:p>
            <w:pPr>
              <w:spacing w:after="0"/>
            </w:pPr>
            <w:r>
              <w:rPr>
                <w:sz w:val="19"/>
              </w:rPr>
              <w:t>Explain what was wrong with the original website, what has been created in the new Digital Campus V2 app, and what should be added after owner approval to turn it into a complete production platform.</w:t>
            </w:r>
          </w:p>
        </w:tc>
      </w:tr>
    </w:tbl>
    <w:p>
      <w:pPr>
        <w:spacing w:before="440"/>
        <w:jc w:val="center"/>
      </w:pPr>
      <w:r>
        <w:rPr>
          <w:sz w:val="20"/>
        </w:rPr>
        <w:t>Prepared for review: 19 September 2026</w:t>
      </w:r>
    </w:p>
    <w:p>
      <w:r>
        <w:br w:type="page"/>
      </w:r>
    </w:p>
    <w:p>
      <w:pPr>
        <w:pStyle w:val="Heading1"/>
      </w:pPr>
      <w:r>
        <w:t>1. Executive summary</w:t>
      </w:r>
    </w:p>
    <w:p>
      <w:pPr>
        <w:spacing w:after="100" w:line="269" w:lineRule="auto"/>
      </w:pPr>
      <w:r>
        <w:t>The original Deekshaam website has useful academic content and institutional signals, but its public experience is weakened by demo-course contamination, placeholder team content, inconsistent program data, fragmented admissions, broad data collection, outdated messaging and weak trust architecture. These are not just design issues; they directly affect credibility, student confidence and lead conversion.</w:t>
      </w:r>
    </w:p>
    <w:p>
      <w:pPr>
        <w:spacing w:after="100" w:line="269" w:lineRule="auto"/>
      </w:pPr>
      <w:r>
        <w:t>The new Deekshaam Digital Campus V2 app is designed as a production-style replacement experience. It reorganizes the institute around student, parent and admissions journeys; centralizes content; includes programs, certifications, compare views, application flow, tracking, parent journey, placements, campus visit and AI-ready interface; and prepares the frontend for future API/CMS/CRM integration.</w:t>
      </w:r>
    </w:p>
    <w:tbl>
      <w:tblPr>
        <w:tblW w:type="auto" w:w="0"/>
        <w:jc w:val="center"/>
        <w:tblLook w:firstColumn="1" w:firstRow="1" w:lastColumn="0" w:lastRow="0" w:noHBand="0" w:noVBand="1" w:val="04A0"/>
      </w:tblPr>
      <w:tblGrid>
        <w:gridCol w:w="10368"/>
      </w:tblGrid>
      <w:tr>
        <w:tc>
          <w:tcPr>
            <w:tcW w:type="dxa" w:w="10368"/>
            <w:shd w:fill="FFF7EF"/>
            <w:tcBorders>
              <w:top w:val="single" w:sz="4" w:space="0" w:color="166534"/>
              <w:left w:val="single" w:sz="4" w:space="0" w:color="166534"/>
              <w:bottom w:val="single" w:sz="4" w:space="0" w:color="166534"/>
              <w:right w:val="single" w:sz="4" w:space="0" w:color="166534"/>
            </w:tcBorders>
          </w:tcPr>
          <w:p>
            <w:pPr>
              <w:spacing w:after="60"/>
            </w:pPr>
            <w:r>
              <w:rPr>
                <w:b/>
                <w:color w:val="166534"/>
                <w:sz w:val="20"/>
              </w:rPr>
              <w:t>Recommended client message</w:t>
            </w:r>
          </w:p>
          <w:p>
            <w:pPr>
              <w:spacing w:after="0"/>
            </w:pPr>
            <w:r>
              <w:rPr>
                <w:sz w:val="19"/>
              </w:rPr>
              <w:t>We audited the current website first, created a realistic replacement experience, and can now connect this approved experience to your real codebase, CMS, admissions, CRM, payment and AI systems.</w:t>
            </w:r>
          </w:p>
        </w:tc>
      </w:tr>
    </w:tbl>
    <w:p>
      <w:pPr>
        <w:pStyle w:val="Heading2"/>
      </w:pPr>
      <w:r>
        <w:t>Overall diagnosis</w:t>
      </w:r>
    </w:p>
    <w:tbl>
      <w:tblPr>
        <w:tblW w:type="auto" w:w="0"/>
        <w:jc w:val="center"/>
        <w:tblLayout w:type="autofit"/>
        <w:tblLook w:firstColumn="1" w:firstRow="1" w:lastColumn="0" w:lastRow="0" w:noHBand="0" w:noVBand="1" w:val="04A0"/>
      </w:tblPr>
      <w:tblGrid>
        <w:gridCol w:w="5184"/>
        <w:gridCol w:w="5184"/>
      </w:tblGrid>
      <w:tr>
        <w:tc>
          <w:tcPr>
            <w:tcW w:type="dxa" w:w="5184"/>
            <w:vAlign w:val="center"/>
            <w:tcBorders>
              <w:top w:val="single" w:sz="4" w:space="0" w:color="E5E7EB"/>
              <w:left w:val="single" w:sz="4" w:space="0" w:color="E5E7EB"/>
              <w:bottom w:val="single" w:sz="4" w:space="0" w:color="E5E7EB"/>
              <w:right w:val="single" w:sz="4" w:space="0" w:color="E5E7EB"/>
            </w:tcBorders>
            <w:shd w:fill="1F2933"/>
          </w:tcPr>
          <w:p>
            <w:pPr>
              <w:spacing w:after="0" w:line="252" w:lineRule="auto"/>
              <w:jc w:val="left"/>
            </w:pPr>
            <w:r>
              <w:rPr>
                <w:b/>
                <w:color w:val="FFFFFF"/>
                <w:sz w:val="18"/>
              </w:rPr>
            </w:r>
            <w:r>
              <w:rPr>
                <w:b/>
                <w:color w:val="FFFFFF"/>
                <w:sz w:val="18"/>
              </w:rPr>
              <w:t>Area</w:t>
            </w:r>
          </w:p>
        </w:tc>
        <w:tc>
          <w:tcPr>
            <w:tcW w:type="dxa" w:w="5184"/>
            <w:vAlign w:val="center"/>
            <w:tcBorders>
              <w:top w:val="single" w:sz="4" w:space="0" w:color="E5E7EB"/>
              <w:left w:val="single" w:sz="4" w:space="0" w:color="E5E7EB"/>
              <w:bottom w:val="single" w:sz="4" w:space="0" w:color="E5E7EB"/>
              <w:right w:val="single" w:sz="4" w:space="0" w:color="E5E7EB"/>
            </w:tcBorders>
            <w:shd w:fill="1F2933"/>
          </w:tcPr>
          <w:p>
            <w:pPr>
              <w:spacing w:after="0" w:line="252" w:lineRule="auto"/>
              <w:jc w:val="left"/>
            </w:pPr>
            <w:r>
              <w:rPr>
                <w:b/>
                <w:color w:val="FFFFFF"/>
                <w:sz w:val="18"/>
              </w:rPr>
            </w:r>
            <w:r>
              <w:rPr>
                <w:b/>
                <w:color w:val="FFFFFF"/>
                <w:sz w:val="18"/>
              </w:rPr>
              <w:t>Assessment</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Original website</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Has real program/facility/contact foundations, but still exposes template residue, inconsistent academic data and weak admissions flow.</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Created V2 app</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A replacement-grade Digital Campus frontend: structured content, real routes, admissions journey, parent journey, program comparison and future AI entry.</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Next phase after approval</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Connect real backend, CMS, CRM, document upload, payment reconciliation, analytics, AI/RAG, security, accessibility and performance testing.</w:t>
            </w:r>
          </w:p>
        </w:tc>
      </w:tr>
    </w:tbl>
    <w:p>
      <w:r>
        <w:br w:type="page"/>
      </w:r>
    </w:p>
    <w:p>
      <w:pPr>
        <w:pStyle w:val="Heading1"/>
      </w:pPr>
      <w:r>
        <w:t>2. What is already present on the original website</w:t>
      </w:r>
    </w:p>
    <w:p>
      <w:pPr>
        <w:spacing w:after="100" w:line="269" w:lineRule="auto"/>
      </w:pPr>
      <w:r>
        <w:t>The existing website is not empty and should not be treated as a total waste. It already contains several assets that can be reused after verification.</w:t>
      </w:r>
    </w:p>
    <w:tbl>
      <w:tblPr>
        <w:tblW w:type="auto" w:w="0"/>
        <w:jc w:val="center"/>
        <w:tblLayout w:type="autofit"/>
        <w:tblLook w:firstColumn="1" w:firstRow="1" w:lastColumn="0" w:lastRow="0" w:noHBand="0" w:noVBand="1" w:val="04A0"/>
      </w:tblPr>
      <w:tblGrid>
        <w:gridCol w:w="5184"/>
        <w:gridCol w:w="5184"/>
      </w:tblGrid>
      <w:tr>
        <w:tc>
          <w:tcPr>
            <w:tcW w:type="dxa" w:w="5184"/>
            <w:vAlign w:val="center"/>
            <w:tcBorders>
              <w:top w:val="single" w:sz="4" w:space="0" w:color="E5E7EB"/>
              <w:left w:val="single" w:sz="4" w:space="0" w:color="E5E7EB"/>
              <w:bottom w:val="single" w:sz="4" w:space="0" w:color="E5E7EB"/>
              <w:right w:val="single" w:sz="4" w:space="0" w:color="E5E7EB"/>
            </w:tcBorders>
            <w:shd w:fill="1F2933"/>
          </w:tcPr>
          <w:p>
            <w:pPr>
              <w:spacing w:after="0" w:line="252" w:lineRule="auto"/>
              <w:jc w:val="left"/>
            </w:pPr>
            <w:r>
              <w:rPr>
                <w:b/>
                <w:color w:val="FFFFFF"/>
                <w:sz w:val="18"/>
              </w:rPr>
            </w:r>
            <w:r>
              <w:rPr>
                <w:b/>
                <w:color w:val="FFFFFF"/>
                <w:sz w:val="18"/>
              </w:rPr>
              <w:t>Existing asset</w:t>
            </w:r>
          </w:p>
        </w:tc>
        <w:tc>
          <w:tcPr>
            <w:tcW w:type="dxa" w:w="5184"/>
            <w:vAlign w:val="center"/>
            <w:tcBorders>
              <w:top w:val="single" w:sz="4" w:space="0" w:color="E5E7EB"/>
              <w:left w:val="single" w:sz="4" w:space="0" w:color="E5E7EB"/>
              <w:bottom w:val="single" w:sz="4" w:space="0" w:color="E5E7EB"/>
              <w:right w:val="single" w:sz="4" w:space="0" w:color="E5E7EB"/>
            </w:tcBorders>
            <w:shd w:fill="1F2933"/>
          </w:tcPr>
          <w:p>
            <w:pPr>
              <w:spacing w:after="0" w:line="252" w:lineRule="auto"/>
              <w:jc w:val="left"/>
            </w:pPr>
            <w:r>
              <w:rPr>
                <w:b/>
                <w:color w:val="FFFFFF"/>
                <w:sz w:val="18"/>
              </w:rPr>
            </w:r>
            <w:r>
              <w:rPr>
                <w:b/>
                <w:color w:val="FFFFFF"/>
                <w:sz w:val="18"/>
              </w:rPr>
              <w:t>How it helps the rebuild</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Institution identity</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Deekshaam Business School managed by Deeksha Education Trust, with public claims around approval/recognition/affiliation. [S1]</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Undergraduate programs</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BBA, BCA and B.Com are present in the public academic navigation. [S1]</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Certification positioning</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Certification admissions are promoted for Digital Marketing, AI/ML, Data Science and Data Analytics. [S1]</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Facilities</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Faculty, job-oriented skills lab, free WiFi, cafeteria and residential hostel are mentioned. [S1]</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Industry/career proof</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The homepage publishes an employer-logo section under “Organizations where our students work.” [S1]</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Leadership and mission</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About page includes vision, mission, leadership and current team content. [S2]</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Admissions entry points</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Homepage contains Apply Online and Pay Admission Fee links. [S1]</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Contact information</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Phone number and Venkatpura, Kundana, Devanahalli Taluk, Bangalore address are published. [S1]</w:t>
            </w:r>
          </w:p>
        </w:tc>
      </w:tr>
    </w:tbl>
    <w:p>
      <w:pPr>
        <w:spacing w:after="100" w:line="269" w:lineRule="auto"/>
      </w:pPr>
      <w:r>
        <w:t>Reuse strategy: retain the verified program direction, contact details, facilities, employer logos and real leadership. Remove or rewrite anything that creates doubt, including imported content, placeholders, stale dates and inconsistent fee/program labels.</w:t>
      </w:r>
    </w:p>
    <w:p>
      <w:r>
        <w:br w:type="page"/>
      </w:r>
    </w:p>
    <w:p>
      <w:pPr>
        <w:pStyle w:val="Heading1"/>
      </w:pPr>
      <w:r>
        <w:t>3. What is wrong with the original website</w:t>
      </w:r>
    </w:p>
    <w:p>
      <w:pPr>
        <w:pStyle w:val="Heading2"/>
      </w:pPr>
      <w:r>
        <w:t>3.1 Critical and high-priority issues</w:t>
      </w:r>
    </w:p>
    <w:tbl>
      <w:tblPr>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center"/>
            <w:tcBorders>
              <w:top w:val="single" w:sz="4" w:space="0" w:color="E5E7EB"/>
              <w:left w:val="single" w:sz="4" w:space="0" w:color="E5E7EB"/>
              <w:bottom w:val="single" w:sz="4" w:space="0" w:color="E5E7EB"/>
              <w:right w:val="single" w:sz="4" w:space="0" w:color="E5E7EB"/>
            </w:tcBorders>
            <w:shd w:fill="1F2933"/>
          </w:tcPr>
          <w:p>
            <w:pPr>
              <w:spacing w:after="0" w:line="252" w:lineRule="auto"/>
              <w:jc w:val="left"/>
            </w:pPr>
            <w:r>
              <w:rPr>
                <w:b/>
                <w:color w:val="FFFFFF"/>
                <w:sz w:val="18"/>
              </w:rPr>
            </w:r>
            <w:r>
              <w:rPr>
                <w:b/>
                <w:color w:val="FFFFFF"/>
                <w:sz w:val="18"/>
              </w:rPr>
              <w:t>Severity</w:t>
            </w:r>
          </w:p>
        </w:tc>
        <w:tc>
          <w:tcPr>
            <w:tcW w:type="dxa" w:w="2592"/>
            <w:vAlign w:val="center"/>
            <w:tcBorders>
              <w:top w:val="single" w:sz="4" w:space="0" w:color="E5E7EB"/>
              <w:left w:val="single" w:sz="4" w:space="0" w:color="E5E7EB"/>
              <w:bottom w:val="single" w:sz="4" w:space="0" w:color="E5E7EB"/>
              <w:right w:val="single" w:sz="4" w:space="0" w:color="E5E7EB"/>
            </w:tcBorders>
            <w:shd w:fill="1F2933"/>
          </w:tcPr>
          <w:p>
            <w:pPr>
              <w:spacing w:after="0" w:line="252" w:lineRule="auto"/>
              <w:jc w:val="left"/>
            </w:pPr>
            <w:r>
              <w:rPr>
                <w:b/>
                <w:color w:val="FFFFFF"/>
                <w:sz w:val="18"/>
              </w:rPr>
            </w:r>
            <w:r>
              <w:rPr>
                <w:b/>
                <w:color w:val="FFFFFF"/>
                <w:sz w:val="18"/>
              </w:rPr>
              <w:t>Issue</w:t>
            </w:r>
          </w:p>
        </w:tc>
        <w:tc>
          <w:tcPr>
            <w:tcW w:type="dxa" w:w="2592"/>
            <w:vAlign w:val="center"/>
            <w:tcBorders>
              <w:top w:val="single" w:sz="4" w:space="0" w:color="E5E7EB"/>
              <w:left w:val="single" w:sz="4" w:space="0" w:color="E5E7EB"/>
              <w:bottom w:val="single" w:sz="4" w:space="0" w:color="E5E7EB"/>
              <w:right w:val="single" w:sz="4" w:space="0" w:color="E5E7EB"/>
            </w:tcBorders>
            <w:shd w:fill="1F2933"/>
          </w:tcPr>
          <w:p>
            <w:pPr>
              <w:spacing w:after="0" w:line="252" w:lineRule="auto"/>
              <w:jc w:val="left"/>
            </w:pPr>
            <w:r>
              <w:rPr>
                <w:b/>
                <w:color w:val="FFFFFF"/>
                <w:sz w:val="18"/>
              </w:rPr>
            </w:r>
            <w:r>
              <w:rPr>
                <w:b/>
                <w:color w:val="FFFFFF"/>
                <w:sz w:val="18"/>
              </w:rPr>
              <w:t>Evidence</w:t>
            </w:r>
          </w:p>
        </w:tc>
        <w:tc>
          <w:tcPr>
            <w:tcW w:type="dxa" w:w="2592"/>
            <w:vAlign w:val="center"/>
            <w:tcBorders>
              <w:top w:val="single" w:sz="4" w:space="0" w:color="E5E7EB"/>
              <w:left w:val="single" w:sz="4" w:space="0" w:color="E5E7EB"/>
              <w:bottom w:val="single" w:sz="4" w:space="0" w:color="E5E7EB"/>
              <w:right w:val="single" w:sz="4" w:space="0" w:color="E5E7EB"/>
            </w:tcBorders>
            <w:shd w:fill="1F2933"/>
          </w:tcPr>
          <w:p>
            <w:pPr>
              <w:spacing w:after="0" w:line="252" w:lineRule="auto"/>
              <w:jc w:val="left"/>
            </w:pPr>
            <w:r>
              <w:rPr>
                <w:b/>
                <w:color w:val="FFFFFF"/>
                <w:sz w:val="18"/>
              </w:rPr>
            </w:r>
            <w:r>
              <w:rPr>
                <w:b/>
                <w:color w:val="FFFFFF"/>
                <w:sz w:val="18"/>
              </w:rPr>
              <w:t>Recommended correction</w:t>
            </w:r>
          </w:p>
        </w:tc>
      </w:tr>
      <w:tr>
        <w:tc>
          <w:tcPr>
            <w:tcW w:type="dxa" w:w="2592"/>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B91C1C"/>
                <w:sz w:val="17"/>
              </w:rPr>
              <w:t>Critical</w:t>
            </w:r>
          </w:p>
        </w:tc>
        <w:tc>
          <w:tcPr>
            <w:tcW w:type="dxa" w:w="2592"/>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7"/>
              </w:rPr>
              <w:t>Template/demo course archive is public</w:t>
            </w:r>
          </w:p>
        </w:tc>
        <w:tc>
          <w:tcPr>
            <w:tcW w:type="dxa" w:w="2592"/>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6"/>
              </w:rPr>
              <w:t>The Courses archive exposes unrelated LMS-style courses such as graphic design, Photoshop, DSLR photography and other generic courses, creating credibility and SEO contamination. [S3]</w:t>
            </w:r>
          </w:p>
        </w:tc>
        <w:tc>
          <w:tcPr>
            <w:tcW w:type="dxa" w:w="2592"/>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6"/>
              </w:rPr>
              <w:t>Unpublish, redirect or noindex irrelevant course archive pages; rebuild course taxonomy around real programs/certifications.</w:t>
            </w:r>
          </w:p>
        </w:tc>
      </w:tr>
      <w:tr>
        <w:tc>
          <w:tcPr>
            <w:tcW w:type="dxa" w:w="2592"/>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B91C1C"/>
                <w:sz w:val="17"/>
              </w:rPr>
              <w:t>Critical</w:t>
            </w:r>
          </w:p>
        </w:tc>
        <w:tc>
          <w:tcPr>
            <w:tcW w:type="dxa" w:w="2592"/>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7"/>
              </w:rPr>
              <w:t>Placeholder staff and lorem ipsum are public</w:t>
            </w:r>
          </w:p>
        </w:tc>
        <w:tc>
          <w:tcPr>
            <w:tcW w:type="dxa" w:w="2592"/>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6"/>
              </w:rPr>
              <w:t>About page includes Creed Hall, Zayn Nelson and Capria Adams with placeholder lorem-ipsum descriptions. [S2]</w:t>
            </w:r>
          </w:p>
        </w:tc>
        <w:tc>
          <w:tcPr>
            <w:tcW w:type="dxa" w:w="2592"/>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6"/>
              </w:rPr>
              <w:t>Remove fake/placeholder staff and replace with verified faculty/leadership profiles.</w:t>
            </w:r>
          </w:p>
        </w:tc>
      </w:tr>
      <w:tr>
        <w:tc>
          <w:tcPr>
            <w:tcW w:type="dxa" w:w="2592"/>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B91C1C"/>
                <w:sz w:val="17"/>
              </w:rPr>
              <w:t>Critical</w:t>
            </w:r>
          </w:p>
        </w:tc>
        <w:tc>
          <w:tcPr>
            <w:tcW w:type="dxa" w:w="2592"/>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7"/>
              </w:rPr>
              <w:t>Program and fee content is inconsistent</w:t>
            </w:r>
          </w:p>
        </w:tc>
        <w:tc>
          <w:tcPr>
            <w:tcW w:type="dxa" w:w="2592"/>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6"/>
              </w:rPr>
              <w:t>BCA and B.Com fee sections are labelled “BBA Business Analytics,” and the BCA page references B.Sc. Data Science inside the BCA journey. [S4][S5]</w:t>
            </w:r>
          </w:p>
        </w:tc>
        <w:tc>
          <w:tcPr>
            <w:tcW w:type="dxa" w:w="2592"/>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6"/>
              </w:rPr>
              <w:t>Move fees, eligibility and curriculum into a structured CMS data model with owner sign-off.</w:t>
            </w:r>
          </w:p>
        </w:tc>
      </w:tr>
      <w:tr>
        <w:tc>
          <w:tcPr>
            <w:tcW w:type="dxa" w:w="2592"/>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B45309"/>
                <w:sz w:val="17"/>
              </w:rPr>
              <w:t>High</w:t>
            </w:r>
          </w:p>
        </w:tc>
        <w:tc>
          <w:tcPr>
            <w:tcW w:type="dxa" w:w="2592"/>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7"/>
              </w:rPr>
              <w:t>Admissions flow is fragmented</w:t>
            </w:r>
          </w:p>
        </w:tc>
        <w:tc>
          <w:tcPr>
            <w:tcW w:type="dxa" w:w="2592"/>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6"/>
              </w:rPr>
              <w:t>Apply and fee payment leave the site through Google Form and PayU links rather than a unified admissions platform. [S1]</w:t>
            </w:r>
          </w:p>
        </w:tc>
        <w:tc>
          <w:tcPr>
            <w:tcW w:type="dxa" w:w="2592"/>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6"/>
              </w:rPr>
              <w:t>Create application account, application ID, status tracker, document upload, payment reconciliation and counsellor handoff.</w:t>
            </w:r>
          </w:p>
        </w:tc>
      </w:tr>
      <w:tr>
        <w:tc>
          <w:tcPr>
            <w:tcW w:type="dxa" w:w="2592"/>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B45309"/>
                <w:sz w:val="17"/>
              </w:rPr>
              <w:t>High</w:t>
            </w:r>
          </w:p>
        </w:tc>
        <w:tc>
          <w:tcPr>
            <w:tcW w:type="dxa" w:w="2592"/>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7"/>
              </w:rPr>
              <w:t>Sensitive data is collected too early</w:t>
            </w:r>
          </w:p>
        </w:tc>
        <w:tc>
          <w:tcPr>
            <w:tcW w:type="dxa" w:w="2592"/>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6"/>
              </w:rPr>
              <w:t>The public admission form requests Aadhaar, KYC document number, caste, religion, marital status, spouse name, addresses and other data. [S6]</w:t>
            </w:r>
          </w:p>
        </w:tc>
        <w:tc>
          <w:tcPr>
            <w:tcW w:type="dxa" w:w="2592"/>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6"/>
              </w:rPr>
              <w:t>Use progressive data collection and collect only what is needed at each stage; finalize with legal/compliance review.</w:t>
            </w:r>
          </w:p>
        </w:tc>
      </w:tr>
      <w:tr>
        <w:tc>
          <w:tcPr>
            <w:tcW w:type="dxa" w:w="2592"/>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B45309"/>
                <w:sz w:val="17"/>
              </w:rPr>
              <w:t>High</w:t>
            </w:r>
          </w:p>
        </w:tc>
        <w:tc>
          <w:tcPr>
            <w:tcW w:type="dxa" w:w="2592"/>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7"/>
              </w:rPr>
              <w:t>Trust counters show zero</w:t>
            </w:r>
          </w:p>
        </w:tc>
        <w:tc>
          <w:tcPr>
            <w:tcW w:type="dxa" w:w="2592"/>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6"/>
              </w:rPr>
              <w:t>Homepage placement counters show 0 students graduated, 0 opportunities and 0 recruitment partners. [S1]</w:t>
            </w:r>
          </w:p>
        </w:tc>
        <w:tc>
          <w:tcPr>
            <w:tcW w:type="dxa" w:w="2592"/>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6"/>
              </w:rPr>
              <w:t>Remove zero counters and replace with verified, dated placement/career evidence.</w:t>
            </w:r>
          </w:p>
        </w:tc>
      </w:tr>
    </w:tbl>
    <w:p>
      <w:pPr>
        <w:pStyle w:val="Heading2"/>
      </w:pPr>
      <w:r>
        <w:t>3.2 Medium-priority and maintenance issues</w:t>
      </w:r>
    </w:p>
    <w:tbl>
      <w:tblPr>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center"/>
            <w:tcBorders>
              <w:top w:val="single" w:sz="4" w:space="0" w:color="E5E7EB"/>
              <w:left w:val="single" w:sz="4" w:space="0" w:color="E5E7EB"/>
              <w:bottom w:val="single" w:sz="4" w:space="0" w:color="E5E7EB"/>
              <w:right w:val="single" w:sz="4" w:space="0" w:color="E5E7EB"/>
            </w:tcBorders>
            <w:shd w:fill="1F2933"/>
          </w:tcPr>
          <w:p>
            <w:pPr>
              <w:spacing w:after="0" w:line="252" w:lineRule="auto"/>
              <w:jc w:val="left"/>
            </w:pPr>
            <w:r>
              <w:rPr>
                <w:b/>
                <w:color w:val="FFFFFF"/>
                <w:sz w:val="18"/>
              </w:rPr>
            </w:r>
            <w:r>
              <w:rPr>
                <w:b/>
                <w:color w:val="FFFFFF"/>
                <w:sz w:val="18"/>
              </w:rPr>
              <w:t>Severity</w:t>
            </w:r>
          </w:p>
        </w:tc>
        <w:tc>
          <w:tcPr>
            <w:tcW w:type="dxa" w:w="2592"/>
            <w:vAlign w:val="center"/>
            <w:tcBorders>
              <w:top w:val="single" w:sz="4" w:space="0" w:color="E5E7EB"/>
              <w:left w:val="single" w:sz="4" w:space="0" w:color="E5E7EB"/>
              <w:bottom w:val="single" w:sz="4" w:space="0" w:color="E5E7EB"/>
              <w:right w:val="single" w:sz="4" w:space="0" w:color="E5E7EB"/>
            </w:tcBorders>
            <w:shd w:fill="1F2933"/>
          </w:tcPr>
          <w:p>
            <w:pPr>
              <w:spacing w:after="0" w:line="252" w:lineRule="auto"/>
              <w:jc w:val="left"/>
            </w:pPr>
            <w:r>
              <w:rPr>
                <w:b/>
                <w:color w:val="FFFFFF"/>
                <w:sz w:val="18"/>
              </w:rPr>
            </w:r>
            <w:r>
              <w:rPr>
                <w:b/>
                <w:color w:val="FFFFFF"/>
                <w:sz w:val="18"/>
              </w:rPr>
              <w:t>Issue</w:t>
            </w:r>
          </w:p>
        </w:tc>
        <w:tc>
          <w:tcPr>
            <w:tcW w:type="dxa" w:w="2592"/>
            <w:vAlign w:val="center"/>
            <w:tcBorders>
              <w:top w:val="single" w:sz="4" w:space="0" w:color="E5E7EB"/>
              <w:left w:val="single" w:sz="4" w:space="0" w:color="E5E7EB"/>
              <w:bottom w:val="single" w:sz="4" w:space="0" w:color="E5E7EB"/>
              <w:right w:val="single" w:sz="4" w:space="0" w:color="E5E7EB"/>
            </w:tcBorders>
            <w:shd w:fill="1F2933"/>
          </w:tcPr>
          <w:p>
            <w:pPr>
              <w:spacing w:after="0" w:line="252" w:lineRule="auto"/>
              <w:jc w:val="left"/>
            </w:pPr>
            <w:r>
              <w:rPr>
                <w:b/>
                <w:color w:val="FFFFFF"/>
                <w:sz w:val="18"/>
              </w:rPr>
            </w:r>
            <w:r>
              <w:rPr>
                <w:b/>
                <w:color w:val="FFFFFF"/>
                <w:sz w:val="18"/>
              </w:rPr>
              <w:t>Evidence</w:t>
            </w:r>
          </w:p>
        </w:tc>
        <w:tc>
          <w:tcPr>
            <w:tcW w:type="dxa" w:w="2592"/>
            <w:vAlign w:val="center"/>
            <w:tcBorders>
              <w:top w:val="single" w:sz="4" w:space="0" w:color="E5E7EB"/>
              <w:left w:val="single" w:sz="4" w:space="0" w:color="E5E7EB"/>
              <w:bottom w:val="single" w:sz="4" w:space="0" w:color="E5E7EB"/>
              <w:right w:val="single" w:sz="4" w:space="0" w:color="E5E7EB"/>
            </w:tcBorders>
            <w:shd w:fill="1F2933"/>
          </w:tcPr>
          <w:p>
            <w:pPr>
              <w:spacing w:after="0" w:line="252" w:lineRule="auto"/>
              <w:jc w:val="left"/>
            </w:pPr>
            <w:r>
              <w:rPr>
                <w:b/>
                <w:color w:val="FFFFFF"/>
                <w:sz w:val="18"/>
              </w:rPr>
            </w:r>
            <w:r>
              <w:rPr>
                <w:b/>
                <w:color w:val="FFFFFF"/>
                <w:sz w:val="18"/>
              </w:rPr>
              <w:t>Recommended correction</w:t>
            </w:r>
          </w:p>
        </w:tc>
      </w:tr>
      <w:tr>
        <w:tc>
          <w:tcPr>
            <w:tcW w:type="dxa" w:w="2592"/>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E3A8A"/>
                <w:sz w:val="17"/>
              </w:rPr>
              <w:t>Medium</w:t>
            </w:r>
          </w:p>
        </w:tc>
        <w:tc>
          <w:tcPr>
            <w:tcW w:type="dxa" w:w="2592"/>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7"/>
              </w:rPr>
              <w:t>Stale and imprecise admissions messaging</w:t>
            </w:r>
          </w:p>
        </w:tc>
        <w:tc>
          <w:tcPr>
            <w:tcW w:type="dxa" w:w="2592"/>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6"/>
              </w:rPr>
              <w:t>Homepage says “Batch Starting From 15 April” without visible year/context. [S1]</w:t>
            </w:r>
          </w:p>
        </w:tc>
        <w:tc>
          <w:tcPr>
            <w:tcW w:type="dxa" w:w="2592"/>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6"/>
              </w:rPr>
              <w:t>Drive admissions dates from CMS with expiry rules.</w:t>
            </w:r>
          </w:p>
        </w:tc>
      </w:tr>
      <w:tr>
        <w:tc>
          <w:tcPr>
            <w:tcW w:type="dxa" w:w="2592"/>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E3A8A"/>
                <w:sz w:val="17"/>
              </w:rPr>
              <w:t>Medium</w:t>
            </w:r>
          </w:p>
        </w:tc>
        <w:tc>
          <w:tcPr>
            <w:tcW w:type="dxa" w:w="2592"/>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7"/>
              </w:rPr>
              <w:t>Demo-subdomain links are visible</w:t>
            </w:r>
          </w:p>
        </w:tc>
        <w:tc>
          <w:tcPr>
            <w:tcW w:type="dxa" w:w="2592"/>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6"/>
              </w:rPr>
              <w:t>Homepage “View all news” and “More Events &amp; Workshops” route to demo.deekshaedu.in. [S1]</w:t>
            </w:r>
          </w:p>
        </w:tc>
        <w:tc>
          <w:tcPr>
            <w:tcW w:type="dxa" w:w="2592"/>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6"/>
              </w:rPr>
              <w:t>Replace with production routes or remove until content exists.</w:t>
            </w:r>
          </w:p>
        </w:tc>
      </w:tr>
      <w:tr>
        <w:tc>
          <w:tcPr>
            <w:tcW w:type="dxa" w:w="2592"/>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E3A8A"/>
                <w:sz w:val="17"/>
              </w:rPr>
              <w:t>Medium</w:t>
            </w:r>
          </w:p>
        </w:tc>
        <w:tc>
          <w:tcPr>
            <w:tcW w:type="dxa" w:w="2592"/>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7"/>
              </w:rPr>
              <w:t>Language quality undermines academic trust</w:t>
            </w:r>
          </w:p>
        </w:tc>
        <w:tc>
          <w:tcPr>
            <w:tcW w:type="dxa" w:w="2592"/>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6"/>
              </w:rPr>
              <w:t>Visible copy issues include “Worked Integrated,” “Cafetaria,” “Resediential” and “Opportunities Creates.” [S1]</w:t>
            </w:r>
          </w:p>
        </w:tc>
        <w:tc>
          <w:tcPr>
            <w:tcW w:type="dxa" w:w="2592"/>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6"/>
              </w:rPr>
              <w:t>Professional content QA workflow: academic review, marketing copy edit and compliance check before publishing.</w:t>
            </w:r>
          </w:p>
        </w:tc>
      </w:tr>
      <w:tr>
        <w:tc>
          <w:tcPr>
            <w:tcW w:type="dxa" w:w="2592"/>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E3A8A"/>
                <w:sz w:val="17"/>
              </w:rPr>
              <w:t>Medium</w:t>
            </w:r>
          </w:p>
        </w:tc>
        <w:tc>
          <w:tcPr>
            <w:tcW w:type="dxa" w:w="2592"/>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7"/>
              </w:rPr>
              <w:t>Accessibility and SEO need cleanup</w:t>
            </w:r>
          </w:p>
        </w:tc>
        <w:tc>
          <w:tcPr>
            <w:tcW w:type="dxa" w:w="2592"/>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6"/>
              </w:rPr>
              <w:t>Generic image names/alt labels and irrelevant course content weaken both user accessibility and search understanding. [S1][S3]</w:t>
            </w:r>
          </w:p>
        </w:tc>
        <w:tc>
          <w:tcPr>
            <w:tcW w:type="dxa" w:w="2592"/>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6"/>
              </w:rPr>
              <w:t>Apply WCAG 2.2 AA target, descriptive alt text, clean sitemap, canonical URLs and structured data.</w:t>
            </w:r>
          </w:p>
        </w:tc>
      </w:tr>
    </w:tbl>
    <w:p>
      <w:pPr>
        <w:spacing w:after="100" w:line="269" w:lineRule="auto"/>
      </w:pPr>
      <w:r>
        <w:t>Pattern identified: the site has useful institutional foundations, but the public experience is being weakened by old template content, copied blocks, weak data governance and disconnected admissions operations.</w:t>
      </w:r>
    </w:p>
    <w:p>
      <w:pPr>
        <w:pStyle w:val="Heading1"/>
      </w:pPr>
      <w:r>
        <w:t>4. Why these issues matter to the owner</w:t>
      </w:r>
    </w:p>
    <w:p>
      <w:pPr>
        <w:spacing w:after="100" w:line="269" w:lineRule="auto"/>
      </w:pPr>
      <w:r>
        <w:t>The owner is not only reacting to visual design. The current site creates a trust gap at several decision moments: when a parent checks legitimacy, when a student compares programs, when the admissions team asks for personal data and when users see generic/demo content mixed with real academic programs.</w:t>
      </w:r>
    </w:p>
    <w:tbl>
      <w:tblPr>
        <w:tblW w:type="auto" w:w="0"/>
        <w:jc w:val="center"/>
        <w:tblLayout w:type="autofit"/>
        <w:tblLook w:firstColumn="1" w:firstRow="1" w:lastColumn="0" w:lastRow="0" w:noHBand="0" w:noVBand="1" w:val="04A0"/>
      </w:tblPr>
      <w:tblGrid>
        <w:gridCol w:w="5184"/>
        <w:gridCol w:w="5184"/>
      </w:tblGrid>
      <w:tr>
        <w:tc>
          <w:tcPr>
            <w:tcW w:type="dxa" w:w="5184"/>
            <w:vAlign w:val="center"/>
            <w:tcBorders>
              <w:top w:val="single" w:sz="4" w:space="0" w:color="E5E7EB"/>
              <w:left w:val="single" w:sz="4" w:space="0" w:color="E5E7EB"/>
              <w:bottom w:val="single" w:sz="4" w:space="0" w:color="E5E7EB"/>
              <w:right w:val="single" w:sz="4" w:space="0" w:color="E5E7EB"/>
            </w:tcBorders>
            <w:shd w:fill="1F2933"/>
          </w:tcPr>
          <w:p>
            <w:pPr>
              <w:spacing w:after="0" w:line="252" w:lineRule="auto"/>
              <w:jc w:val="left"/>
            </w:pPr>
            <w:r>
              <w:rPr>
                <w:b/>
                <w:color w:val="FFFFFF"/>
                <w:sz w:val="18"/>
              </w:rPr>
            </w:r>
            <w:r>
              <w:rPr>
                <w:b/>
                <w:color w:val="FFFFFF"/>
                <w:sz w:val="18"/>
              </w:rPr>
              <w:t>Area</w:t>
            </w:r>
          </w:p>
        </w:tc>
        <w:tc>
          <w:tcPr>
            <w:tcW w:type="dxa" w:w="5184"/>
            <w:vAlign w:val="center"/>
            <w:tcBorders>
              <w:top w:val="single" w:sz="4" w:space="0" w:color="E5E7EB"/>
              <w:left w:val="single" w:sz="4" w:space="0" w:color="E5E7EB"/>
              <w:bottom w:val="single" w:sz="4" w:space="0" w:color="E5E7EB"/>
              <w:right w:val="single" w:sz="4" w:space="0" w:color="E5E7EB"/>
            </w:tcBorders>
            <w:shd w:fill="1F2933"/>
          </w:tcPr>
          <w:p>
            <w:pPr>
              <w:spacing w:after="0" w:line="252" w:lineRule="auto"/>
              <w:jc w:val="left"/>
            </w:pPr>
            <w:r>
              <w:rPr>
                <w:b/>
                <w:color w:val="FFFFFF"/>
                <w:sz w:val="18"/>
              </w:rPr>
            </w:r>
            <w:r>
              <w:rPr>
                <w:b/>
                <w:color w:val="FFFFFF"/>
                <w:sz w:val="18"/>
              </w:rPr>
              <w:t>Assessment</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Credibility risk</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Placeholder faculty, demo courses and zero counters make the institution look unfinished.</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Conversion risk</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External form/payment flow prevents a smooth admissions journey and makes tracking difficult.</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Data risk</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Broad sensitive data collection in an external form should be reviewed against consent, purpose limitation and retention expectations.</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SEO risk</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Irrelevant course pages can confuse search engines and dilute topical relevance.</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Maintenance risk</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Copied page blocks cause BCA/B.Com/BBA content conflicts. The same issue will return unless content is centralized.</w:t>
            </w:r>
          </w:p>
        </w:tc>
      </w:tr>
    </w:tbl>
    <w:p>
      <w:pPr>
        <w:spacing w:after="100" w:line="269" w:lineRule="auto"/>
      </w:pPr>
      <w:r>
        <w:t>The redesign objective is therefore not “make it prettier.” The real objective is to rebuild Deekshaam as a credible digital admissions and academic platform.</w:t>
      </w:r>
    </w:p>
    <w:p>
      <w:r>
        <w:br w:type="page"/>
      </w:r>
    </w:p>
    <w:p>
      <w:pPr>
        <w:pStyle w:val="Heading1"/>
      </w:pPr>
      <w:r>
        <w:t>5. What is present in the created Deekshaam Digital Campus V2 app</w:t>
      </w:r>
    </w:p>
    <w:p>
      <w:pPr>
        <w:spacing w:after="100" w:line="269" w:lineRule="auto"/>
      </w:pPr>
      <w:r>
        <w:t>The new V2 app is a client-reviewable, production-structured frontend. It is built to feel like the future website, while keeping real backend integrations isolated until the owner approves the direction.</w:t>
      </w:r>
    </w:p>
    <w:tbl>
      <w:tblPr>
        <w:tblW w:type="auto" w:w="0"/>
        <w:jc w:val="center"/>
        <w:tblLayout w:type="autofit"/>
        <w:tblLook w:firstColumn="1" w:firstRow="1" w:lastColumn="0" w:lastRow="0" w:noHBand="0" w:noVBand="1" w:val="04A0"/>
      </w:tblPr>
      <w:tblGrid>
        <w:gridCol w:w="5184"/>
        <w:gridCol w:w="5184"/>
      </w:tblGrid>
      <w:tr>
        <w:tc>
          <w:tcPr>
            <w:tcW w:type="dxa" w:w="5184"/>
            <w:vAlign w:val="center"/>
            <w:tcBorders>
              <w:top w:val="single" w:sz="4" w:space="0" w:color="E5E7EB"/>
              <w:left w:val="single" w:sz="4" w:space="0" w:color="E5E7EB"/>
              <w:bottom w:val="single" w:sz="4" w:space="0" w:color="E5E7EB"/>
              <w:right w:val="single" w:sz="4" w:space="0" w:color="E5E7EB"/>
            </w:tcBorders>
            <w:shd w:fill="1F2933"/>
          </w:tcPr>
          <w:p>
            <w:pPr>
              <w:spacing w:after="0" w:line="252" w:lineRule="auto"/>
              <w:jc w:val="left"/>
            </w:pPr>
            <w:r>
              <w:rPr>
                <w:b/>
                <w:color w:val="FFFFFF"/>
                <w:sz w:val="18"/>
              </w:rPr>
            </w:r>
            <w:r>
              <w:rPr>
                <w:b/>
                <w:color w:val="FFFFFF"/>
                <w:sz w:val="18"/>
              </w:rPr>
              <w:t>V2 area</w:t>
            </w:r>
          </w:p>
        </w:tc>
        <w:tc>
          <w:tcPr>
            <w:tcW w:type="dxa" w:w="5184"/>
            <w:vAlign w:val="center"/>
            <w:tcBorders>
              <w:top w:val="single" w:sz="4" w:space="0" w:color="E5E7EB"/>
              <w:left w:val="single" w:sz="4" w:space="0" w:color="E5E7EB"/>
              <w:bottom w:val="single" w:sz="4" w:space="0" w:color="E5E7EB"/>
              <w:right w:val="single" w:sz="4" w:space="0" w:color="E5E7EB"/>
            </w:tcBorders>
            <w:shd w:fill="1F2933"/>
          </w:tcPr>
          <w:p>
            <w:pPr>
              <w:spacing w:after="0" w:line="252" w:lineRule="auto"/>
              <w:jc w:val="left"/>
            </w:pPr>
            <w:r>
              <w:rPr>
                <w:b/>
                <w:color w:val="FFFFFF"/>
                <w:sz w:val="18"/>
              </w:rPr>
            </w:r>
            <w:r>
              <w:rPr>
                <w:b/>
                <w:color w:val="FFFFFF"/>
                <w:sz w:val="18"/>
              </w:rPr>
              <w:t>What the client can see</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Brand and layout</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Institute-style orange/charcoal/white visual system, responsive navigation, proper footer and mobile Call / Visit / Apply actions.</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Programs</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BBA, BCA and B.Com catalog, detailed program routes, eligibility, specializations, curriculum, career pathways and application entry.</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Certifications</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Professional certification catalog organized by domain: marketing/ecommerce, technology/data science and finance/business.</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Decision support</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Program Finder, Compare Programs and global search with Ctrl/Cmd + K.</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Admissions</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Admissions overview, multi-step application, save/resume behavior, generated application ID and status tracking experience.</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Parent journey</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Dedicated For Parents page addressing recognition, safety, hostel/campus, academics, fees and contact pathways.</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Placements and careers</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Employer logos already published by DBS are included; no fake salary/package/counter claims are invented.</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Campus and visit</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Campus Life, contact/location and structured campus visit booking flow.</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About</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Institution story and public leadership profiles: Pushpa B, Manoj Baitha and Dr. Tukaram.</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AI entry point</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Deeksha Guide interface driven by centralized program/certification content, ready for future verified AI/RAG integration.</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Architecture</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Centralized institutional data, shared components, router, application store, admissions gateway, lead gateway and runtime config.</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Quality</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Included smoke checks passed across 21/21 route/content tests.</w:t>
            </w:r>
          </w:p>
        </w:tc>
      </w:tr>
    </w:tbl>
    <w:p>
      <w:r>
        <w:br w:type="page"/>
      </w:r>
    </w:p>
    <w:p>
      <w:pPr>
        <w:pStyle w:val="Heading1"/>
      </w:pPr>
      <w:r>
        <w:t>6. V2 user journeys to show the client</w:t>
      </w:r>
    </w:p>
    <w:p>
      <w:pPr>
        <w:spacing w:after="100" w:line="269" w:lineRule="auto"/>
      </w:pPr>
      <w:r>
        <w:t>The walkthrough should be shown as a real digital journey rather than as disconnected screens.</w:t>
      </w:r>
    </w:p>
    <w:tbl>
      <w:tblPr>
        <w:tblW w:type="auto" w:w="0"/>
        <w:jc w:val="center"/>
        <w:tblLayout w:type="autofit"/>
        <w:tblLook w:firstColumn="1" w:firstRow="1" w:lastColumn="0" w:lastRow="0" w:noHBand="0" w:noVBand="1" w:val="04A0"/>
      </w:tblPr>
      <w:tblGrid>
        <w:gridCol w:w="5184"/>
        <w:gridCol w:w="5184"/>
      </w:tblGrid>
      <w:tr>
        <w:tc>
          <w:tcPr>
            <w:tcW w:type="dxa" w:w="5184"/>
            <w:vAlign w:val="center"/>
            <w:tcBorders>
              <w:top w:val="single" w:sz="4" w:space="0" w:color="E5E7EB"/>
              <w:left w:val="single" w:sz="4" w:space="0" w:color="E5E7EB"/>
              <w:bottom w:val="single" w:sz="4" w:space="0" w:color="E5E7EB"/>
              <w:right w:val="single" w:sz="4" w:space="0" w:color="E5E7EB"/>
            </w:tcBorders>
            <w:shd w:fill="1F2933"/>
          </w:tcPr>
          <w:p>
            <w:pPr>
              <w:spacing w:after="0" w:line="252" w:lineRule="auto"/>
              <w:jc w:val="left"/>
            </w:pPr>
            <w:r>
              <w:rPr>
                <w:b/>
                <w:color w:val="FFFFFF"/>
                <w:sz w:val="18"/>
              </w:rPr>
            </w:r>
            <w:r>
              <w:rPr>
                <w:b/>
                <w:color w:val="FFFFFF"/>
                <w:sz w:val="18"/>
              </w:rPr>
              <w:t>Area</w:t>
            </w:r>
          </w:p>
        </w:tc>
        <w:tc>
          <w:tcPr>
            <w:tcW w:type="dxa" w:w="5184"/>
            <w:vAlign w:val="center"/>
            <w:tcBorders>
              <w:top w:val="single" w:sz="4" w:space="0" w:color="E5E7EB"/>
              <w:left w:val="single" w:sz="4" w:space="0" w:color="E5E7EB"/>
              <w:bottom w:val="single" w:sz="4" w:space="0" w:color="E5E7EB"/>
              <w:right w:val="single" w:sz="4" w:space="0" w:color="E5E7EB"/>
            </w:tcBorders>
            <w:shd w:fill="1F2933"/>
          </w:tcPr>
          <w:p>
            <w:pPr>
              <w:spacing w:after="0" w:line="252" w:lineRule="auto"/>
              <w:jc w:val="left"/>
            </w:pPr>
            <w:r>
              <w:rPr>
                <w:b/>
                <w:color w:val="FFFFFF"/>
                <w:sz w:val="18"/>
              </w:rPr>
            </w:r>
            <w:r>
              <w:rPr>
                <w:b/>
                <w:color w:val="FFFFFF"/>
                <w:sz w:val="18"/>
              </w:rPr>
              <w:t>Assessment</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Student discovery</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Home -&gt; Programs -&gt; Program Finder -&gt; BCA/BBA/B.Com page -&gt; Compare Programs -&gt; Apply</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Parent decision</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Home -&gt; For Parents -&gt; Recognition/campus/fees -&gt; Campus Visit -&gt; Contact/Call</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Applicant journey</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Admissions -&gt; Apply -&gt; Save/resume -&gt; Submit -&gt; Application ID -&gt; Track Application</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Career confidence</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Placements &amp; Careers -&gt; Employer logos -&gt; Career support model -&gt; Program career pathways</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Future AI journey</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Search / Deeksha Guide -&gt; program, eligibility, admissions and campus answers from approved content</w:t>
            </w:r>
          </w:p>
        </w:tc>
      </w:tr>
    </w:tbl>
    <w:p>
      <w:pPr>
        <w:pStyle w:val="Heading2"/>
      </w:pPr>
      <w:r>
        <w:t>Recommended owner demo sequence</w:t>
      </w:r>
    </w:p>
    <w:p>
      <w:pPr>
        <w:pStyle w:val="ListNumber"/>
        <w:spacing w:after="40"/>
      </w:pPr>
      <w:r>
        <w:t>Open Home and position it as the future Deekshaam public website, not a “demo page.”</w:t>
      </w:r>
    </w:p>
    <w:p>
      <w:pPr>
        <w:pStyle w:val="ListNumber"/>
        <w:spacing w:after="40"/>
      </w:pPr>
      <w:r>
        <w:t>Open Programs and show BBA, BCA, B.Com as first-class academic routes.</w:t>
      </w:r>
    </w:p>
    <w:p>
      <w:pPr>
        <w:pStyle w:val="ListNumber"/>
        <w:spacing w:after="40"/>
      </w:pPr>
      <w:r>
        <w:t>Open BCA and show the consistent program template: overview, eligibility, curriculum and careers.</w:t>
      </w:r>
    </w:p>
    <w:p>
      <w:pPr>
        <w:pStyle w:val="ListNumber"/>
        <w:spacing w:after="40"/>
      </w:pPr>
      <w:r>
        <w:t>Open Compare Programs and explain how this reduces counsellor workload and student confusion.</w:t>
      </w:r>
    </w:p>
    <w:p>
      <w:pPr>
        <w:pStyle w:val="ListNumber"/>
        <w:spacing w:after="40"/>
      </w:pPr>
      <w:r>
        <w:t>Open Admissions, Apply, submit an owner-review application and generate an application ID.</w:t>
      </w:r>
    </w:p>
    <w:p>
      <w:pPr>
        <w:pStyle w:val="ListNumber"/>
        <w:spacing w:after="40"/>
      </w:pPr>
      <w:r>
        <w:t>Track that application ID to show the proposed post-submission journey.</w:t>
      </w:r>
    </w:p>
    <w:p>
      <w:pPr>
        <w:pStyle w:val="ListNumber"/>
        <w:spacing w:after="40"/>
      </w:pPr>
      <w:r>
        <w:t>Open For Parents, Placements, Campus, Visit Campus and Deeksha Guide to show future product depth.</w:t>
      </w:r>
    </w:p>
    <w:p>
      <w:r>
        <w:br w:type="page"/>
      </w:r>
    </w:p>
    <w:p>
      <w:pPr>
        <w:pStyle w:val="Heading1"/>
      </w:pPr>
      <w:r>
        <w:t>7. What should be added after owner approval</w:t>
      </w:r>
    </w:p>
    <w:p>
      <w:pPr>
        <w:spacing w:after="100" w:line="269" w:lineRule="auto"/>
      </w:pPr>
      <w:r>
        <w:t>After the owner approves the experience, the next phase should connect the frontend to real institutional systems and strengthen it into a production platform.</w:t>
      </w:r>
    </w:p>
    <w:tbl>
      <w:tblPr>
        <w:tblW w:type="auto" w:w="0"/>
        <w:jc w:val="center"/>
        <w:tblLayout w:type="autofit"/>
        <w:tblLook w:firstColumn="1" w:firstRow="1" w:lastColumn="0" w:lastRow="0" w:noHBand="0" w:noVBand="1" w:val="04A0"/>
      </w:tblPr>
      <w:tblGrid>
        <w:gridCol w:w="5184"/>
        <w:gridCol w:w="5184"/>
      </w:tblGrid>
      <w:tr>
        <w:tc>
          <w:tcPr>
            <w:tcW w:type="dxa" w:w="5184"/>
            <w:vAlign w:val="center"/>
            <w:tcBorders>
              <w:top w:val="single" w:sz="4" w:space="0" w:color="E5E7EB"/>
              <w:left w:val="single" w:sz="4" w:space="0" w:color="E5E7EB"/>
              <w:bottom w:val="single" w:sz="4" w:space="0" w:color="E5E7EB"/>
              <w:right w:val="single" w:sz="4" w:space="0" w:color="E5E7EB"/>
            </w:tcBorders>
            <w:shd w:fill="1F2933"/>
          </w:tcPr>
          <w:p>
            <w:pPr>
              <w:spacing w:after="0" w:line="252" w:lineRule="auto"/>
              <w:jc w:val="left"/>
            </w:pPr>
            <w:r>
              <w:rPr>
                <w:b/>
                <w:color w:val="FFFFFF"/>
                <w:sz w:val="18"/>
              </w:rPr>
            </w:r>
            <w:r>
              <w:rPr>
                <w:b/>
                <w:color w:val="FFFFFF"/>
                <w:sz w:val="18"/>
              </w:rPr>
              <w:t>Future addition</w:t>
            </w:r>
          </w:p>
        </w:tc>
        <w:tc>
          <w:tcPr>
            <w:tcW w:type="dxa" w:w="5184"/>
            <w:vAlign w:val="center"/>
            <w:tcBorders>
              <w:top w:val="single" w:sz="4" w:space="0" w:color="E5E7EB"/>
              <w:left w:val="single" w:sz="4" w:space="0" w:color="E5E7EB"/>
              <w:bottom w:val="single" w:sz="4" w:space="0" w:color="E5E7EB"/>
              <w:right w:val="single" w:sz="4" w:space="0" w:color="E5E7EB"/>
            </w:tcBorders>
            <w:shd w:fill="1F2933"/>
          </w:tcPr>
          <w:p>
            <w:pPr>
              <w:spacing w:after="0" w:line="252" w:lineRule="auto"/>
              <w:jc w:val="left"/>
            </w:pPr>
            <w:r>
              <w:rPr>
                <w:b/>
                <w:color w:val="FFFFFF"/>
                <w:sz w:val="18"/>
              </w:rPr>
            </w:r>
            <w:r>
              <w:rPr>
                <w:b/>
                <w:color w:val="FFFFFF"/>
                <w:sz w:val="18"/>
              </w:rPr>
              <w:t>Business value</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Official brand/media migration</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Replace public/review logo and images with original self-hosted SVG/PNG logo, approved campus photos and optimized WebP/AVIF assets.</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CMS and content governance</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Create structured content types for programs, fees, admissions dates, approvals, faculty, placements, events, FAQs and downloads.</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Admissions backend</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Application accounts, OTP/login, application ID, applicant database, counsellor dashboard, document upload and status workflow.</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Payment integration</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Application-linked payment, gateway reconciliation, receipt generation and payment status inside the applicant dashboard.</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CRM integration</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Lead source, campaign attribution, counsellor assignment, call/WhatsApp history and admissions stage reporting.</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AI Admissions Guide</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RAG-based assistant trained only on verified institutional content, with source links and guardrails against hallucinated fees/eligibility.</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Analytics and conversion tracking</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Track program views, brochure downloads, eligibility checks, application starts, submissions, payments and counselling bookings.</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SEO cleanup</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Remove/noindex demo pages, rebuild sitemap/canonicals, add structured data and clean search snippets.</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Accessibility</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Target WCAG 2.2 AA: keyboard navigation, focus visibility, alt text, form errors, contrast, target sizes and accessible authentication.</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Performance</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Optimize for Core Web Vitals: LCP &lt;= 2.5s, INP &lt;= 200ms and CLS &lt;= 0.1 at the 75th percentile.</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Security/privacy</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Consent notices, data minimization, role-based access, encryption, audit logs, retention rules, backup and incident process.</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Student/parent portal</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Post-admission dashboard, document status, fee receipts, counselling notes, orientation steps and onboarding checklist.</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Recruiter/alumni layer</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Verified alumni stories, recruiter collaboration, internship/project showcases and employer engagement portal.</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DevOps</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Staging/production split, CI checks, deployment rollback, monitoring, uptime alerts and error logging.</w:t>
            </w:r>
          </w:p>
        </w:tc>
      </w:tr>
    </w:tbl>
    <w:p>
      <w:r>
        <w:br w:type="page"/>
      </w:r>
    </w:p>
    <w:p>
      <w:pPr>
        <w:pStyle w:val="Heading1"/>
      </w:pPr>
      <w:r>
        <w:t>8. Future AI integration plan</w:t>
      </w:r>
    </w:p>
    <w:p>
      <w:pPr>
        <w:spacing w:after="100" w:line="269" w:lineRule="auto"/>
      </w:pPr>
      <w:r>
        <w:t>AI should not be added as a generic chatbot pasted into the corner of the website. It should become a controlled admissions and academic guidance layer connected to verified content and user journeys.</w:t>
      </w:r>
    </w:p>
    <w:tbl>
      <w:tblPr>
        <w:tblW w:type="auto" w:w="0"/>
        <w:jc w:val="center"/>
        <w:tblLayout w:type="autofit"/>
        <w:tblLook w:firstColumn="1" w:firstRow="1" w:lastColumn="0" w:lastRow="0" w:noHBand="0" w:noVBand="1" w:val="04A0"/>
      </w:tblPr>
      <w:tblGrid>
        <w:gridCol w:w="5184"/>
        <w:gridCol w:w="5184"/>
      </w:tblGrid>
      <w:tr>
        <w:tc>
          <w:tcPr>
            <w:tcW w:type="dxa" w:w="5184"/>
            <w:vAlign w:val="center"/>
            <w:tcBorders>
              <w:top w:val="single" w:sz="4" w:space="0" w:color="E5E7EB"/>
              <w:left w:val="single" w:sz="4" w:space="0" w:color="E5E7EB"/>
              <w:bottom w:val="single" w:sz="4" w:space="0" w:color="E5E7EB"/>
              <w:right w:val="single" w:sz="4" w:space="0" w:color="E5E7EB"/>
            </w:tcBorders>
            <w:shd w:fill="1F2933"/>
          </w:tcPr>
          <w:p>
            <w:pPr>
              <w:spacing w:after="0" w:line="252" w:lineRule="auto"/>
              <w:jc w:val="left"/>
            </w:pPr>
            <w:r>
              <w:rPr>
                <w:b/>
                <w:color w:val="FFFFFF"/>
                <w:sz w:val="18"/>
              </w:rPr>
            </w:r>
            <w:r>
              <w:rPr>
                <w:b/>
                <w:color w:val="FFFFFF"/>
                <w:sz w:val="18"/>
              </w:rPr>
              <w:t>Area</w:t>
            </w:r>
          </w:p>
        </w:tc>
        <w:tc>
          <w:tcPr>
            <w:tcW w:type="dxa" w:w="5184"/>
            <w:vAlign w:val="center"/>
            <w:tcBorders>
              <w:top w:val="single" w:sz="4" w:space="0" w:color="E5E7EB"/>
              <w:left w:val="single" w:sz="4" w:space="0" w:color="E5E7EB"/>
              <w:bottom w:val="single" w:sz="4" w:space="0" w:color="E5E7EB"/>
              <w:right w:val="single" w:sz="4" w:space="0" w:color="E5E7EB"/>
            </w:tcBorders>
            <w:shd w:fill="1F2933"/>
          </w:tcPr>
          <w:p>
            <w:pPr>
              <w:spacing w:after="0" w:line="252" w:lineRule="auto"/>
              <w:jc w:val="left"/>
            </w:pPr>
            <w:r>
              <w:rPr>
                <w:b/>
                <w:color w:val="FFFFFF"/>
                <w:sz w:val="18"/>
              </w:rPr>
            </w:r>
            <w:r>
              <w:rPr>
                <w:b/>
                <w:color w:val="FFFFFF"/>
                <w:sz w:val="18"/>
              </w:rPr>
              <w:t>Assessment</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Phase 1: AI-ready UX</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The V2 Deeksha Guide interface exists and is connected to centralized program/certification content.</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Phase 2: Verified knowledge base</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Clean and approve content for programs, fees, eligibility, scholarships, campus, hostel, documents and FAQs.</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Phase 3: RAG assistant</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Use retrieval-augmented generation so the assistant answers from approved Deekshaam content and shows source references.</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Phase 4: Action integration</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Let users check eligibility, compare programs, start applications, book visits and request counsellor callbacks from the assistant.</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Phase 5: Internal assistant</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Add counsellor/admin assistant for lead summary, missing document reminders, FAQ drafting and follow-up suggestions.</w:t>
            </w:r>
          </w:p>
        </w:tc>
      </w:tr>
    </w:tbl>
    <w:tbl>
      <w:tblPr>
        <w:tblW w:type="auto" w:w="0"/>
        <w:jc w:val="center"/>
        <w:tblLook w:firstColumn="1" w:firstRow="1" w:lastColumn="0" w:lastRow="0" w:noHBand="0" w:noVBand="1" w:val="04A0"/>
      </w:tblPr>
      <w:tblGrid>
        <w:gridCol w:w="10368"/>
      </w:tblGrid>
      <w:tr>
        <w:tc>
          <w:tcPr>
            <w:tcW w:type="dxa" w:w="10368"/>
            <w:shd w:fill="FFF7EF"/>
            <w:tcBorders>
              <w:top w:val="single" w:sz="4" w:space="0" w:color="B91C1C"/>
              <w:left w:val="single" w:sz="4" w:space="0" w:color="B91C1C"/>
              <w:bottom w:val="single" w:sz="4" w:space="0" w:color="B91C1C"/>
              <w:right w:val="single" w:sz="4" w:space="0" w:color="B91C1C"/>
            </w:tcBorders>
          </w:tcPr>
          <w:p>
            <w:pPr>
              <w:spacing w:after="60"/>
            </w:pPr>
            <w:r>
              <w:rPr>
                <w:b/>
                <w:color w:val="B91C1C"/>
                <w:sz w:val="20"/>
              </w:rPr>
              <w:t>AI rule</w:t>
            </w:r>
          </w:p>
          <w:p>
            <w:pPr>
              <w:spacing w:after="0"/>
            </w:pPr>
            <w:r>
              <w:rPr>
                <w:sz w:val="19"/>
              </w:rPr>
              <w:t>No AI answer should invent fees, placement data, approvals, eligibility or deadlines. Those must come from verified CMS/database sources.</w:t>
            </w:r>
          </w:p>
        </w:tc>
      </w:tr>
    </w:tbl>
    <w:p>
      <w:pPr>
        <w:pStyle w:val="Heading2"/>
      </w:pPr>
      <w:r>
        <w:t>Example future student question</w:t>
      </w:r>
    </w:p>
    <w:p>
      <w:pPr>
        <w:spacing w:after="100" w:line="269" w:lineRule="auto"/>
      </w:pPr>
      <w:r>
        <w:t>“I studied commerce and like analytics, but I do not want hardcore coding. Which program should I consider?”</w:t>
      </w:r>
    </w:p>
    <w:p>
      <w:pPr>
        <w:spacing w:after="100" w:line="269" w:lineRule="auto"/>
      </w:pPr>
      <w:r>
        <w:t>Future response should compare BBA, BCA and B.Com from the verified program database, explain eligibility, show relevant career pathways and guide the student to Apply or Speak to Counsellor.</w:t>
      </w:r>
    </w:p>
    <w:p>
      <w:r>
        <w:br w:type="page"/>
      </w:r>
    </w:p>
    <w:p>
      <w:pPr>
        <w:pStyle w:val="Heading1"/>
      </w:pPr>
      <w:r>
        <w:t>9. Recommended production roadmap</w:t>
      </w:r>
    </w:p>
    <w:tbl>
      <w:tblPr>
        <w:tblW w:type="auto" w:w="0"/>
        <w:jc w:val="center"/>
        <w:tblLayout w:type="autofit"/>
        <w:tblLook w:firstColumn="1" w:firstRow="1" w:lastColumn="0" w:lastRow="0" w:noHBand="0" w:noVBand="1" w:val="04A0"/>
      </w:tblPr>
      <w:tblGrid>
        <w:gridCol w:w="5184"/>
        <w:gridCol w:w="5184"/>
      </w:tblGrid>
      <w:tr>
        <w:tc>
          <w:tcPr>
            <w:tcW w:type="dxa" w:w="5184"/>
            <w:vAlign w:val="center"/>
            <w:tcBorders>
              <w:top w:val="single" w:sz="4" w:space="0" w:color="E5E7EB"/>
              <w:left w:val="single" w:sz="4" w:space="0" w:color="E5E7EB"/>
              <w:bottom w:val="single" w:sz="4" w:space="0" w:color="E5E7EB"/>
              <w:right w:val="single" w:sz="4" w:space="0" w:color="E5E7EB"/>
            </w:tcBorders>
            <w:shd w:fill="1F2933"/>
          </w:tcPr>
          <w:p>
            <w:pPr>
              <w:spacing w:after="0" w:line="252" w:lineRule="auto"/>
              <w:jc w:val="left"/>
            </w:pPr>
            <w:r>
              <w:rPr>
                <w:b/>
                <w:color w:val="FFFFFF"/>
                <w:sz w:val="18"/>
              </w:rPr>
            </w:r>
            <w:r>
              <w:rPr>
                <w:b/>
                <w:color w:val="FFFFFF"/>
                <w:sz w:val="18"/>
              </w:rPr>
              <w:t>Phase</w:t>
            </w:r>
          </w:p>
        </w:tc>
        <w:tc>
          <w:tcPr>
            <w:tcW w:type="dxa" w:w="5184"/>
            <w:vAlign w:val="center"/>
            <w:tcBorders>
              <w:top w:val="single" w:sz="4" w:space="0" w:color="E5E7EB"/>
              <w:left w:val="single" w:sz="4" w:space="0" w:color="E5E7EB"/>
              <w:bottom w:val="single" w:sz="4" w:space="0" w:color="E5E7EB"/>
              <w:right w:val="single" w:sz="4" w:space="0" w:color="E5E7EB"/>
            </w:tcBorders>
            <w:shd w:fill="1F2933"/>
          </w:tcPr>
          <w:p>
            <w:pPr>
              <w:spacing w:after="0" w:line="252" w:lineRule="auto"/>
              <w:jc w:val="left"/>
            </w:pPr>
            <w:r>
              <w:rPr>
                <w:b/>
                <w:color w:val="FFFFFF"/>
                <w:sz w:val="18"/>
              </w:rPr>
            </w:r>
            <w:r>
              <w:rPr>
                <w:b/>
                <w:color w:val="FFFFFF"/>
                <w:sz w:val="18"/>
              </w:rPr>
              <w:t>Outcome</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Phase 0: Approval preparation</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Client reviews V2, confirms visual direction, approves IA, supplies official logo/media and shares current codebase/admin access.</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Phase 1: Cleanup and content lock</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Remove demo/template residue, verify program/fee/admission/placement data, create sitemap/redirect plan and content ownership matrix.</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Phase 2: Frontend integration</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Connect V2 UI to real CMS/API and replace owner-review adapters with real services.</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Phase 3: Admissions platform</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Build applicant account, document upload, application status, counsellor workflow and payment reconciliation.</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Phase 4: AI and search</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Launch verified Deeksha Guide, semantic search, eligibility checker, fee calculator and personalized program recommendations.</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Phase 5: Launch hardening</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Accessibility, performance, privacy, security, analytics, QA, staging-to-production deployment and go-live monitoring.</w:t>
            </w:r>
          </w:p>
        </w:tc>
      </w:tr>
    </w:tbl>
    <w:p>
      <w:pPr>
        <w:pStyle w:val="Heading2"/>
      </w:pPr>
      <w:r>
        <w:t>Decision gates</w:t>
      </w:r>
    </w:p>
    <w:p>
      <w:pPr>
        <w:pStyle w:val="ListBullet"/>
        <w:spacing w:after="40" w:line="252" w:lineRule="auto"/>
      </w:pPr>
      <w:r>
        <w:t>Gate 1: Owner approves overall visual and UX direction.</w:t>
      </w:r>
    </w:p>
    <w:p>
      <w:pPr>
        <w:pStyle w:val="ListBullet"/>
        <w:spacing w:after="40" w:line="252" w:lineRule="auto"/>
      </w:pPr>
      <w:r>
        <w:t>Gate 2: Institution verifies program, fee, approvals, placement and faculty data.</w:t>
      </w:r>
    </w:p>
    <w:p>
      <w:pPr>
        <w:pStyle w:val="ListBullet"/>
        <w:spacing w:after="40" w:line="252" w:lineRule="auto"/>
      </w:pPr>
      <w:r>
        <w:t>Gate 3: Codebase/CMS/backend audit confirms refactor vs rebuild decision.</w:t>
      </w:r>
    </w:p>
    <w:p>
      <w:pPr>
        <w:pStyle w:val="ListBullet"/>
        <w:spacing w:after="40" w:line="252" w:lineRule="auto"/>
      </w:pPr>
      <w:r>
        <w:t>Gate 4: Admissions, payment, privacy, analytics and AI integrations pass QA.</w:t>
      </w:r>
    </w:p>
    <w:p>
      <w:pPr>
        <w:pStyle w:val="ListBullet"/>
        <w:spacing w:after="40" w:line="252" w:lineRule="auto"/>
      </w:pPr>
      <w:r>
        <w:t>Gate 5: Production launch only after noindex is removed intentionally and Search Console is configured.</w:t>
      </w:r>
    </w:p>
    <w:p>
      <w:r>
        <w:br w:type="page"/>
      </w:r>
    </w:p>
    <w:p>
      <w:pPr>
        <w:pStyle w:val="Heading1"/>
      </w:pPr>
      <w:r>
        <w:t>10. Production acceptance checklist</w:t>
      </w:r>
    </w:p>
    <w:tbl>
      <w:tblPr>
        <w:tblW w:type="auto" w:w="0"/>
        <w:jc w:val="center"/>
        <w:tblLayout w:type="autofit"/>
        <w:tblLook w:firstColumn="1" w:firstRow="1" w:lastColumn="0" w:lastRow="0" w:noHBand="0" w:noVBand="1" w:val="04A0"/>
      </w:tblPr>
      <w:tblGrid>
        <w:gridCol w:w="5184"/>
        <w:gridCol w:w="5184"/>
      </w:tblGrid>
      <w:tr>
        <w:tc>
          <w:tcPr>
            <w:tcW w:type="dxa" w:w="5184"/>
            <w:vAlign w:val="center"/>
            <w:tcBorders>
              <w:top w:val="single" w:sz="4" w:space="0" w:color="E5E7EB"/>
              <w:left w:val="single" w:sz="4" w:space="0" w:color="E5E7EB"/>
              <w:bottom w:val="single" w:sz="4" w:space="0" w:color="E5E7EB"/>
              <w:right w:val="single" w:sz="4" w:space="0" w:color="E5E7EB"/>
            </w:tcBorders>
            <w:shd w:fill="1F2933"/>
          </w:tcPr>
          <w:p>
            <w:pPr>
              <w:spacing w:after="0" w:line="252" w:lineRule="auto"/>
              <w:jc w:val="left"/>
            </w:pPr>
            <w:r>
              <w:rPr>
                <w:b/>
                <w:color w:val="FFFFFF"/>
                <w:sz w:val="18"/>
              </w:rPr>
            </w:r>
            <w:r>
              <w:rPr>
                <w:b/>
                <w:color w:val="FFFFFF"/>
                <w:sz w:val="18"/>
              </w:rPr>
              <w:t>Area</w:t>
            </w:r>
          </w:p>
        </w:tc>
        <w:tc>
          <w:tcPr>
            <w:tcW w:type="dxa" w:w="5184"/>
            <w:vAlign w:val="center"/>
            <w:tcBorders>
              <w:top w:val="single" w:sz="4" w:space="0" w:color="E5E7EB"/>
              <w:left w:val="single" w:sz="4" w:space="0" w:color="E5E7EB"/>
              <w:bottom w:val="single" w:sz="4" w:space="0" w:color="E5E7EB"/>
              <w:right w:val="single" w:sz="4" w:space="0" w:color="E5E7EB"/>
            </w:tcBorders>
            <w:shd w:fill="1F2933"/>
          </w:tcPr>
          <w:p>
            <w:pPr>
              <w:spacing w:after="0" w:line="252" w:lineRule="auto"/>
              <w:jc w:val="left"/>
            </w:pPr>
            <w:r>
              <w:rPr>
                <w:b/>
                <w:color w:val="FFFFFF"/>
                <w:sz w:val="18"/>
              </w:rPr>
            </w:r>
            <w:r>
              <w:rPr>
                <w:b/>
                <w:color w:val="FFFFFF"/>
                <w:sz w:val="18"/>
              </w:rPr>
              <w:t>Assessment</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Content</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No demo courses, no lorem ipsum, no fake faculty, no wrong fee labels, no stale dates.</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Brand</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Official logo, approved images, consistent naming: Deekshaam Business School / Deeksha Education Trust.</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Admissions</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Trackable application ID, save/resume, document status, counsellor handoff and payment reconciliation.</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Privacy</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Clear notices, data minimization, retention rules, consent records and secure processing.</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Accessibility</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WCAG 2.2 AA target tested manually and with tools.</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Performance</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Core Web Vitals good thresholds on mobile and desktop.</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SEO</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Clean sitemap, correct redirects/canonicals, structured data and no old demo pages indexed.</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Analytics</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Full lead-to-admission funnel events without sending sensitive applicant data to analytics.</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Security</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Role-based access, secure document storage, CSRF/XSS protections, headers, backups and monitoring.</w:t>
            </w:r>
          </w:p>
        </w:tc>
      </w:tr>
      <w:tr>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color w:val="111827"/>
                <w:sz w:val="18"/>
              </w:rPr>
              <w:t>Operations</w:t>
            </w:r>
          </w:p>
        </w:tc>
        <w:tc>
          <w:tcPr>
            <w:tcW w:type="dxa" w:w="5184"/>
            <w:vAlign w:val="center"/>
            <w:tcBorders>
              <w:top w:val="single" w:sz="4" w:space="0" w:color="E5E7EB"/>
              <w:left w:val="single" w:sz="4" w:space="0" w:color="E5E7EB"/>
              <w:bottom w:val="single" w:sz="4" w:space="0" w:color="E5E7EB"/>
              <w:right w:val="single" w:sz="4" w:space="0" w:color="E5E7EB"/>
            </w:tcBorders>
          </w:tcPr>
          <w:p>
            <w:pPr>
              <w:spacing w:after="0" w:line="252" w:lineRule="auto"/>
              <w:jc w:val="left"/>
            </w:pPr>
            <w:r/>
            <w:r>
              <w:rPr>
                <w:b w:val="0"/>
                <w:sz w:val="18"/>
              </w:rPr>
              <w:t>Staging environment, rollback plan, error logs, uptime monitoring and content approval workflow.</w:t>
            </w:r>
          </w:p>
        </w:tc>
      </w:tr>
    </w:tbl>
    <w:p>
      <w:pPr>
        <w:pStyle w:val="Heading1"/>
      </w:pPr>
      <w:r>
        <w:t>11. Client-facing closing narrative</w:t>
      </w:r>
    </w:p>
    <w:p>
      <w:pPr>
        <w:spacing w:after="100" w:line="269" w:lineRule="auto"/>
      </w:pPr>
      <w:r>
        <w:t>The current website is a brochure with useful pieces but too many credibility leaks. The created V2 app turns Deekshaam into a structured digital campus experience where students can discover programs, compare options, apply, track, book visits, involve parents and eventually use AI guidance.</w:t>
      </w:r>
    </w:p>
    <w:p>
      <w:pPr>
        <w:spacing w:after="100" w:line="269" w:lineRule="auto"/>
      </w:pPr>
      <w:r>
        <w:t>Once the owner approves this direction, the next practical step is not another redesign. The next practical step is codebase access, system audit and production integration.</w:t>
      </w:r>
    </w:p>
    <w:tbl>
      <w:tblPr>
        <w:tblW w:type="auto" w:w="0"/>
        <w:jc w:val="center"/>
        <w:tblLook w:firstColumn="1" w:firstRow="1" w:lastColumn="0" w:lastRow="0" w:noHBand="0" w:noVBand="1" w:val="04A0"/>
      </w:tblPr>
      <w:tblGrid>
        <w:gridCol w:w="10368"/>
      </w:tblGrid>
      <w:tr>
        <w:tc>
          <w:tcPr>
            <w:tcW w:type="dxa" w:w="10368"/>
            <w:shd w:fill="FFF7EF"/>
            <w:tcBorders>
              <w:top w:val="single" w:sz="4" w:space="0" w:color="F58220"/>
              <w:left w:val="single" w:sz="4" w:space="0" w:color="F58220"/>
              <w:bottom w:val="single" w:sz="4" w:space="0" w:color="F58220"/>
              <w:right w:val="single" w:sz="4" w:space="0" w:color="F58220"/>
            </w:tcBorders>
          </w:tcPr>
          <w:p>
            <w:pPr>
              <w:spacing w:after="60"/>
            </w:pPr>
            <w:r>
              <w:rPr>
                <w:b/>
                <w:color w:val="F58220"/>
                <w:sz w:val="20"/>
              </w:rPr>
              <w:t>Final recommendation</w:t>
            </w:r>
          </w:p>
          <w:p>
            <w:pPr>
              <w:spacing w:after="0"/>
            </w:pPr>
            <w:r>
              <w:rPr>
                <w:sz w:val="19"/>
              </w:rPr>
              <w:t>Present V2 as the future approved experience, then request the source code/CMS/backend access to convert it into the actual production platform.</w:t>
            </w:r>
          </w:p>
        </w:tc>
      </w:tr>
    </w:tbl>
    <w:p>
      <w:pPr>
        <w:pStyle w:val="Heading1"/>
      </w:pPr>
      <w:r>
        <w:t>Sources</w:t>
      </w:r>
    </w:p>
    <w:p>
      <w:pPr>
        <w:spacing w:after="40"/>
      </w:pPr>
      <w:r>
        <w:rPr>
          <w:b/>
          <w:sz w:val="17"/>
        </w:rPr>
        <w:t xml:space="preserve">[S1] Deekshaam Business School live homepage: </w:t>
      </w:r>
      <w:r>
        <w:rPr>
          <w:color w:val="1E3A8A"/>
          <w:sz w:val="17"/>
        </w:rPr>
        <w:t>https://deekshaedu.in/</w:t>
      </w:r>
    </w:p>
    <w:p>
      <w:pPr>
        <w:spacing w:after="40"/>
      </w:pPr>
      <w:r>
        <w:rPr>
          <w:b/>
          <w:sz w:val="17"/>
        </w:rPr>
        <w:t xml:space="preserve">[S2] Deekshaam About Us page: </w:t>
      </w:r>
      <w:r>
        <w:rPr>
          <w:color w:val="1E3A8A"/>
          <w:sz w:val="17"/>
        </w:rPr>
        <w:t>https://deekshaedu.in/about-us/</w:t>
      </w:r>
    </w:p>
    <w:p>
      <w:pPr>
        <w:spacing w:after="40"/>
      </w:pPr>
      <w:r>
        <w:rPr>
          <w:b/>
          <w:sz w:val="17"/>
        </w:rPr>
        <w:t xml:space="preserve">[S3] Deekshaam Courses archive: </w:t>
      </w:r>
      <w:r>
        <w:rPr>
          <w:color w:val="1E3A8A"/>
          <w:sz w:val="17"/>
        </w:rPr>
        <w:t>https://deekshaedu.in/courses/</w:t>
      </w:r>
    </w:p>
    <w:p>
      <w:pPr>
        <w:spacing w:after="40"/>
      </w:pPr>
      <w:r>
        <w:rPr>
          <w:b/>
          <w:sz w:val="17"/>
        </w:rPr>
        <w:t xml:space="preserve">[S4] Deekshaam BCA page: </w:t>
      </w:r>
      <w:r>
        <w:rPr>
          <w:color w:val="1E3A8A"/>
          <w:sz w:val="17"/>
        </w:rPr>
        <w:t>https://deekshaedu.in/bachelor-of-computer-applications-bca/</w:t>
      </w:r>
    </w:p>
    <w:p>
      <w:pPr>
        <w:spacing w:after="40"/>
      </w:pPr>
      <w:r>
        <w:rPr>
          <w:b/>
          <w:sz w:val="17"/>
        </w:rPr>
        <w:t xml:space="preserve">[S5] Deekshaam B.Com page: </w:t>
      </w:r>
      <w:r>
        <w:rPr>
          <w:color w:val="1E3A8A"/>
          <w:sz w:val="17"/>
        </w:rPr>
        <w:t>https://deekshaedu.in/b-com/</w:t>
      </w:r>
    </w:p>
    <w:p>
      <w:pPr>
        <w:spacing w:after="40"/>
      </w:pPr>
      <w:r>
        <w:rPr>
          <w:b/>
          <w:sz w:val="17"/>
        </w:rPr>
        <w:t xml:space="preserve">[S6] Deekshaam public admission Google Form: </w:t>
      </w:r>
      <w:r>
        <w:rPr>
          <w:color w:val="1E3A8A"/>
          <w:sz w:val="17"/>
        </w:rPr>
        <w:t>https://docs.google.com/forms/d/1jmy6vg5Bv55Zr-LW7DmI343PlrIUO2qUDEGWUUgGVXM/preview</w:t>
      </w:r>
    </w:p>
    <w:p>
      <w:pPr>
        <w:spacing w:after="40"/>
      </w:pPr>
      <w:r>
        <w:rPr>
          <w:b/>
          <w:sz w:val="17"/>
        </w:rPr>
        <w:t xml:space="preserve">[S7] Google Search Central SEO Starter Guide: </w:t>
      </w:r>
      <w:r>
        <w:rPr>
          <w:color w:val="1E3A8A"/>
          <w:sz w:val="17"/>
        </w:rPr>
        <w:t>https://developers.google.com/search/docs/fundamentals/seo-starter-guide</w:t>
      </w:r>
    </w:p>
    <w:p>
      <w:pPr>
        <w:spacing w:after="40"/>
      </w:pPr>
      <w:r>
        <w:rPr>
          <w:b/>
          <w:sz w:val="17"/>
        </w:rPr>
        <w:t xml:space="preserve">[S8] web.dev Core Web Vitals thresholds: </w:t>
      </w:r>
      <w:r>
        <w:rPr>
          <w:color w:val="1E3A8A"/>
          <w:sz w:val="17"/>
        </w:rPr>
        <w:t>https://web.dev/articles/defining-core-web-vitals-thresholds</w:t>
      </w:r>
    </w:p>
    <w:p>
      <w:pPr>
        <w:spacing w:after="40"/>
      </w:pPr>
      <w:r>
        <w:rPr>
          <w:b/>
          <w:sz w:val="17"/>
        </w:rPr>
        <w:t xml:space="preserve">[S9] W3C WCAG 2.2 accessibility guidance: </w:t>
      </w:r>
      <w:r>
        <w:rPr>
          <w:color w:val="1E3A8A"/>
          <w:sz w:val="17"/>
        </w:rPr>
        <w:t>https://www.w3.org/WAI/standards-guidelines/wcag/new-in-22/</w:t>
      </w:r>
    </w:p>
    <w:p>
      <w:pPr>
        <w:spacing w:after="40"/>
      </w:pPr>
      <w:r>
        <w:rPr>
          <w:b/>
          <w:sz w:val="17"/>
        </w:rPr>
        <w:t xml:space="preserve">[S10] Digital Personal Data Protection Act, 2023, official MeitY PDF: </w:t>
      </w:r>
      <w:r>
        <w:rPr>
          <w:color w:val="1E3A8A"/>
          <w:sz w:val="17"/>
        </w:rPr>
        <w:t>https://www.meity.gov.in/static/uploads/2024/02/Digital-Personal-Data-Protection-Act-2023.pdf</w:t>
      </w:r>
    </w:p>
    <w:sectPr>
      <w:pgSz w:w="12240" w:h="15840"/>
      <w:pgMar w:top="864"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1182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11827"/>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11827"/>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1182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