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b/>
          <w:bCs/>
          <w:color w:val="2E5A88"/>
          <w:spacing w:val="60"/>
          <w:sz w:val="26"/>
          <w:szCs w:val="26"/>
        </w:rPr>
        <w:t xml:space="preserve">TECHNICAL DOCUMENTATION</w:t>
      </w:r>
    </w:p>
    <w:p>
      <w:pPr>
        <w:spacing w:after="0" w:before="160"/>
        <w:jc w:val="center"/>
      </w:pPr>
      <w:r>
        <w:rPr>
          <w:b/>
          <w:bCs/>
          <w:color w:val="1F3A5F"/>
          <w:sz w:val="42"/>
          <w:szCs w:val="42"/>
        </w:rPr>
        <w:t xml:space="preserve">Confluence / Wiki RAG Knowledge Assistant</w:t>
      </w:r>
    </w:p>
    <w:p>
      <w:pPr>
        <w:spacing w:after="0" w:before="60"/>
        <w:jc w:val="center"/>
      </w:pPr>
      <w:r>
        <w:rPr>
          <w:b/>
          <w:bCs/>
          <w:color w:val="1F3A5F"/>
          <w:sz w:val="30"/>
          <w:szCs w:val="30"/>
        </w:rPr>
        <w:t xml:space="preserve">End-to-End Process, Components, Concepts &amp; Metrics</w:t>
      </w:r>
    </w:p>
    <w:p>
      <w:pPr>
        <w:spacing w:after="0" w:before="200"/>
        <w:jc w:val="center"/>
      </w:pPr>
      <w:r>
        <w:rPr>
          <w:i/>
          <w:iCs/>
          <w:color w:val="5B6470"/>
          <w:sz w:val="21"/>
          <w:szCs w:val="21"/>
        </w:rPr>
        <w:t xml:space="preserve">How every stage works, why each choice was made, with process-flow diagrams throughout</w:t>
      </w:r>
    </w:p>
    <w:p>
      <w:pPr>
        <w:spacing w:before="760"/>
      </w:pP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600"/>
        <w:gridCol w:w="6760"/>
      </w:tblGrid>
      <w:tr>
        <w:trPr>
          <w:tblHeader/>
        </w:trPr>
        <w:tc>
          <w:tcPr>
            <w:tcW w:type="dxa" w:w="2600"/>
            <w:shd w:fill="1F3A5F" w:color="auto" w:val="clear"/>
            <w:tcMar>
              <w:top w:type="dxa" w:w="50"/>
              <w:left w:type="dxa" w:w="90"/>
              <w:bottom w:type="dxa" w:w="50"/>
              <w:right w:type="dxa" w:w="90"/>
            </w:tcMar>
          </w:tcPr>
          <w:p>
            <w:pPr>
              <w:spacing w:after="28" w:line="250"/>
            </w:pPr>
            <w:r>
              <w:rPr>
                <w:b/>
                <w:bCs/>
                <w:color w:val="FFFFFF"/>
                <w:sz w:val="19"/>
                <w:szCs w:val="19"/>
              </w:rPr>
              <w:t xml:space="preserve">Field</w:t>
            </w:r>
          </w:p>
        </w:tc>
        <w:tc>
          <w:tcPr>
            <w:tcW w:type="dxa" w:w="6760"/>
            <w:shd w:fill="1F3A5F" w:color="auto" w:val="clear"/>
            <w:tcMar>
              <w:top w:type="dxa" w:w="50"/>
              <w:left w:type="dxa" w:w="90"/>
              <w:bottom w:type="dxa" w:w="50"/>
              <w:right w:type="dxa" w:w="90"/>
            </w:tcMar>
          </w:tcPr>
          <w:p>
            <w:pPr>
              <w:spacing w:after="28" w:line="250"/>
            </w:pPr>
            <w:r>
              <w:rPr>
                <w:b/>
                <w:bCs/>
                <w:color w:val="FFFFFF"/>
                <w:sz w:val="19"/>
                <w:szCs w:val="19"/>
              </w:rPr>
              <w:t xml:space="preserve">Detail</w:t>
            </w:r>
          </w:p>
        </w:tc>
      </w:tr>
      <w:tr>
        <w:tc>
          <w:tcPr>
            <w:tcW w:type="dxa" w:w="26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Document type</w:t>
            </w:r>
          </w:p>
        </w:tc>
        <w:tc>
          <w:tcPr>
            <w:tcW w:type="dxa" w:w="67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Technical Reference &amp; Process Walkthrough</w:t>
            </w:r>
          </w:p>
        </w:tc>
      </w:tr>
      <w:tr>
        <w:tc>
          <w:tcPr>
            <w:tcW w:type="dxa" w:w="26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Companion to</w:t>
            </w:r>
          </w:p>
        </w:tc>
        <w:tc>
          <w:tcPr>
            <w:tcW w:type="dxa" w:w="67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Solution Design &amp; Delivery Plan v1.0</w:t>
            </w:r>
          </w:p>
        </w:tc>
      </w:tr>
      <w:tr>
        <w:tc>
          <w:tcPr>
            <w:tcW w:type="dxa" w:w="26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Prepared by</w:t>
            </w:r>
          </w:p>
        </w:tc>
        <w:tc>
          <w:tcPr>
            <w:tcW w:type="dxa" w:w="67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Sankha Suvra Ghosal</w:t>
            </w:r>
          </w:p>
        </w:tc>
      </w:tr>
      <w:tr>
        <w:tc>
          <w:tcPr>
            <w:tcW w:type="dxa" w:w="26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Version / Status</w:t>
            </w:r>
          </w:p>
        </w:tc>
        <w:tc>
          <w:tcPr>
            <w:tcW w:type="dxa" w:w="67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1.0</w:t>
            </w:r>
          </w:p>
        </w:tc>
      </w:tr>
      <w:tr>
        <w:tc>
          <w:tcPr>
            <w:tcW w:type="dxa" w:w="26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Date</w:t>
            </w:r>
          </w:p>
        </w:tc>
        <w:tc>
          <w:tcPr>
            <w:tcW w:type="dxa" w:w="67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13 August 2026</w:t>
            </w:r>
          </w:p>
        </w:tc>
      </w:tr>
    </w:tbl>
    <w:p>
      <w:r>
        <w:br w:type="page"/>
      </w:r>
    </w:p>
    <w:p>
      <w:pPr>
        <w:pStyle w:val="Heading1"/>
        <w:spacing w:after="120" w:before="300"/>
      </w:pPr>
      <w:r>
        <w:rPr>
          <w:b/>
          <w:bCs/>
          <w:color w:val="1F3A5F"/>
          <w:sz w:val="30"/>
          <w:szCs w:val="30"/>
        </w:rPr>
        <w:t xml:space="preserve">Contents</w:t>
      </w:r>
    </w:p>
    <w:p>
      <w:pPr>
        <w:spacing w:after="76" w:line="276"/>
        <w:ind w:left="200"/>
      </w:pPr>
      <w:r>
        <w:rPr>
          <w:color w:val="333333"/>
          <w:sz w:val="22"/>
          <w:szCs w:val="22"/>
        </w:rPr>
        <w:t xml:space="preserve">1.  How to Read This Document</w:t>
      </w:r>
    </w:p>
    <w:p>
      <w:pPr>
        <w:spacing w:after="76" w:line="276"/>
        <w:ind w:left="200"/>
      </w:pPr>
      <w:r>
        <w:rPr>
          <w:color w:val="333333"/>
          <w:sz w:val="22"/>
          <w:szCs w:val="22"/>
        </w:rPr>
        <w:t xml:space="preserve">2.  Key Concepts &amp; Terminology (plain-English)</w:t>
      </w:r>
    </w:p>
    <w:p>
      <w:pPr>
        <w:spacing w:after="76" w:line="276"/>
        <w:ind w:left="200"/>
      </w:pPr>
      <w:r>
        <w:rPr>
          <w:color w:val="333333"/>
          <w:sz w:val="22"/>
          <w:szCs w:val="22"/>
        </w:rPr>
        <w:t xml:space="preserve">3.  System Overview &amp; Master Flow</w:t>
      </w:r>
    </w:p>
    <w:p>
      <w:pPr>
        <w:spacing w:after="76" w:line="276"/>
        <w:ind w:left="200"/>
      </w:pPr>
      <w:r>
        <w:rPr>
          <w:color w:val="333333"/>
          <w:sz w:val="22"/>
          <w:szCs w:val="22"/>
        </w:rPr>
        <w:t xml:space="preserve">4.  Configuration &amp; Core Utilities</w:t>
      </w:r>
    </w:p>
    <w:p>
      <w:pPr>
        <w:spacing w:after="76" w:line="276"/>
        <w:ind w:left="200"/>
      </w:pPr>
      <w:r>
        <w:rPr>
          <w:color w:val="333333"/>
          <w:sz w:val="22"/>
          <w:szCs w:val="22"/>
        </w:rPr>
        <w:t xml:space="preserve">5.  Stage 1 — Ingestion</w:t>
      </w:r>
    </w:p>
    <w:p>
      <w:pPr>
        <w:spacing w:after="76" w:line="276"/>
        <w:ind w:left="200"/>
      </w:pPr>
      <w:r>
        <w:rPr>
          <w:color w:val="333333"/>
          <w:sz w:val="22"/>
          <w:szCs w:val="22"/>
        </w:rPr>
        <w:t xml:space="preserve">6.  Stage 2 — Processing (clean, metadata, chunk)</w:t>
      </w:r>
    </w:p>
    <w:p>
      <w:pPr>
        <w:spacing w:after="76" w:line="276"/>
        <w:ind w:left="200"/>
      </w:pPr>
      <w:r>
        <w:rPr>
          <w:color w:val="333333"/>
          <w:sz w:val="22"/>
          <w:szCs w:val="22"/>
        </w:rPr>
        <w:t xml:space="preserve">7.  Stage 3 — Embedding &amp; Vector Index</w:t>
      </w:r>
    </w:p>
    <w:p>
      <w:pPr>
        <w:spacing w:after="76" w:line="276"/>
        <w:ind w:left="200"/>
      </w:pPr>
      <w:r>
        <w:rPr>
          <w:color w:val="333333"/>
          <w:sz w:val="22"/>
          <w:szCs w:val="22"/>
        </w:rPr>
        <w:t xml:space="preserve">8.  Stage 4 — Retrieval &amp; Ranking (dense + BM25 + hybrid + re-rank)</w:t>
      </w:r>
    </w:p>
    <w:p>
      <w:pPr>
        <w:spacing w:after="76" w:line="276"/>
        <w:ind w:left="200"/>
      </w:pPr>
      <w:r>
        <w:rPr>
          <w:color w:val="333333"/>
          <w:sz w:val="22"/>
          <w:szCs w:val="22"/>
        </w:rPr>
        <w:t xml:space="preserve">9.  Stage 5 — Answer Generation</w:t>
      </w:r>
    </w:p>
    <w:p>
      <w:pPr>
        <w:spacing w:after="76" w:line="276"/>
        <w:ind w:left="200"/>
      </w:pPr>
      <w:r>
        <w:rPr>
          <w:color w:val="333333"/>
          <w:sz w:val="22"/>
          <w:szCs w:val="22"/>
        </w:rPr>
        <w:t xml:space="preserve">10. Stage 6 — Evaluation &amp; Metrics (defined)</w:t>
      </w:r>
    </w:p>
    <w:p>
      <w:pPr>
        <w:spacing w:after="76" w:line="276"/>
        <w:ind w:left="200"/>
      </w:pPr>
      <w:r>
        <w:rPr>
          <w:color w:val="333333"/>
          <w:sz w:val="22"/>
          <w:szCs w:val="22"/>
        </w:rPr>
        <w:t xml:space="preserve">11. Stage 7 — Streamlit Application</w:t>
      </w:r>
    </w:p>
    <w:p>
      <w:pPr>
        <w:spacing w:after="76" w:line="276"/>
        <w:ind w:left="200"/>
      </w:pPr>
      <w:r>
        <w:rPr>
          <w:color w:val="333333"/>
          <w:sz w:val="22"/>
          <w:szCs w:val="22"/>
        </w:rPr>
        <w:t xml:space="preserve">12. Worked Example (a question end-to-end)</w:t>
      </w:r>
    </w:p>
    <w:p>
      <w:pPr>
        <w:spacing w:after="76" w:line="276"/>
        <w:ind w:left="200"/>
      </w:pPr>
      <w:r>
        <w:rPr>
          <w:color w:val="333333"/>
          <w:sz w:val="22"/>
          <w:szCs w:val="22"/>
        </w:rPr>
        <w:t xml:space="preserve">13. Module Map (quick reference)</w:t>
      </w:r>
    </w:p>
    <w:p>
      <w:r>
        <w:br w:type="page"/>
      </w:r>
    </w:p>
    <w:p>
      <w:pPr>
        <w:pStyle w:val="Heading1"/>
        <w:spacing w:after="120" w:before="300"/>
      </w:pPr>
      <w:r>
        <w:rPr>
          <w:b/>
          <w:bCs/>
          <w:color w:val="1F3A5F"/>
          <w:sz w:val="30"/>
          <w:szCs w:val="30"/>
        </w:rPr>
        <w:t xml:space="preserve">1. How to Read This Document</w:t>
      </w:r>
    </w:p>
    <w:p>
      <w:pPr>
        <w:spacing w:after="110" w:line="276"/>
      </w:pPr>
      <w:r>
        <w:rPr>
          <w:sz w:val="21"/>
          <w:szCs w:val="21"/>
        </w:rPr>
        <w:t xml:space="preserve">This document explains, end to end, how the Confluence/Wiki RAG knowledge assistant works: what each part of the code does, why it was chosen, the concepts and jargon behind it, and the metrics used to prove it works. It is written to be understood by both technical and non-technical readers.</w:t>
      </w:r>
    </w:p>
    <w:p>
      <w:pPr>
        <w:spacing w:after="110" w:line="276"/>
      </w:pPr>
      <w:r>
        <w:rPr>
          <w:b/>
          <w:bCs/>
          <w:sz w:val="21"/>
          <w:szCs w:val="21"/>
        </w:rPr>
        <w:t xml:space="preserve">Structure. </w:t>
      </w:r>
      <w:r>
        <w:rPr>
          <w:sz w:val="21"/>
          <w:szCs w:val="21"/>
        </w:rPr>
        <w:t xml:space="preserve">Section 2 defines the concepts and vocabulary in plain English. Section 3 gives the big picture with a master flow diagram. Sections 4–11 walk each stage in order — each with a short ‘what it does', a ‘why' rationale, the key code components, and its own process-flow diagram. Section 10 defines every evaluation metric explicitly. Section 12 traces a single question through the whole system, and Section 13 is a one-page module map.</w:t>
      </w:r>
    </w:p>
    <w:p>
      <w:pPr>
        <w:spacing w:after="110" w:line="276"/>
      </w:pPr>
      <w:r>
        <w:rPr>
          <w:b/>
          <w:bCs/>
          <w:sz w:val="21"/>
          <w:szCs w:val="21"/>
        </w:rPr>
        <w:t xml:space="preserve">A note on the core idea. </w:t>
      </w:r>
      <w:r>
        <w:rPr>
          <w:i/>
          <w:iCs/>
          <w:sz w:val="21"/>
          <w:szCs w:val="21"/>
        </w:rPr>
        <w:t xml:space="preserve">RAG (Retrieval-Augmented Generation)</w:t>
      </w:r>
      <w:r>
        <w:rPr>
          <w:sz w:val="21"/>
          <w:szCs w:val="21"/>
        </w:rPr>
        <w:t xml:space="preserve"> means the system answers by first </w:t>
      </w:r>
      <w:r>
        <w:rPr>
          <w:b/>
          <w:bCs/>
          <w:sz w:val="21"/>
          <w:szCs w:val="21"/>
        </w:rPr>
        <w:t xml:space="preserve">retrieving</w:t>
      </w:r>
      <w:r>
        <w:rPr>
          <w:sz w:val="21"/>
          <w:szCs w:val="21"/>
        </w:rPr>
        <w:t xml:space="preserve"> the most relevant passages from your own documents, then asking a language model to </w:t>
      </w:r>
      <w:r>
        <w:rPr>
          <w:b/>
          <w:bCs/>
          <w:sz w:val="21"/>
          <w:szCs w:val="21"/>
        </w:rPr>
        <w:t xml:space="preserve">generate</w:t>
      </w:r>
      <w:r>
        <w:rPr>
          <w:sz w:val="21"/>
          <w:szCs w:val="21"/>
        </w:rPr>
        <w:t xml:space="preserve"> an answer </w:t>
      </w:r>
      <w:r>
        <w:rPr>
          <w:b/>
          <w:bCs/>
          <w:sz w:val="21"/>
          <w:szCs w:val="21"/>
        </w:rPr>
        <w:t xml:space="preserve">using only those passages</w:t>
      </w:r>
      <w:r>
        <w:rPr>
          <w:sz w:val="21"/>
          <w:szCs w:val="21"/>
        </w:rPr>
        <w:t xml:space="preserve">. It does not answer from the model's general memory. This is what makes answers accurate to your content and verifiable through citations.</w:t>
      </w:r>
    </w:p>
    <w:p>
      <w:pPr>
        <w:pStyle w:val="Heading1"/>
        <w:spacing w:after="120" w:before="300"/>
      </w:pPr>
      <w:r>
        <w:rPr>
          <w:b/>
          <w:bCs/>
          <w:color w:val="1F3A5F"/>
          <w:sz w:val="30"/>
          <w:szCs w:val="30"/>
        </w:rPr>
        <w:t xml:space="preserve">2. Key Concepts &amp; Terminology</w:t>
      </w:r>
    </w:p>
    <w:p>
      <w:pPr>
        <w:spacing w:after="110" w:line="276"/>
      </w:pPr>
      <w:r>
        <w:rPr>
          <w:sz w:val="21"/>
          <w:szCs w:val="21"/>
        </w:rPr>
        <w:t xml:space="preserve">These terms appear throughout. Each is defined in plain English first, with the technical meaning second.</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1500"/>
        <w:gridCol w:w="3860"/>
        <w:gridCol w:w="4000"/>
      </w:tblGrid>
      <w:tr>
        <w:trPr>
          <w:tblHeader/>
        </w:trPr>
        <w:tc>
          <w:tcPr>
            <w:tcW w:type="dxa" w:w="1500"/>
            <w:shd w:fill="1F3A5F" w:color="auto" w:val="clear"/>
            <w:tcMar>
              <w:top w:type="dxa" w:w="50"/>
              <w:left w:type="dxa" w:w="90"/>
              <w:bottom w:type="dxa" w:w="50"/>
              <w:right w:type="dxa" w:w="90"/>
            </w:tcMar>
          </w:tcPr>
          <w:p>
            <w:pPr>
              <w:spacing w:after="28" w:line="250"/>
            </w:pPr>
            <w:r>
              <w:rPr>
                <w:b/>
                <w:bCs/>
                <w:color w:val="FFFFFF"/>
                <w:sz w:val="19"/>
                <w:szCs w:val="19"/>
              </w:rPr>
              <w:t xml:space="preserve">Term</w:t>
            </w:r>
          </w:p>
        </w:tc>
        <w:tc>
          <w:tcPr>
            <w:tcW w:type="dxa" w:w="3860"/>
            <w:shd w:fill="1F3A5F" w:color="auto" w:val="clear"/>
            <w:tcMar>
              <w:top w:type="dxa" w:w="50"/>
              <w:left w:type="dxa" w:w="90"/>
              <w:bottom w:type="dxa" w:w="50"/>
              <w:right w:type="dxa" w:w="90"/>
            </w:tcMar>
          </w:tcPr>
          <w:p>
            <w:pPr>
              <w:spacing w:after="28" w:line="250"/>
            </w:pPr>
            <w:r>
              <w:rPr>
                <w:b/>
                <w:bCs/>
                <w:color w:val="FFFFFF"/>
                <w:sz w:val="19"/>
                <w:szCs w:val="19"/>
              </w:rPr>
              <w:t xml:space="preserve">Plain-English meaning</w:t>
            </w:r>
          </w:p>
        </w:tc>
        <w:tc>
          <w:tcPr>
            <w:tcW w:type="dxa" w:w="4000"/>
            <w:shd w:fill="1F3A5F" w:color="auto" w:val="clear"/>
            <w:tcMar>
              <w:top w:type="dxa" w:w="50"/>
              <w:left w:type="dxa" w:w="90"/>
              <w:bottom w:type="dxa" w:w="50"/>
              <w:right w:type="dxa" w:w="90"/>
            </w:tcMar>
          </w:tcPr>
          <w:p>
            <w:pPr>
              <w:spacing w:after="28" w:line="250"/>
            </w:pPr>
            <w:r>
              <w:rPr>
                <w:b/>
                <w:bCs/>
                <w:color w:val="FFFFFF"/>
                <w:sz w:val="19"/>
                <w:szCs w:val="19"/>
              </w:rPr>
              <w:t xml:space="preserve">In this system</w:t>
            </w:r>
          </w:p>
        </w:tc>
      </w:tr>
      <w:tr>
        <w:tc>
          <w:tcPr>
            <w:tcW w:type="dxa" w:w="15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RAG</w:t>
            </w:r>
          </w:p>
        </w:tc>
        <w:tc>
          <w:tcPr>
            <w:tcW w:type="dxa" w:w="38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Answer by looking things up in your documents, then writing an answer from what was found — not from memory.</w:t>
            </w:r>
          </w:p>
        </w:tc>
        <w:tc>
          <w:tcPr>
            <w:tcW w:type="dxa" w:w="40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The whole pipeline: retrieve relevant chunks, then generate a grounded answer.</w:t>
            </w:r>
          </w:p>
        </w:tc>
      </w:tr>
      <w:tr>
        <w:tc>
          <w:tcPr>
            <w:tcW w:type="dxa" w:w="15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Chunk</w:t>
            </w:r>
          </w:p>
        </w:tc>
        <w:tc>
          <w:tcPr>
            <w:tcW w:type="dxa" w:w="38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A small, self-contained passage of a page (a section or block).</w:t>
            </w:r>
          </w:p>
        </w:tc>
        <w:tc>
          <w:tcPr>
            <w:tcW w:type="dxa" w:w="40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The unit that is embedded, retrieved and cited. Pages are split into chunks.</w:t>
            </w:r>
          </w:p>
        </w:tc>
      </w:tr>
      <w:tr>
        <w:tc>
          <w:tcPr>
            <w:tcW w:type="dxa" w:w="15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Embedding</w:t>
            </w:r>
          </w:p>
        </w:tc>
        <w:tc>
          <w:tcPr>
            <w:tcW w:type="dxa" w:w="38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A list of numbers that captures the meaning of text, so similar meanings have similar numbers.</w:t>
            </w:r>
          </w:p>
        </w:tc>
        <w:tc>
          <w:tcPr>
            <w:tcW w:type="dxa" w:w="40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Each chunk becomes a 384-number vector via a small local model.</w:t>
            </w:r>
          </w:p>
        </w:tc>
      </w:tr>
      <w:tr>
        <w:tc>
          <w:tcPr>
            <w:tcW w:type="dxa" w:w="15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Vector</w:t>
            </w:r>
          </w:p>
        </w:tc>
        <w:tc>
          <w:tcPr>
            <w:tcW w:type="dxa" w:w="38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The list of numbers itself (a point in a high-dimensional space).</w:t>
            </w:r>
          </w:p>
        </w:tc>
        <w:tc>
          <w:tcPr>
            <w:tcW w:type="dxa" w:w="40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384-dimensional; similar chunks sit close together.</w:t>
            </w:r>
          </w:p>
        </w:tc>
      </w:tr>
      <w:tr>
        <w:tc>
          <w:tcPr>
            <w:tcW w:type="dxa" w:w="15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Cosine similarity</w:t>
            </w:r>
          </w:p>
        </w:tc>
        <w:tc>
          <w:tcPr>
            <w:tcW w:type="dxa" w:w="38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A score (0–1) for how close two vectors point — higher = more similar in meaning.</w:t>
            </w:r>
          </w:p>
        </w:tc>
        <w:tc>
          <w:tcPr>
            <w:tcW w:type="dxa" w:w="40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Used to rank chunks against the question.</w:t>
            </w:r>
          </w:p>
        </w:tc>
      </w:tr>
      <w:tr>
        <w:tc>
          <w:tcPr>
            <w:tcW w:type="dxa" w:w="15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Vector index (FAISS)</w:t>
            </w:r>
          </w:p>
        </w:tc>
        <w:tc>
          <w:tcPr>
            <w:tcW w:type="dxa" w:w="38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A structure that finds the closest vectors to a query very fast.</w:t>
            </w:r>
          </w:p>
        </w:tc>
        <w:tc>
          <w:tcPr>
            <w:tcW w:type="dxa" w:w="40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Facebook AI Similarity Search; holds all chunk vectors.</w:t>
            </w:r>
          </w:p>
        </w:tc>
      </w:tr>
      <w:tr>
        <w:tc>
          <w:tcPr>
            <w:tcW w:type="dxa" w:w="15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BM25</w:t>
            </w:r>
          </w:p>
        </w:tc>
        <w:tc>
          <w:tcPr>
            <w:tcW w:type="dxa" w:w="38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A classic keyword-matching score — strong at exact words (codes, names, IDs).</w:t>
            </w:r>
          </w:p>
        </w:tc>
        <w:tc>
          <w:tcPr>
            <w:tcW w:type="dxa" w:w="40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The sparse half of hybrid retrieval.</w:t>
            </w:r>
          </w:p>
        </w:tc>
      </w:tr>
      <w:tr>
        <w:tc>
          <w:tcPr>
            <w:tcW w:type="dxa" w:w="15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Hybrid retrieval</w:t>
            </w:r>
          </w:p>
        </w:tc>
        <w:tc>
          <w:tcPr>
            <w:tcW w:type="dxa" w:w="38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Combine meaning-based (embedding) and word-based (BM25) search.</w:t>
            </w:r>
          </w:p>
        </w:tc>
        <w:tc>
          <w:tcPr>
            <w:tcW w:type="dxa" w:w="40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Fused so exact terms and concepts are both handled.</w:t>
            </w:r>
          </w:p>
        </w:tc>
      </w:tr>
      <w:tr>
        <w:tc>
          <w:tcPr>
            <w:tcW w:type="dxa" w:w="15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Re-ranking</w:t>
            </w:r>
          </w:p>
        </w:tc>
        <w:tc>
          <w:tcPr>
            <w:tcW w:type="dxa" w:w="38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Re-ordering the shortlist using extra clues (title, section, exact match).</w:t>
            </w:r>
          </w:p>
        </w:tc>
        <w:tc>
          <w:tcPr>
            <w:tcW w:type="dxa" w:w="40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The metadata re-ranker lifts the truly relevant chunk to the top.</w:t>
            </w:r>
          </w:p>
        </w:tc>
      </w:tr>
      <w:tr>
        <w:tc>
          <w:tcPr>
            <w:tcW w:type="dxa" w:w="15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Grounding</w:t>
            </w:r>
          </w:p>
        </w:tc>
        <w:tc>
          <w:tcPr>
            <w:tcW w:type="dxa" w:w="38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Forcing the model to answer only from the supplied passages.</w:t>
            </w:r>
          </w:p>
        </w:tc>
        <w:tc>
          <w:tcPr>
            <w:tcW w:type="dxa" w:w="40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The main defence against made-up answers (hallucination).</w:t>
            </w:r>
          </w:p>
        </w:tc>
      </w:tr>
      <w:tr>
        <w:tc>
          <w:tcPr>
            <w:tcW w:type="dxa" w:w="15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Citation</w:t>
            </w:r>
          </w:p>
        </w:tc>
        <w:tc>
          <w:tcPr>
            <w:tcW w:type="dxa" w:w="38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A pointer to the exact passage an answer came from.</w:t>
            </w:r>
          </w:p>
        </w:tc>
        <w:tc>
          <w:tcPr>
            <w:tcW w:type="dxa" w:w="40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Every answer shows page, section, link and a relevance score.</w:t>
            </w:r>
          </w:p>
        </w:tc>
      </w:tr>
      <w:tr>
        <w:tc>
          <w:tcPr>
            <w:tcW w:type="dxa" w:w="15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Golden set</w:t>
            </w:r>
          </w:p>
        </w:tc>
        <w:tc>
          <w:tcPr>
            <w:tcW w:type="dxa" w:w="38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A labelled test set: questions paired with their correct page.</w:t>
            </w:r>
          </w:p>
        </w:tc>
        <w:tc>
          <w:tcPr>
            <w:tcW w:type="dxa" w:w="40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Used to score retrieval quality objectively.</w:t>
            </w:r>
          </w:p>
        </w:tc>
      </w:tr>
    </w:tbl>
    <w:p>
      <w:pPr>
        <w:spacing w:after="110" w:line="276"/>
      </w:pPr>
      <w:r>
        <w:rPr>
          <w:b/>
          <w:bCs/>
          <w:sz w:val="21"/>
          <w:szCs w:val="21"/>
        </w:rPr>
        <w:t xml:space="preserve">One sentence to remember: </w:t>
      </w:r>
      <w:r>
        <w:rPr>
          <w:i/>
          <w:iCs/>
          <w:sz w:val="21"/>
          <w:szCs w:val="21"/>
        </w:rPr>
        <w:t xml:space="preserve">meaning becomes numbers (embeddings), numbers are searched fast (FAISS), keyword search is added for exact terms (BM25), the best passages are re-ranked and shown as citations, and a language model writes the answer using only those passages.</w:t>
      </w:r>
    </w:p>
    <w:p>
      <w:pPr>
        <w:pStyle w:val="Heading1"/>
        <w:spacing w:after="120" w:before="300"/>
      </w:pPr>
      <w:r>
        <w:rPr>
          <w:b/>
          <w:bCs/>
          <w:color w:val="1F3A5F"/>
          <w:sz w:val="30"/>
          <w:szCs w:val="30"/>
        </w:rPr>
        <w:t xml:space="preserve">3. System Overview &amp; Master Flow</w:t>
      </w:r>
    </w:p>
    <w:p>
      <w:pPr>
        <w:spacing w:after="110" w:line="276"/>
      </w:pPr>
      <w:r>
        <w:rPr>
          <w:sz w:val="21"/>
          <w:szCs w:val="21"/>
        </w:rPr>
        <w:t xml:space="preserve">The system has three modes of operation. Indexing runs offline to build a searchable knowledge base. Query runs online for each question. Evaluation runs offline to measure retrieval quality. All three share the same index and retriever.</w:t>
      </w:r>
    </w:p>
    <w:p>
      <w:pPr>
        <w:spacing w:after="20" w:before="8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50"/>
        <w:jc w:val="center"/>
      </w:pPr>
      <w:r>
        <w:rPr>
          <w:i/>
          <w:iCs/>
          <w:color w:val="5B6470"/>
          <w:sz w:val="18"/>
          <w:szCs w:val="18"/>
        </w:rPr>
        <w:t xml:space="preserve">Figure 1 — Master flow: indexing (top), query (middle), and evaluation (bottom) share one index and one retriever.</w:t>
      </w:r>
    </w:p>
    <w:p>
      <w:pPr>
        <w:pStyle w:val="ListParagraph"/>
        <w:numPr>
          <w:ilvl w:val="0"/>
          <w:numId w:val="2"/>
        </w:numPr>
        <w:spacing w:after="54" w:line="270"/>
      </w:pPr>
      <w:r>
        <w:rPr>
          <w:b/>
          <w:bCs/>
          <w:sz w:val="21"/>
          <w:szCs w:val="21"/>
        </w:rPr>
        <w:t xml:space="preserve">Indexing (offline): </w:t>
      </w:r>
      <w:r>
        <w:rPr>
          <w:sz w:val="21"/>
          <w:szCs w:val="21"/>
        </w:rPr>
        <w:t xml:space="preserve">source → ingest → clean → chunk → embed → FAISS index. Run once, and again only when pages change.</w:t>
      </w:r>
    </w:p>
    <w:p>
      <w:pPr>
        <w:pStyle w:val="ListParagraph"/>
        <w:numPr>
          <w:ilvl w:val="0"/>
          <w:numId w:val="2"/>
        </w:numPr>
        <w:spacing w:after="54" w:line="270"/>
      </w:pPr>
      <w:r>
        <w:rPr>
          <w:b/>
          <w:bCs/>
          <w:sz w:val="21"/>
          <w:szCs w:val="21"/>
        </w:rPr>
        <w:t xml:space="preserve">Query (online): </w:t>
      </w:r>
      <w:r>
        <w:rPr>
          <w:sz w:val="21"/>
          <w:szCs w:val="21"/>
        </w:rPr>
        <w:t xml:space="preserve">question → embed → retrieve (dense + BM25) → fuse → re-rank → build context → LLM → answer + citations.</w:t>
      </w:r>
    </w:p>
    <w:p>
      <w:pPr>
        <w:pStyle w:val="ListParagraph"/>
        <w:numPr>
          <w:ilvl w:val="0"/>
          <w:numId w:val="2"/>
        </w:numPr>
        <w:spacing w:after="54" w:line="270"/>
      </w:pPr>
      <w:r>
        <w:rPr>
          <w:b/>
          <w:bCs/>
          <w:sz w:val="21"/>
          <w:szCs w:val="21"/>
        </w:rPr>
        <w:t xml:space="preserve">Evaluation (offline): </w:t>
      </w:r>
      <w:r>
        <w:rPr>
          <w:sz w:val="21"/>
          <w:szCs w:val="21"/>
        </w:rPr>
        <w:t xml:space="preserve">the golden set's questions are run through the same retriever and scored against their known-correct pages.</w:t>
      </w:r>
    </w:p>
    <w:p>
      <w:pPr>
        <w:spacing w:after="110" w:line="276"/>
      </w:pPr>
      <w:r>
        <w:rPr>
          <w:b/>
          <w:bCs/>
          <w:sz w:val="21"/>
          <w:szCs w:val="21"/>
        </w:rPr>
        <w:t xml:space="preserve">Why this shape. </w:t>
      </w:r>
      <w:r>
        <w:rPr>
          <w:sz w:val="21"/>
          <w:szCs w:val="21"/>
        </w:rPr>
        <w:t xml:space="preserve">Each stage's output is the next stage's input, so there are no redundant parts; and because everything after ingestion is source-independent, the same pipeline serves Confluence or a wiki unchanged.</w:t>
      </w:r>
    </w:p>
    <w:p>
      <w:pPr>
        <w:pStyle w:val="Heading1"/>
        <w:spacing w:after="120" w:before="300"/>
      </w:pPr>
      <w:r>
        <w:rPr>
          <w:b/>
          <w:bCs/>
          <w:color w:val="1F3A5F"/>
          <w:sz w:val="30"/>
          <w:szCs w:val="30"/>
        </w:rPr>
        <w:t xml:space="preserve">4. Configuration &amp; Core Utilities</w:t>
      </w:r>
    </w:p>
    <w:p>
      <w:pPr>
        <w:spacing w:after="110" w:line="276"/>
      </w:pPr>
      <w:r>
        <w:rPr>
          <w:sz w:val="21"/>
          <w:szCs w:val="21"/>
        </w:rPr>
        <w:t xml:space="preserve">Before the stages, a small core layer keeps the system configurable, observable and robust.</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4260"/>
        <w:gridCol w:w="3000"/>
      </w:tblGrid>
      <w:tr>
        <w:trPr>
          <w:tblHeader/>
        </w:trPr>
        <w:tc>
          <w:tcPr>
            <w:tcW w:type="dxa" w:w="2100"/>
            <w:shd w:fill="1F3A5F" w:color="auto" w:val="clear"/>
            <w:tcMar>
              <w:top w:type="dxa" w:w="50"/>
              <w:left w:type="dxa" w:w="90"/>
              <w:bottom w:type="dxa" w:w="50"/>
              <w:right w:type="dxa" w:w="90"/>
            </w:tcMar>
          </w:tcPr>
          <w:p>
            <w:pPr>
              <w:spacing w:after="28" w:line="250"/>
            </w:pPr>
            <w:r>
              <w:rPr>
                <w:b/>
                <w:bCs/>
                <w:color w:val="FFFFFF"/>
                <w:sz w:val="19"/>
                <w:szCs w:val="19"/>
              </w:rPr>
              <w:t xml:space="preserve">Component</w:t>
            </w:r>
          </w:p>
        </w:tc>
        <w:tc>
          <w:tcPr>
            <w:tcW w:type="dxa" w:w="4260"/>
            <w:shd w:fill="1F3A5F" w:color="auto" w:val="clear"/>
            <w:tcMar>
              <w:top w:type="dxa" w:w="50"/>
              <w:left w:type="dxa" w:w="90"/>
              <w:bottom w:type="dxa" w:w="50"/>
              <w:right w:type="dxa" w:w="90"/>
            </w:tcMar>
          </w:tcPr>
          <w:p>
            <w:pPr>
              <w:spacing w:after="28" w:line="250"/>
            </w:pPr>
            <w:r>
              <w:rPr>
                <w:b/>
                <w:bCs/>
                <w:color w:val="FFFFFF"/>
                <w:sz w:val="19"/>
                <w:szCs w:val="19"/>
              </w:rPr>
              <w:t xml:space="preserve">What it does</w:t>
            </w:r>
          </w:p>
        </w:tc>
        <w:tc>
          <w:tcPr>
            <w:tcW w:type="dxa" w:w="3000"/>
            <w:shd w:fill="1F3A5F" w:color="auto" w:val="clear"/>
            <w:tcMar>
              <w:top w:type="dxa" w:w="50"/>
              <w:left w:type="dxa" w:w="90"/>
              <w:bottom w:type="dxa" w:w="50"/>
              <w:right w:type="dxa" w:w="90"/>
            </w:tcMar>
          </w:tcPr>
          <w:p>
            <w:pPr>
              <w:spacing w:after="28" w:line="250"/>
            </w:pPr>
            <w:r>
              <w:rPr>
                <w:b/>
                <w:bCs/>
                <w:color w:val="FFFFFF"/>
                <w:sz w:val="19"/>
                <w:szCs w:val="19"/>
              </w:rPr>
              <w:t xml:space="preserve">Why</w:t>
            </w:r>
          </w:p>
        </w:tc>
      </w:tr>
      <w:tr>
        <w:tc>
          <w:tcPr>
            <w:tcW w:type="dxa" w:w="21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config.py (Settings)</w:t>
            </w:r>
          </w:p>
        </w:tc>
        <w:tc>
          <w:tcPr>
            <w:tcW w:type="dxa" w:w="42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Loads all settings from the environment into one validated object; keeps backward-compatible constants.</w:t>
            </w:r>
          </w:p>
        </w:tc>
        <w:tc>
          <w:tcPr>
            <w:tcW w:type="dxa" w:w="30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One source of truth; validates only at point-of-use so the app still runs without every key.</w:t>
            </w:r>
          </w:p>
        </w:tc>
      </w:tr>
      <w:tr>
        <w:tc>
          <w:tcPr>
            <w:tcW w:type="dxa" w:w="21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exceptions.py</w:t>
            </w:r>
          </w:p>
        </w:tc>
        <w:tc>
          <w:tcPr>
            <w:tcW w:type="dxa" w:w="42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Typed errors per layer (ConfigError, IngestionError, RetrievalError, GenerationError…).</w:t>
            </w:r>
          </w:p>
        </w:tc>
        <w:tc>
          <w:tcPr>
            <w:tcW w:type="dxa" w:w="30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Failures are explicit and catchable, not silent.</w:t>
            </w:r>
          </w:p>
        </w:tc>
      </w:tr>
      <w:tr>
        <w:tc>
          <w:tcPr>
            <w:tcW w:type="dxa" w:w="21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logger.py</w:t>
            </w:r>
          </w:p>
        </w:tc>
        <w:tc>
          <w:tcPr>
            <w:tcW w:type="dxa" w:w="42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Central structured logging (loguru, with a fallback).</w:t>
            </w:r>
          </w:p>
        </w:tc>
        <w:tc>
          <w:tcPr>
            <w:tcW w:type="dxa" w:w="30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Every stage's progress and failures are traceable.</w:t>
            </w:r>
          </w:p>
        </w:tc>
      </w:tr>
      <w:tr>
        <w:tc>
          <w:tcPr>
            <w:tcW w:type="dxa" w:w="21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http.py (HttpClient)</w:t>
            </w:r>
          </w:p>
        </w:tc>
        <w:tc>
          <w:tcPr>
            <w:tcW w:type="dxa" w:w="42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A requests session with retries, back-off and timeouts.</w:t>
            </w:r>
          </w:p>
        </w:tc>
        <w:tc>
          <w:tcPr>
            <w:tcW w:type="dxa" w:w="30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Network calls to Confluence/Wiki survive transient errors.</w:t>
            </w:r>
          </w:p>
        </w:tc>
      </w:tr>
      <w:tr>
        <w:tc>
          <w:tcPr>
            <w:tcW w:type="dxa" w:w="21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constants.py</w:t>
            </w:r>
          </w:p>
        </w:tc>
        <w:tc>
          <w:tcPr>
            <w:tcW w:type="dxa" w:w="42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Shared constants (e.g. stop-words for keyword handling).</w:t>
            </w:r>
          </w:p>
        </w:tc>
        <w:tc>
          <w:tcPr>
            <w:tcW w:type="dxa" w:w="30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Consistent behaviour across retrieval and BM25.</w:t>
            </w:r>
          </w:p>
        </w:tc>
      </w:tr>
    </w:tbl>
    <w:p>
      <w:pPr>
        <w:pStyle w:val="Heading1"/>
        <w:spacing w:after="120" w:before="300"/>
      </w:pPr>
      <w:r>
        <w:rPr>
          <w:b/>
          <w:bCs/>
          <w:color w:val="1F3A5F"/>
          <w:sz w:val="30"/>
          <w:szCs w:val="30"/>
        </w:rPr>
        <w:t xml:space="preserve">5. Stage 1 — Ingestion</w:t>
      </w:r>
    </w:p>
    <w:p>
      <w:pPr>
        <w:spacing w:after="110" w:line="276"/>
      </w:pPr>
      <w:r>
        <w:rPr>
          <w:b/>
          <w:bCs/>
          <w:sz w:val="21"/>
          <w:szCs w:val="21"/>
        </w:rPr>
        <w:t xml:space="preserve">What it does. </w:t>
      </w:r>
      <w:r>
        <w:rPr>
          <w:sz w:val="21"/>
          <w:szCs w:val="21"/>
        </w:rPr>
        <w:t xml:space="preserve">Connects to the source, walks the page hierarchy from a root page, downloads each page's raw HTML, and records a normalised metadata sidecar. A source factory selects Confluence or MediaWiki from configuration.</w:t>
      </w:r>
    </w:p>
    <w:p>
      <w:pPr>
        <w:spacing w:after="110" w:line="276"/>
      </w:pPr>
      <w:r>
        <w:rPr>
          <w:b/>
          <w:bCs/>
          <w:sz w:val="21"/>
          <w:szCs w:val="21"/>
        </w:rPr>
        <w:t xml:space="preserve">Why. </w:t>
      </w:r>
      <w:r>
        <w:rPr>
          <w:sz w:val="21"/>
          <w:szCs w:val="21"/>
        </w:rPr>
        <w:t xml:space="preserve">Using the API (not scraping) gives reliable, structured content plus metadata and the parent/child tree — the tree becomes breadcrumbs that make later citations precise. Reducing every source to ‘raw HTML + metadata' is what makes the rest of the pipeline source-independent.</w:t>
      </w:r>
    </w:p>
    <w:p>
      <w:pPr>
        <w:spacing w:after="20" w:before="80"/>
        <w:jc w:val="center"/>
      </w:pPr>
      <w:r>
        <w:drawing>
          <wp:inline distT="0" distB="0" distL="0" distR="0">
            <wp:extent cx="5334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90775"/>
                    </a:xfrm>
                    <a:prstGeom prst="rect">
                      <a:avLst/>
                    </a:prstGeom>
                  </pic:spPr>
                </pic:pic>
              </a:graphicData>
            </a:graphic>
          </wp:inline>
        </w:drawing>
      </w:r>
    </w:p>
    <w:p>
      <w:pPr>
        <w:spacing w:after="150"/>
        <w:jc w:val="center"/>
      </w:pPr>
      <w:r>
        <w:rPr>
          <w:i/>
          <w:iCs/>
          <w:color w:val="5B6470"/>
          <w:sz w:val="18"/>
          <w:szCs w:val="18"/>
        </w:rPr>
        <w:t xml:space="preserve">Figure 2 — Ingestion: connect → build page tree → download each page → raw HTML + metadata sidecar.</w:t>
      </w:r>
    </w:p>
    <w:p>
      <w:pPr>
        <w:pStyle w:val="Heading3"/>
        <w:spacing w:after="60" w:before="150"/>
      </w:pPr>
      <w:r>
        <w:rPr>
          <w:b/>
          <w:bCs/>
          <w:color w:val="1F3A5F"/>
          <w:sz w:val="21"/>
          <w:szCs w:val="21"/>
        </w:rPr>
        <w:t xml:space="preserve">Key components</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500"/>
        <w:gridCol w:w="2600"/>
        <w:gridCol w:w="4260"/>
      </w:tblGrid>
      <w:tr>
        <w:trPr>
          <w:tblHeader/>
        </w:trPr>
        <w:tc>
          <w:tcPr>
            <w:tcW w:type="dxa" w:w="2500"/>
            <w:shd w:fill="1F3A5F" w:color="auto" w:val="clear"/>
            <w:tcMar>
              <w:top w:type="dxa" w:w="50"/>
              <w:left w:type="dxa" w:w="90"/>
              <w:bottom w:type="dxa" w:w="50"/>
              <w:right w:type="dxa" w:w="90"/>
            </w:tcMar>
          </w:tcPr>
          <w:p>
            <w:pPr>
              <w:spacing w:after="28" w:line="250"/>
            </w:pPr>
            <w:r>
              <w:rPr>
                <w:b/>
                <w:bCs/>
                <w:color w:val="FFFFFF"/>
                <w:sz w:val="19"/>
                <w:szCs w:val="19"/>
              </w:rPr>
              <w:t xml:space="preserve">Code</w:t>
            </w:r>
          </w:p>
        </w:tc>
        <w:tc>
          <w:tcPr>
            <w:tcW w:type="dxa" w:w="2600"/>
            <w:shd w:fill="1F3A5F" w:color="auto" w:val="clear"/>
            <w:tcMar>
              <w:top w:type="dxa" w:w="50"/>
              <w:left w:type="dxa" w:w="90"/>
              <w:bottom w:type="dxa" w:w="50"/>
              <w:right w:type="dxa" w:w="90"/>
            </w:tcMar>
          </w:tcPr>
          <w:p>
            <w:pPr>
              <w:spacing w:after="28" w:line="250"/>
            </w:pPr>
            <w:r>
              <w:rPr>
                <w:b/>
                <w:bCs/>
                <w:color w:val="FFFFFF"/>
                <w:sz w:val="19"/>
                <w:szCs w:val="19"/>
              </w:rPr>
              <w:t xml:space="preserve">Function</w:t>
            </w:r>
          </w:p>
        </w:tc>
        <w:tc>
          <w:tcPr>
            <w:tcW w:type="dxa" w:w="4260"/>
            <w:shd w:fill="1F3A5F" w:color="auto" w:val="clear"/>
            <w:tcMar>
              <w:top w:type="dxa" w:w="50"/>
              <w:left w:type="dxa" w:w="90"/>
              <w:bottom w:type="dxa" w:w="50"/>
              <w:right w:type="dxa" w:w="90"/>
            </w:tcMar>
          </w:tcPr>
          <w:p>
            <w:pPr>
              <w:spacing w:after="28" w:line="250"/>
            </w:pPr>
            <w:r>
              <w:rPr>
                <w:b/>
                <w:bCs/>
                <w:color w:val="FFFFFF"/>
                <w:sz w:val="19"/>
                <w:szCs w:val="19"/>
              </w:rPr>
              <w:t xml:space="preserve">Role</w:t>
            </w:r>
          </w:p>
        </w:tc>
      </w:tr>
      <w:tr>
        <w:tc>
          <w:tcPr>
            <w:tcW w:type="dxa" w:w="25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ConfluenceClient</w:t>
            </w:r>
          </w:p>
        </w:tc>
        <w:tc>
          <w:tcPr>
            <w:tcW w:type="dxa" w:w="26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.get()</w:t>
            </w:r>
          </w:p>
        </w:tc>
        <w:tc>
          <w:tcPr>
            <w:tcW w:type="dxa" w:w="42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Authenticated REST calls to Confluence.</w:t>
            </w:r>
          </w:p>
        </w:tc>
      </w:tr>
      <w:tr>
        <w:tc>
          <w:tcPr>
            <w:tcW w:type="dxa" w:w="25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HierarchyBuilder</w:t>
            </w:r>
          </w:p>
        </w:tc>
        <w:tc>
          <w:tcPr>
            <w:tcW w:type="dxa" w:w="26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.build_tree()</w:t>
            </w:r>
          </w:p>
        </w:tc>
        <w:tc>
          <w:tcPr>
            <w:tcW w:type="dxa" w:w="42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Recursively walks parent → child pages into a tree.</w:t>
            </w:r>
          </w:p>
        </w:tc>
      </w:tr>
      <w:tr>
        <w:tc>
          <w:tcPr>
            <w:tcW w:type="dxa" w:w="25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PageDownloader</w:t>
            </w:r>
          </w:p>
        </w:tc>
        <w:tc>
          <w:tcPr>
            <w:tcW w:type="dxa" w:w="26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.download_tree() / .download_page()</w:t>
            </w:r>
          </w:p>
        </w:tc>
        <w:tc>
          <w:tcPr>
            <w:tcW w:type="dxa" w:w="42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Saves each page's raw HTML (and sidecar).</w:t>
            </w:r>
          </w:p>
        </w:tc>
      </w:tr>
      <w:tr>
        <w:tc>
          <w:tcPr>
            <w:tcW w:type="dxa" w:w="25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sources/ (KnowledgeSource)</w:t>
            </w:r>
          </w:p>
        </w:tc>
        <w:tc>
          <w:tcPr>
            <w:tcW w:type="dxa" w:w="26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get_source()</w:t>
            </w:r>
          </w:p>
        </w:tc>
        <w:tc>
          <w:tcPr>
            <w:tcW w:type="dxa" w:w="42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Interface + factory: ConfluenceSource or MediaWikiSource by SOURCE.</w:t>
            </w:r>
          </w:p>
        </w:tc>
      </w:tr>
      <w:tr>
        <w:tc>
          <w:tcPr>
            <w:tcW w:type="dxa" w:w="25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ConfluencePage (model)</w:t>
            </w:r>
          </w:p>
        </w:tc>
        <w:tc>
          <w:tcPr>
            <w:tcW w:type="dxa" w:w="26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w:t>
            </w:r>
          </w:p>
        </w:tc>
        <w:tc>
          <w:tcPr>
            <w:tcW w:type="dxa" w:w="42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The tree node: id, title, level, children.</w:t>
            </w:r>
          </w:p>
        </w:tc>
      </w:tr>
    </w:tbl>
    <w:p>
      <w:pPr>
        <w:pStyle w:val="Heading1"/>
        <w:spacing w:after="120" w:before="300"/>
      </w:pPr>
      <w:r>
        <w:rPr>
          <w:b/>
          <w:bCs/>
          <w:color w:val="1F3A5F"/>
          <w:sz w:val="30"/>
          <w:szCs w:val="30"/>
        </w:rPr>
        <w:t xml:space="preserve">6. Stage 2 — Processing (clean, metadata, chunk)</w:t>
      </w:r>
    </w:p>
    <w:p>
      <w:pPr>
        <w:spacing w:after="110" w:line="276"/>
      </w:pPr>
      <w:r>
        <w:rPr>
          <w:b/>
          <w:bCs/>
          <w:sz w:val="21"/>
          <w:szCs w:val="21"/>
        </w:rPr>
        <w:t xml:space="preserve">What it does. </w:t>
      </w:r>
      <w:r>
        <w:rPr>
          <w:sz w:val="21"/>
          <w:szCs w:val="21"/>
        </w:rPr>
        <w:t xml:space="preserve">Converts storage HTML into clean Markdown, extracts per-page metadata, and splits each page into section-aware chunks with rich metadata.</w:t>
      </w:r>
    </w:p>
    <w:p>
      <w:pPr>
        <w:spacing w:after="110" w:line="276"/>
      </w:pPr>
      <w:r>
        <w:rPr>
          <w:b/>
          <w:bCs/>
          <w:sz w:val="21"/>
          <w:szCs w:val="21"/>
        </w:rPr>
        <w:t xml:space="preserve">Why. </w:t>
      </w:r>
      <w:r>
        <w:rPr>
          <w:sz w:val="21"/>
          <w:szCs w:val="21"/>
        </w:rPr>
        <w:t xml:space="preserve">Models have context limits, so a whole page cannot be one unit; and retrieving a small section rather than a whole page is exactly what makes a citation precise. Splitting on headings keeps semantic units intact.</w:t>
      </w:r>
    </w:p>
    <w:p>
      <w:pPr>
        <w:spacing w:after="20" w:before="8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33600"/>
                    </a:xfrm>
                    <a:prstGeom prst="rect">
                      <a:avLst/>
                    </a:prstGeom>
                  </pic:spPr>
                </pic:pic>
              </a:graphicData>
            </a:graphic>
          </wp:inline>
        </w:drawing>
      </w:r>
    </w:p>
    <w:p>
      <w:pPr>
        <w:spacing w:after="150"/>
        <w:jc w:val="center"/>
      </w:pPr>
      <w:r>
        <w:rPr>
          <w:i/>
          <w:iCs/>
          <w:color w:val="5B6470"/>
          <w:sz w:val="18"/>
          <w:szCs w:val="18"/>
        </w:rPr>
        <w:t xml:space="preserve">Figure 3 — Processing: raw HTML → clean Markdown → metadata → section-aware chunks.</w:t>
      </w:r>
    </w:p>
    <w:p>
      <w:pPr>
        <w:pStyle w:val="Heading3"/>
        <w:spacing w:after="60" w:before="150"/>
      </w:pPr>
      <w:r>
        <w:rPr>
          <w:b/>
          <w:bCs/>
          <w:color w:val="1F3A5F"/>
          <w:sz w:val="21"/>
          <w:szCs w:val="21"/>
        </w:rPr>
        <w:t xml:space="preserve">6.1 Cleaning — HTMLCleaner</w:t>
      </w:r>
    </w:p>
    <w:p>
      <w:pPr>
        <w:spacing w:after="110" w:line="276"/>
      </w:pPr>
      <w:r>
        <w:rPr>
          <w:sz w:val="21"/>
          <w:szCs w:val="21"/>
        </w:rPr>
        <w:t xml:space="preserve">Converts Confluence storage HTML to Markdown (</w:t>
      </w:r>
      <w:r>
        <w:rPr>
          <w:rFonts w:ascii="Consolas" w:cs="Consolas" w:eastAsia="Consolas" w:hAnsi="Consolas"/>
          <w:color w:val="0B3D2E"/>
          <w:sz w:val="19"/>
          <w:szCs w:val="19"/>
        </w:rPr>
        <w:t xml:space="preserve">clean_html</w:t>
      </w:r>
      <w:r>
        <w:rPr>
          <w:sz w:val="21"/>
          <w:szCs w:val="21"/>
        </w:rPr>
        <w:t xml:space="preserve">, </w:t>
      </w:r>
      <w:r>
        <w:rPr>
          <w:rFonts w:ascii="Consolas" w:cs="Consolas" w:eastAsia="Consolas" w:hAnsi="Consolas"/>
          <w:color w:val="0B3D2E"/>
          <w:sz w:val="19"/>
          <w:szCs w:val="19"/>
        </w:rPr>
        <w:t xml:space="preserve">clean_all</w:t>
      </w:r>
      <w:r>
        <w:rPr>
          <w:sz w:val="21"/>
          <w:szCs w:val="21"/>
        </w:rPr>
        <w:t xml:space="preserve">), with a custom converter that preserves images, tables and code blocks, then post-processes the Markdown. </w:t>
      </w:r>
      <w:r>
        <w:rPr>
          <w:i/>
          <w:iCs/>
          <w:sz w:val="21"/>
          <w:szCs w:val="21"/>
        </w:rPr>
        <w:t xml:space="preserve">Why: Markdown is compact, model-friendly, and keeps structure (tables/code/lists) that matters for retrieval.</w:t>
      </w:r>
    </w:p>
    <w:p>
      <w:pPr>
        <w:pStyle w:val="Heading3"/>
        <w:spacing w:after="60" w:before="150"/>
      </w:pPr>
      <w:r>
        <w:rPr>
          <w:b/>
          <w:bCs/>
          <w:color w:val="1F3A5F"/>
          <w:sz w:val="21"/>
          <w:szCs w:val="21"/>
        </w:rPr>
        <w:t xml:space="preserve">6.2 Metadata — MetadataExtractor</w:t>
      </w:r>
    </w:p>
    <w:p>
      <w:pPr>
        <w:spacing w:after="110" w:line="276"/>
      </w:pPr>
      <w:r>
        <w:rPr>
          <w:sz w:val="21"/>
          <w:szCs w:val="21"/>
        </w:rPr>
        <w:t xml:space="preserve">Extracts title, section, breadcrumb, owner, status, source URL and headings (</w:t>
      </w:r>
      <w:r>
        <w:rPr>
          <w:rFonts w:ascii="Consolas" w:cs="Consolas" w:eastAsia="Consolas" w:hAnsi="Consolas"/>
          <w:color w:val="0B3D2E"/>
          <w:sz w:val="19"/>
          <w:szCs w:val="19"/>
        </w:rPr>
        <w:t xml:space="preserve">extract_file</w:t>
      </w:r>
      <w:r>
        <w:rPr>
          <w:sz w:val="21"/>
          <w:szCs w:val="21"/>
        </w:rPr>
        <w:t xml:space="preserve">, </w:t>
      </w:r>
      <w:r>
        <w:rPr>
          <w:rFonts w:ascii="Consolas" w:cs="Consolas" w:eastAsia="Consolas" w:hAnsi="Consolas"/>
          <w:color w:val="0B3D2E"/>
          <w:sz w:val="19"/>
          <w:szCs w:val="19"/>
        </w:rPr>
        <w:t xml:space="preserve">extract_all</w:t>
      </w:r>
      <w:r>
        <w:rPr>
          <w:sz w:val="21"/>
          <w:szCs w:val="21"/>
        </w:rPr>
        <w:t xml:space="preserve">). A generic variant reads a source-written sidecar so non-Confluence sources work without Confluence-specific calls. </w:t>
      </w:r>
      <w:r>
        <w:rPr>
          <w:i/>
          <w:iCs/>
          <w:sz w:val="21"/>
          <w:szCs w:val="21"/>
        </w:rPr>
        <w:t xml:space="preserve">Why: these signals feed re-ranking and citations later, so they are captured once, up front.</w:t>
      </w:r>
    </w:p>
    <w:p>
      <w:pPr>
        <w:pStyle w:val="Heading3"/>
        <w:spacing w:after="60" w:before="150"/>
      </w:pPr>
      <w:r>
        <w:rPr>
          <w:b/>
          <w:bCs/>
          <w:color w:val="1F3A5F"/>
          <w:sz w:val="21"/>
          <w:szCs w:val="21"/>
        </w:rPr>
        <w:t xml:space="preserve">6.3 Chunking — MarkdownChunker</w:t>
      </w:r>
    </w:p>
    <w:p>
      <w:pPr>
        <w:spacing w:after="110" w:line="276"/>
      </w:pPr>
      <w:r>
        <w:rPr>
          <w:sz w:val="21"/>
          <w:szCs w:val="21"/>
        </w:rPr>
        <w:t xml:space="preserve">The most involved component. It finds headings and splits into sections, detects and protects tables, lists and code blocks (so they are never split mid-structure), parses the page into typed blocks, and builds chunk objects with a small overlap between neighbours.</w:t>
      </w:r>
    </w:p>
    <w:p>
      <w:pPr>
        <w:spacing w:after="20" w:before="80"/>
        <w:jc w:val="center"/>
      </w:pPr>
      <w:r>
        <w:drawing>
          <wp:inline distT="0" distB="0" distL="0" distR="0">
            <wp:extent cx="5334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33675"/>
                    </a:xfrm>
                    <a:prstGeom prst="rect">
                      <a:avLst/>
                    </a:prstGeom>
                  </pic:spPr>
                </pic:pic>
              </a:graphicData>
            </a:graphic>
          </wp:inline>
        </w:drawing>
      </w:r>
    </w:p>
    <w:p>
      <w:pPr>
        <w:spacing w:after="150"/>
        <w:jc w:val="center"/>
      </w:pPr>
      <w:r>
        <w:rPr>
          <w:i/>
          <w:iCs/>
          <w:color w:val="5B6470"/>
          <w:sz w:val="18"/>
          <w:szCs w:val="18"/>
        </w:rPr>
        <w:t xml:space="preserve">Figure 4 — Chunking detail: sections → protected blocks → typed blocks → chunk objects with overlap.</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3400"/>
        <w:gridCol w:w="5960"/>
      </w:tblGrid>
      <w:tr>
        <w:trPr>
          <w:tblHeader/>
        </w:trPr>
        <w:tc>
          <w:tcPr>
            <w:tcW w:type="dxa" w:w="3400"/>
            <w:shd w:fill="1F3A5F" w:color="auto" w:val="clear"/>
            <w:tcMar>
              <w:top w:type="dxa" w:w="50"/>
              <w:left w:type="dxa" w:w="90"/>
              <w:bottom w:type="dxa" w:w="50"/>
              <w:right w:type="dxa" w:w="90"/>
            </w:tcMar>
          </w:tcPr>
          <w:p>
            <w:pPr>
              <w:spacing w:after="28" w:line="250"/>
            </w:pPr>
            <w:r>
              <w:rPr>
                <w:b/>
                <w:bCs/>
                <w:color w:val="FFFFFF"/>
                <w:sz w:val="19"/>
                <w:szCs w:val="19"/>
              </w:rPr>
              <w:t xml:space="preserve">Function</w:t>
            </w:r>
          </w:p>
        </w:tc>
        <w:tc>
          <w:tcPr>
            <w:tcW w:type="dxa" w:w="5960"/>
            <w:shd w:fill="1F3A5F" w:color="auto" w:val="clear"/>
            <w:tcMar>
              <w:top w:type="dxa" w:w="50"/>
              <w:left w:type="dxa" w:w="90"/>
              <w:bottom w:type="dxa" w:w="50"/>
              <w:right w:type="dxa" w:w="90"/>
            </w:tcMar>
          </w:tcPr>
          <w:p>
            <w:pPr>
              <w:spacing w:after="28" w:line="250"/>
            </w:pPr>
            <w:r>
              <w:rPr>
                <w:b/>
                <w:bCs/>
                <w:color w:val="FFFFFF"/>
                <w:sz w:val="19"/>
                <w:szCs w:val="19"/>
              </w:rPr>
              <w:t xml:space="preserve">Role</w:t>
            </w:r>
          </w:p>
        </w:tc>
      </w:tr>
      <w:tr>
        <w:tc>
          <w:tcPr>
            <w:tcW w:type="dxa" w:w="34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find_headings / split_into_sections</w:t>
            </w:r>
          </w:p>
        </w:tc>
        <w:tc>
          <w:tcPr>
            <w:tcW w:type="dxa" w:w="59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Break the page on its heading structure.</w:t>
            </w:r>
          </w:p>
        </w:tc>
      </w:tr>
      <w:tr>
        <w:tc>
          <w:tcPr>
            <w:tcW w:type="dxa" w:w="34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detect_tables / detect_lists / detect_protected_blocks</w:t>
            </w:r>
          </w:p>
        </w:tc>
        <w:tc>
          <w:tcPr>
            <w:tcW w:type="dxa" w:w="59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Identify structures that must stay intact.</w:t>
            </w:r>
          </w:p>
        </w:tc>
      </w:tr>
      <w:tr>
        <w:tc>
          <w:tcPr>
            <w:tcW w:type="dxa" w:w="34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parse_blocks</w:t>
            </w:r>
          </w:p>
        </w:tc>
        <w:tc>
          <w:tcPr>
            <w:tcW w:type="dxa" w:w="59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Turn the page into typed blocks (heading, paragraph, table, list, code).</w:t>
            </w:r>
          </w:p>
        </w:tc>
      </w:tr>
      <w:tr>
        <w:tc>
          <w:tcPr>
            <w:tcW w:type="dxa" w:w="34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build_document_chunks / _create_overlap</w:t>
            </w:r>
          </w:p>
        </w:tc>
        <w:tc>
          <w:tcPr>
            <w:tcW w:type="dxa" w:w="59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Assemble chunks and add overlap so context isn't lost at boundaries.</w:t>
            </w:r>
          </w:p>
        </w:tc>
      </w:tr>
      <w:tr>
        <w:tc>
          <w:tcPr>
            <w:tcW w:type="dxa" w:w="34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_split_* helpers</w:t>
            </w:r>
          </w:p>
        </w:tc>
        <w:tc>
          <w:tcPr>
            <w:tcW w:type="dxa" w:w="59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Split oversized paragraphs/lists/tables/code safely.</w:t>
            </w:r>
          </w:p>
        </w:tc>
      </w:tr>
      <w:tr>
        <w:tc>
          <w:tcPr>
            <w:tcW w:type="dxa" w:w="34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create_chunk_objects / save_chunks</w:t>
            </w:r>
          </w:p>
        </w:tc>
        <w:tc>
          <w:tcPr>
            <w:tcW w:type="dxa" w:w="59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Produce and persist the per-page chunk JSON.</w:t>
            </w:r>
          </w:p>
        </w:tc>
      </w:tr>
    </w:tbl>
    <w:p>
      <w:pPr>
        <w:spacing w:after="110" w:line="276"/>
      </w:pPr>
      <w:r>
        <w:rPr>
          <w:b/>
          <w:bCs/>
          <w:sz w:val="21"/>
          <w:szCs w:val="21"/>
        </w:rPr>
        <w:t xml:space="preserve">Why overlap. </w:t>
      </w:r>
      <w:r>
        <w:rPr>
          <w:sz w:val="21"/>
          <w:szCs w:val="21"/>
        </w:rPr>
        <w:t xml:space="preserve">A fact that straddles two chunks could be lost; a small overlap ensures the answer-bearing sentence appears whole in at least one chunk.</w:t>
      </w:r>
    </w:p>
    <w:p>
      <w:pPr>
        <w:pStyle w:val="Heading1"/>
        <w:spacing w:after="120" w:before="300"/>
      </w:pPr>
      <w:r>
        <w:rPr>
          <w:b/>
          <w:bCs/>
          <w:color w:val="1F3A5F"/>
          <w:sz w:val="30"/>
          <w:szCs w:val="30"/>
        </w:rPr>
        <w:t xml:space="preserve">7. Stage 3 — Embedding &amp; Vector Index</w:t>
      </w:r>
    </w:p>
    <w:p>
      <w:pPr>
        <w:spacing w:after="110" w:line="276"/>
      </w:pPr>
      <w:r>
        <w:rPr>
          <w:b/>
          <w:bCs/>
          <w:sz w:val="21"/>
          <w:szCs w:val="21"/>
        </w:rPr>
        <w:t xml:space="preserve">What it does. </w:t>
      </w:r>
      <w:r>
        <w:rPr>
          <w:sz w:val="21"/>
          <w:szCs w:val="21"/>
        </w:rPr>
        <w:t xml:space="preserve">Encodes each chunk into a normalised 384-dimensional vector with a small local model, saves the vectors and an aligned metadata file, and builds a FAISS index.</w:t>
      </w:r>
    </w:p>
    <w:p>
      <w:pPr>
        <w:spacing w:after="110" w:line="276"/>
      </w:pPr>
      <w:r>
        <w:rPr>
          <w:b/>
          <w:bCs/>
          <w:sz w:val="21"/>
          <w:szCs w:val="21"/>
        </w:rPr>
        <w:t xml:space="preserve">Why. </w:t>
      </w:r>
      <w:r>
        <w:rPr>
          <w:sz w:val="21"/>
          <w:szCs w:val="21"/>
        </w:rPr>
        <w:t xml:space="preserve">Embeddings match meaning, so ‘how do I undo a deploy' finds a chunk about ‘rollback'. The model is small and local — no per-query cost, and document content never leaves the environment. Normalising vectors and using an inner-product index gives exact cosine similarity with no approximation, which suits a high-value corpus of this size.</w:t>
      </w:r>
    </w:p>
    <w:p>
      <w:pPr>
        <w:spacing w:after="20" w:before="8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05050"/>
                    </a:xfrm>
                    <a:prstGeom prst="rect">
                      <a:avLst/>
                    </a:prstGeom>
                  </pic:spPr>
                </pic:pic>
              </a:graphicData>
            </a:graphic>
          </wp:inline>
        </w:drawing>
      </w:r>
    </w:p>
    <w:p>
      <w:pPr>
        <w:spacing w:after="150"/>
        <w:jc w:val="center"/>
      </w:pPr>
      <w:r>
        <w:rPr>
          <w:i/>
          <w:iCs/>
          <w:color w:val="5B6470"/>
          <w:sz w:val="18"/>
          <w:szCs w:val="18"/>
        </w:rPr>
        <w:t xml:space="preserve">Figure 5 — Embedding &amp; index: chunks → MiniLM vectors + metadata → FAISS index.</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400"/>
        <w:gridCol w:w="3300"/>
        <w:gridCol w:w="3660"/>
      </w:tblGrid>
      <w:tr>
        <w:trPr>
          <w:tblHeader/>
        </w:trPr>
        <w:tc>
          <w:tcPr>
            <w:tcW w:type="dxa" w:w="2400"/>
            <w:shd w:fill="1F3A5F" w:color="auto" w:val="clear"/>
            <w:tcMar>
              <w:top w:type="dxa" w:w="50"/>
              <w:left w:type="dxa" w:w="90"/>
              <w:bottom w:type="dxa" w:w="50"/>
              <w:right w:type="dxa" w:w="90"/>
            </w:tcMar>
          </w:tcPr>
          <w:p>
            <w:pPr>
              <w:spacing w:after="28" w:line="250"/>
            </w:pPr>
            <w:r>
              <w:rPr>
                <w:b/>
                <w:bCs/>
                <w:color w:val="FFFFFF"/>
                <w:sz w:val="19"/>
                <w:szCs w:val="19"/>
              </w:rPr>
              <w:t xml:space="preserve">Code</w:t>
            </w:r>
          </w:p>
        </w:tc>
        <w:tc>
          <w:tcPr>
            <w:tcW w:type="dxa" w:w="3300"/>
            <w:shd w:fill="1F3A5F" w:color="auto" w:val="clear"/>
            <w:tcMar>
              <w:top w:type="dxa" w:w="50"/>
              <w:left w:type="dxa" w:w="90"/>
              <w:bottom w:type="dxa" w:w="50"/>
              <w:right w:type="dxa" w:w="90"/>
            </w:tcMar>
          </w:tcPr>
          <w:p>
            <w:pPr>
              <w:spacing w:after="28" w:line="250"/>
            </w:pPr>
            <w:r>
              <w:rPr>
                <w:b/>
                <w:bCs/>
                <w:color w:val="FFFFFF"/>
                <w:sz w:val="19"/>
                <w:szCs w:val="19"/>
              </w:rPr>
              <w:t xml:space="preserve">Function</w:t>
            </w:r>
          </w:p>
        </w:tc>
        <w:tc>
          <w:tcPr>
            <w:tcW w:type="dxa" w:w="3660"/>
            <w:shd w:fill="1F3A5F" w:color="auto" w:val="clear"/>
            <w:tcMar>
              <w:top w:type="dxa" w:w="50"/>
              <w:left w:type="dxa" w:w="90"/>
              <w:bottom w:type="dxa" w:w="50"/>
              <w:right w:type="dxa" w:w="90"/>
            </w:tcMar>
          </w:tcPr>
          <w:p>
            <w:pPr>
              <w:spacing w:after="28" w:line="250"/>
            </w:pPr>
            <w:r>
              <w:rPr>
                <w:b/>
                <w:bCs/>
                <w:color w:val="FFFFFF"/>
                <w:sz w:val="19"/>
                <w:szCs w:val="19"/>
              </w:rPr>
              <w:t xml:space="preserve">Role</w:t>
            </w:r>
          </w:p>
        </w:tc>
      </w:tr>
      <w:tr>
        <w:tc>
          <w:tcPr>
            <w:tcW w:type="dxa" w:w="24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EmbeddingModel</w:t>
            </w:r>
          </w:p>
        </w:tc>
        <w:tc>
          <w:tcPr>
            <w:tcW w:type="dxa" w:w="33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get_model()</w:t>
            </w:r>
          </w:p>
        </w:tc>
        <w:tc>
          <w:tcPr>
            <w:tcW w:type="dxa" w:w="36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Loads all-MiniLM-L6-v2 once (singleton).</w:t>
            </w:r>
          </w:p>
        </w:tc>
      </w:tr>
      <w:tr>
        <w:tc>
          <w:tcPr>
            <w:tcW w:type="dxa" w:w="24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EmbeddingGenerator</w:t>
            </w:r>
          </w:p>
        </w:tc>
        <w:tc>
          <w:tcPr>
            <w:tcW w:type="dxa" w:w="33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load_chunks / generate_embeddings / save_outputs / process_all</w:t>
            </w:r>
          </w:p>
        </w:tc>
        <w:tc>
          <w:tcPr>
            <w:tcW w:type="dxa" w:w="36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Encodes chunks, writes embeddings.npy and chunks_metadata.json.</w:t>
            </w:r>
          </w:p>
        </w:tc>
      </w:tr>
      <w:tr>
        <w:tc>
          <w:tcPr>
            <w:tcW w:type="dxa" w:w="24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VectorStore</w:t>
            </w:r>
          </w:p>
        </w:tc>
        <w:tc>
          <w:tcPr>
            <w:tcW w:type="dxa" w:w="33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build_index / load_index / search</w:t>
            </w:r>
          </w:p>
        </w:tc>
        <w:tc>
          <w:tcPr>
            <w:tcW w:type="dxa" w:w="36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Builds/loads the FAISS index; searches by query vector.</w:t>
            </w:r>
          </w:p>
        </w:tc>
      </w:tr>
    </w:tbl>
    <w:p>
      <w:pPr>
        <w:pStyle w:val="Heading1"/>
        <w:spacing w:after="120" w:before="300"/>
      </w:pPr>
      <w:r>
        <w:rPr>
          <w:b/>
          <w:bCs/>
          <w:color w:val="1F3A5F"/>
          <w:sz w:val="30"/>
          <w:szCs w:val="30"/>
        </w:rPr>
        <w:t xml:space="preserve">8. Stage 4 — Retrieval &amp; Ranking</w:t>
      </w:r>
    </w:p>
    <w:p>
      <w:pPr>
        <w:spacing w:after="110" w:line="276"/>
      </w:pPr>
      <w:r>
        <w:rPr>
          <w:b/>
          <w:bCs/>
          <w:sz w:val="21"/>
          <w:szCs w:val="21"/>
        </w:rPr>
        <w:t xml:space="preserve">What it does. </w:t>
      </w:r>
      <w:r>
        <w:rPr>
          <w:sz w:val="21"/>
          <w:szCs w:val="21"/>
        </w:rPr>
        <w:t xml:space="preserve">For a question, it generates candidate chunks two ways — dense (embedding) search and BM25 (keyword) search — fuses them (hybrid), then applies the metadata re-ranker, filters by score and de-duplicates.</w:t>
      </w:r>
    </w:p>
    <w:p>
      <w:pPr>
        <w:spacing w:after="110" w:line="276"/>
      </w:pPr>
      <w:r>
        <w:rPr>
          <w:b/>
          <w:bCs/>
          <w:sz w:val="21"/>
          <w:szCs w:val="21"/>
        </w:rPr>
        <w:t xml:space="preserve">Why. </w:t>
      </w:r>
      <w:r>
        <w:rPr>
          <w:sz w:val="21"/>
          <w:szCs w:val="21"/>
        </w:rPr>
        <w:t xml:space="preserve">Embeddings can miss exact tokens like error codes and API names; BM25 catches them. Fusing both recovers cases either alone would miss. The re-ranker then adds cheap, high-precision structural signals on top — without any retraining.</w:t>
      </w:r>
    </w:p>
    <w:p>
      <w:pPr>
        <w:spacing w:after="20" w:before="8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19400"/>
                    </a:xfrm>
                    <a:prstGeom prst="rect">
                      <a:avLst/>
                    </a:prstGeom>
                  </pic:spPr>
                </pic:pic>
              </a:graphicData>
            </a:graphic>
          </wp:inline>
        </w:drawing>
      </w:r>
    </w:p>
    <w:p>
      <w:pPr>
        <w:spacing w:after="150"/>
        <w:jc w:val="center"/>
      </w:pPr>
      <w:r>
        <w:rPr>
          <w:i/>
          <w:iCs/>
          <w:color w:val="5B6470"/>
          <w:sz w:val="18"/>
          <w:szCs w:val="18"/>
        </w:rPr>
        <w:t xml:space="preserve">Figure 6 — Retrieval: dense + BM25 → hybrid fusion → metadata re-rank → filtered, ranked chunks.</w:t>
      </w:r>
    </w:p>
    <w:p>
      <w:pPr>
        <w:pStyle w:val="Heading3"/>
        <w:spacing w:after="60" w:before="150"/>
      </w:pPr>
      <w:r>
        <w:rPr>
          <w:b/>
          <w:bCs/>
          <w:color w:val="1F3A5F"/>
          <w:sz w:val="21"/>
          <w:szCs w:val="21"/>
        </w:rPr>
        <w:t xml:space="preserve">8.1 Hybrid fusion (how dense and keyword scores combine)</w:t>
      </w:r>
    </w:p>
    <w:p>
      <w:pPr>
        <w:spacing w:after="110" w:line="276"/>
      </w:pPr>
      <w:r>
        <w:rPr>
          <w:sz w:val="21"/>
          <w:szCs w:val="21"/>
        </w:rPr>
        <w:t xml:space="preserve">Dense and BM25 scores are on different scales, so each candidate list is min-max normalised, then combined as </w:t>
      </w:r>
      <w:r>
        <w:rPr>
          <w:rFonts w:ascii="Consolas" w:cs="Consolas" w:eastAsia="Consolas" w:hAnsi="Consolas"/>
          <w:color w:val="0B3D2E"/>
          <w:sz w:val="19"/>
          <w:szCs w:val="19"/>
        </w:rPr>
        <w:t xml:space="preserve">α·dense + (1−α)·BM25</w:t>
      </w:r>
      <w:r>
        <w:rPr>
          <w:sz w:val="21"/>
          <w:szCs w:val="21"/>
        </w:rPr>
        <w:t xml:space="preserve">. α is the dense weight (default 0.5), tunable in the app. The true cosine score is preserved separately so citations and confidence stay meaningful.</w:t>
      </w:r>
    </w:p>
    <w:p>
      <w:pPr>
        <w:spacing w:after="20" w:before="80"/>
        <w:jc w:val="center"/>
      </w:pPr>
      <w:r>
        <w:drawing>
          <wp:inline distT="0" distB="0" distL="0" distR="0">
            <wp:extent cx="5334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24100"/>
                    </a:xfrm>
                    <a:prstGeom prst="rect">
                      <a:avLst/>
                    </a:prstGeom>
                  </pic:spPr>
                </pic:pic>
              </a:graphicData>
            </a:graphic>
          </wp:inline>
        </w:drawing>
      </w:r>
    </w:p>
    <w:p>
      <w:pPr>
        <w:spacing w:after="150"/>
        <w:jc w:val="center"/>
      </w:pPr>
      <w:r>
        <w:rPr>
          <w:i/>
          <w:iCs/>
          <w:color w:val="5B6470"/>
          <w:sz w:val="18"/>
          <w:szCs w:val="18"/>
        </w:rPr>
        <w:t xml:space="preserve">Figure 7 — Hybrid fusion: normalise each list, then weighted-combine into one ranking.</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200"/>
        <w:gridCol w:w="1900"/>
        <w:gridCol w:w="5260"/>
      </w:tblGrid>
      <w:tr>
        <w:trPr>
          <w:tblHeader/>
        </w:trPr>
        <w:tc>
          <w:tcPr>
            <w:tcW w:type="dxa" w:w="2200"/>
            <w:shd w:fill="1F3A5F" w:color="auto" w:val="clear"/>
            <w:tcMar>
              <w:top w:type="dxa" w:w="50"/>
              <w:left w:type="dxa" w:w="90"/>
              <w:bottom w:type="dxa" w:w="50"/>
              <w:right w:type="dxa" w:w="90"/>
            </w:tcMar>
          </w:tcPr>
          <w:p>
            <w:pPr>
              <w:spacing w:after="28" w:line="250"/>
            </w:pPr>
            <w:r>
              <w:rPr>
                <w:b/>
                <w:bCs/>
                <w:color w:val="FFFFFF"/>
                <w:sz w:val="19"/>
                <w:szCs w:val="19"/>
              </w:rPr>
              <w:t xml:space="preserve">Code</w:t>
            </w:r>
          </w:p>
        </w:tc>
        <w:tc>
          <w:tcPr>
            <w:tcW w:type="dxa" w:w="1900"/>
            <w:shd w:fill="1F3A5F" w:color="auto" w:val="clear"/>
            <w:tcMar>
              <w:top w:type="dxa" w:w="50"/>
              <w:left w:type="dxa" w:w="90"/>
              <w:bottom w:type="dxa" w:w="50"/>
              <w:right w:type="dxa" w:w="90"/>
            </w:tcMar>
          </w:tcPr>
          <w:p>
            <w:pPr>
              <w:spacing w:after="28" w:line="250"/>
            </w:pPr>
            <w:r>
              <w:rPr>
                <w:b/>
                <w:bCs/>
                <w:color w:val="FFFFFF"/>
                <w:sz w:val="19"/>
                <w:szCs w:val="19"/>
              </w:rPr>
              <w:t xml:space="preserve">Function</w:t>
            </w:r>
          </w:p>
        </w:tc>
        <w:tc>
          <w:tcPr>
            <w:tcW w:type="dxa" w:w="5260"/>
            <w:shd w:fill="1F3A5F" w:color="auto" w:val="clear"/>
            <w:tcMar>
              <w:top w:type="dxa" w:w="50"/>
              <w:left w:type="dxa" w:w="90"/>
              <w:bottom w:type="dxa" w:w="50"/>
              <w:right w:type="dxa" w:w="90"/>
            </w:tcMar>
          </w:tcPr>
          <w:p>
            <w:pPr>
              <w:spacing w:after="28" w:line="250"/>
            </w:pPr>
            <w:r>
              <w:rPr>
                <w:b/>
                <w:bCs/>
                <w:color w:val="FFFFFF"/>
                <w:sz w:val="19"/>
                <w:szCs w:val="19"/>
              </w:rPr>
              <w:t xml:space="preserve">Role</w:t>
            </w:r>
          </w:p>
        </w:tc>
      </w:tr>
      <w:tr>
        <w:tc>
          <w:tcPr>
            <w:tcW w:type="dxa" w:w="22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VectorStore</w:t>
            </w:r>
          </w:p>
        </w:tc>
        <w:tc>
          <w:tcPr>
            <w:tcW w:type="dxa" w:w="19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search()</w:t>
            </w:r>
          </w:p>
        </w:tc>
        <w:tc>
          <w:tcPr>
            <w:tcW w:type="dxa" w:w="52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Dense (semantic) candidates by cosine.</w:t>
            </w:r>
          </w:p>
        </w:tc>
      </w:tr>
      <w:tr>
        <w:tc>
          <w:tcPr>
            <w:tcW w:type="dxa" w:w="22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BM25Index</w:t>
            </w:r>
          </w:p>
        </w:tc>
        <w:tc>
          <w:tcPr>
            <w:tcW w:type="dxa" w:w="19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search()</w:t>
            </w:r>
          </w:p>
        </w:tc>
        <w:tc>
          <w:tcPr>
            <w:tcW w:type="dxa" w:w="52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Sparse (keyword) candidates.</w:t>
            </w:r>
          </w:p>
        </w:tc>
      </w:tr>
      <w:tr>
        <w:tc>
          <w:tcPr>
            <w:tcW w:type="dxa" w:w="22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HybridSearcher</w:t>
            </w:r>
          </w:p>
        </w:tc>
        <w:tc>
          <w:tcPr>
            <w:tcW w:type="dxa" w:w="19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search()</w:t>
            </w:r>
          </w:p>
        </w:tc>
        <w:tc>
          <w:tcPr>
            <w:tcW w:type="dxa" w:w="52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Fuses the two lists into one ranked set.</w:t>
            </w:r>
          </w:p>
        </w:tc>
      </w:tr>
      <w:tr>
        <w:tc>
          <w:tcPr>
            <w:tcW w:type="dxa" w:w="22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RetrievalReranker</w:t>
            </w:r>
          </w:p>
        </w:tc>
        <w:tc>
          <w:tcPr>
            <w:tcW w:type="dxa" w:w="19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rerank()</w:t>
            </w:r>
          </w:p>
        </w:tc>
        <w:tc>
          <w:tcPr>
            <w:tcW w:type="dxa" w:w="52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Boosts title/section/heading/keyword/exact-phrase matches.</w:t>
            </w:r>
          </w:p>
        </w:tc>
      </w:tr>
      <w:tr>
        <w:tc>
          <w:tcPr>
            <w:tcW w:type="dxa" w:w="22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Retriever</w:t>
            </w:r>
          </w:p>
        </w:tc>
        <w:tc>
          <w:tcPr>
            <w:tcW w:type="dxa" w:w="19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retrieve()</w:t>
            </w:r>
          </w:p>
        </w:tc>
        <w:tc>
          <w:tcPr>
            <w:tcW w:type="dxa" w:w="52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Orchestrates candidates → rerank → filter → de-dup.</w:t>
            </w:r>
          </w:p>
        </w:tc>
      </w:tr>
      <w:tr>
        <w:tc>
          <w:tcPr>
            <w:tcW w:type="dxa" w:w="22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CitationBuilder</w:t>
            </w:r>
          </w:p>
        </w:tc>
        <w:tc>
          <w:tcPr>
            <w:tcW w:type="dxa" w:w="19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build()</w:t>
            </w:r>
          </w:p>
        </w:tc>
        <w:tc>
          <w:tcPr>
            <w:tcW w:type="dxa" w:w="52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Turns ranked chunks into citation records with scores and links.</w:t>
            </w:r>
          </w:p>
        </w:tc>
      </w:tr>
    </w:tbl>
    <w:p>
      <w:pPr>
        <w:pStyle w:val="Heading1"/>
        <w:spacing w:after="120" w:before="300"/>
      </w:pPr>
      <w:r>
        <w:rPr>
          <w:b/>
          <w:bCs/>
          <w:color w:val="1F3A5F"/>
          <w:sz w:val="30"/>
          <w:szCs w:val="30"/>
        </w:rPr>
        <w:t xml:space="preserve">9. Stage 5 — Answer Generation</w:t>
      </w:r>
    </w:p>
    <w:p>
      <w:pPr>
        <w:spacing w:after="110" w:line="276"/>
      </w:pPr>
      <w:r>
        <w:rPr>
          <w:b/>
          <w:bCs/>
          <w:sz w:val="21"/>
          <w:szCs w:val="21"/>
        </w:rPr>
        <w:t xml:space="preserve">What it does. </w:t>
      </w:r>
      <w:r>
        <w:rPr>
          <w:sz w:val="21"/>
          <w:szCs w:val="21"/>
        </w:rPr>
        <w:t xml:space="preserve">Assembles the top-k chunks into a bounded context, builds a prompt instructing the model to answer strictly from that context, calls the LLM, and returns the answer with citations and a confidence badge. If no LLM key is set, it degrades to retrieval-only.</w:t>
      </w:r>
    </w:p>
    <w:p>
      <w:pPr>
        <w:spacing w:after="110" w:line="276"/>
      </w:pPr>
      <w:r>
        <w:rPr>
          <w:b/>
          <w:bCs/>
          <w:sz w:val="21"/>
          <w:szCs w:val="21"/>
        </w:rPr>
        <w:t xml:space="preserve">Why. </w:t>
      </w:r>
      <w:r>
        <w:rPr>
          <w:sz w:val="21"/>
          <w:szCs w:val="21"/>
        </w:rPr>
        <w:t xml:space="preserve">Grounding (answer only from provided context) is the primary defence against hallucination; citations make every claim verifiable; and confidence (from the top similarity) flags weak-evidence answers.</w:t>
      </w:r>
    </w:p>
    <w:p>
      <w:pPr>
        <w:spacing w:after="20" w:before="80"/>
        <w:jc w:val="center"/>
      </w:pPr>
      <w:r>
        <w:drawing>
          <wp:inline distT="0" distB="0" distL="0" distR="0">
            <wp:extent cx="5334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47875"/>
                    </a:xfrm>
                    <a:prstGeom prst="rect">
                      <a:avLst/>
                    </a:prstGeom>
                  </pic:spPr>
                </pic:pic>
              </a:graphicData>
            </a:graphic>
          </wp:inline>
        </w:drawing>
      </w:r>
    </w:p>
    <w:p>
      <w:pPr>
        <w:spacing w:after="150"/>
        <w:jc w:val="center"/>
      </w:pPr>
      <w:r>
        <w:rPr>
          <w:i/>
          <w:iCs/>
          <w:color w:val="5B6470"/>
          <w:sz w:val="18"/>
          <w:szCs w:val="18"/>
        </w:rPr>
        <w:t xml:space="preserve">Figure 8 — Generation: top-k context → prompt → LLM → parsed answer + citations + confidence.</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200"/>
        <w:gridCol w:w="2400"/>
        <w:gridCol w:w="4760"/>
      </w:tblGrid>
      <w:tr>
        <w:trPr>
          <w:tblHeader/>
        </w:trPr>
        <w:tc>
          <w:tcPr>
            <w:tcW w:type="dxa" w:w="2200"/>
            <w:shd w:fill="1F3A5F" w:color="auto" w:val="clear"/>
            <w:tcMar>
              <w:top w:type="dxa" w:w="50"/>
              <w:left w:type="dxa" w:w="90"/>
              <w:bottom w:type="dxa" w:w="50"/>
              <w:right w:type="dxa" w:w="90"/>
            </w:tcMar>
          </w:tcPr>
          <w:p>
            <w:pPr>
              <w:spacing w:after="28" w:line="250"/>
            </w:pPr>
            <w:r>
              <w:rPr>
                <w:b/>
                <w:bCs/>
                <w:color w:val="FFFFFF"/>
                <w:sz w:val="19"/>
                <w:szCs w:val="19"/>
              </w:rPr>
              <w:t xml:space="preserve">Code</w:t>
            </w:r>
          </w:p>
        </w:tc>
        <w:tc>
          <w:tcPr>
            <w:tcW w:type="dxa" w:w="2400"/>
            <w:shd w:fill="1F3A5F" w:color="auto" w:val="clear"/>
            <w:tcMar>
              <w:top w:type="dxa" w:w="50"/>
              <w:left w:type="dxa" w:w="90"/>
              <w:bottom w:type="dxa" w:w="50"/>
              <w:right w:type="dxa" w:w="90"/>
            </w:tcMar>
          </w:tcPr>
          <w:p>
            <w:pPr>
              <w:spacing w:after="28" w:line="250"/>
            </w:pPr>
            <w:r>
              <w:rPr>
                <w:b/>
                <w:bCs/>
                <w:color w:val="FFFFFF"/>
                <w:sz w:val="19"/>
                <w:szCs w:val="19"/>
              </w:rPr>
              <w:t xml:space="preserve">Function</w:t>
            </w:r>
          </w:p>
        </w:tc>
        <w:tc>
          <w:tcPr>
            <w:tcW w:type="dxa" w:w="4760"/>
            <w:shd w:fill="1F3A5F" w:color="auto" w:val="clear"/>
            <w:tcMar>
              <w:top w:type="dxa" w:w="50"/>
              <w:left w:type="dxa" w:w="90"/>
              <w:bottom w:type="dxa" w:w="50"/>
              <w:right w:type="dxa" w:w="90"/>
            </w:tcMar>
          </w:tcPr>
          <w:p>
            <w:pPr>
              <w:spacing w:after="28" w:line="250"/>
            </w:pPr>
            <w:r>
              <w:rPr>
                <w:b/>
                <w:bCs/>
                <w:color w:val="FFFFFF"/>
                <w:sz w:val="19"/>
                <w:szCs w:val="19"/>
              </w:rPr>
              <w:t xml:space="preserve">Role</w:t>
            </w:r>
          </w:p>
        </w:tc>
      </w:tr>
      <w:tr>
        <w:tc>
          <w:tcPr>
            <w:tcW w:type="dxa" w:w="22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PromptBuilder</w:t>
            </w:r>
          </w:p>
        </w:tc>
        <w:tc>
          <w:tcPr>
            <w:tcW w:type="dxa" w:w="24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build_context / build_prompt</w:t>
            </w:r>
          </w:p>
        </w:tc>
        <w:tc>
          <w:tcPr>
            <w:tcW w:type="dxa" w:w="47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Formats the retrieved chunks and the grounding instruction.</w:t>
            </w:r>
          </w:p>
        </w:tc>
      </w:tr>
      <w:tr>
        <w:tc>
          <w:tcPr>
            <w:tcW w:type="dxa" w:w="22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LLMGenerator</w:t>
            </w:r>
          </w:p>
        </w:tc>
        <w:tc>
          <w:tcPr>
            <w:tcW w:type="dxa" w:w="24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generate()</w:t>
            </w:r>
          </w:p>
        </w:tc>
        <w:tc>
          <w:tcPr>
            <w:tcW w:type="dxa" w:w="47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Calls the LLM (OpenAI) with the grounded prompt.</w:t>
            </w:r>
          </w:p>
        </w:tc>
      </w:tr>
      <w:tr>
        <w:tc>
          <w:tcPr>
            <w:tcW w:type="dxa" w:w="22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ResponseParser</w:t>
            </w:r>
          </w:p>
        </w:tc>
        <w:tc>
          <w:tcPr>
            <w:tcW w:type="dxa" w:w="24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build_response()</w:t>
            </w:r>
          </w:p>
        </w:tc>
        <w:tc>
          <w:tcPr>
            <w:tcW w:type="dxa" w:w="47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Structures answer, citations, confidence and metrics.</w:t>
            </w:r>
          </w:p>
        </w:tc>
      </w:tr>
      <w:tr>
        <w:tc>
          <w:tcPr>
            <w:tcW w:type="dxa" w:w="22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RAGPipeline</w:t>
            </w:r>
          </w:p>
        </w:tc>
        <w:tc>
          <w:tcPr>
            <w:tcW w:type="dxa" w:w="24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answer() / retrieve() / _confidence()</w:t>
            </w:r>
          </w:p>
        </w:tc>
        <w:tc>
          <w:tcPr>
            <w:tcW w:type="dxa" w:w="47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End-to-end query orchestrator (retrieval-only fallback).</w:t>
            </w:r>
          </w:p>
        </w:tc>
      </w:tr>
    </w:tbl>
    <w:p>
      <w:r>
        <w:br w:type="page"/>
      </w:r>
    </w:p>
    <w:p>
      <w:pPr>
        <w:pStyle w:val="Heading1"/>
        <w:spacing w:after="120" w:before="300"/>
      </w:pPr>
      <w:r>
        <w:rPr>
          <w:b/>
          <w:bCs/>
          <w:color w:val="1F3A5F"/>
          <w:sz w:val="30"/>
          <w:szCs w:val="30"/>
        </w:rPr>
        <w:t xml:space="preserve">10. Stage 6 — Evaluation &amp; Metrics</w:t>
      </w:r>
    </w:p>
    <w:p>
      <w:pPr>
        <w:spacing w:after="110" w:line="276"/>
      </w:pPr>
      <w:r>
        <w:rPr>
          <w:b/>
          <w:bCs/>
          <w:sz w:val="21"/>
          <w:szCs w:val="21"/>
        </w:rPr>
        <w:t xml:space="preserve">What it does. </w:t>
      </w:r>
      <w:r>
        <w:rPr>
          <w:sz w:val="21"/>
          <w:szCs w:val="21"/>
        </w:rPr>
        <w:t xml:space="preserve">Runs the golden set's questions through the same retriever and scores the ranked results against each question's known-correct page(s). The retriever is given only the question — never the labels — so the scores are genuine.</w:t>
      </w:r>
    </w:p>
    <w:p>
      <w:pPr>
        <w:spacing w:after="20" w:before="80"/>
        <w:jc w:val="center"/>
      </w:pPr>
      <w:r>
        <w:drawing>
          <wp:inline distT="0" distB="0" distL="0" distR="0">
            <wp:extent cx="5334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90775"/>
                    </a:xfrm>
                    <a:prstGeom prst="rect">
                      <a:avLst/>
                    </a:prstGeom>
                  </pic:spPr>
                </pic:pic>
              </a:graphicData>
            </a:graphic>
          </wp:inline>
        </w:drawing>
      </w:r>
    </w:p>
    <w:p>
      <w:pPr>
        <w:spacing w:after="150"/>
        <w:jc w:val="center"/>
      </w:pPr>
      <w:r>
        <w:rPr>
          <w:i/>
          <w:iCs/>
          <w:color w:val="5B6470"/>
          <w:sz w:val="18"/>
          <w:szCs w:val="18"/>
        </w:rPr>
        <w:t xml:space="preserve">Figure 9 — Evaluation: labelled questions → retrieve → compare vs labels → averaged metrics.</w:t>
      </w:r>
    </w:p>
    <w:p>
      <w:pPr>
        <w:spacing w:after="110" w:line="276"/>
      </w:pPr>
      <w:r>
        <w:rPr>
          <w:b/>
          <w:bCs/>
          <w:sz w:val="21"/>
          <w:szCs w:val="21"/>
        </w:rPr>
        <w:t xml:space="preserve">Methodology (why it's fair). </w:t>
      </w:r>
      <w:r>
        <w:rPr>
          <w:sz w:val="21"/>
          <w:szCs w:val="21"/>
        </w:rPr>
        <w:t xml:space="preserve">This is standard supervised information-retrieval evaluation: predict on the input, then grade the prediction against a hidden label. Because the retriever never sees the answer key, a high score reflects real quality, not leakage.</w:t>
      </w:r>
    </w:p>
    <w:p>
      <w:pPr>
        <w:pStyle w:val="Heading2"/>
        <w:spacing w:after="90" w:before="210"/>
      </w:pPr>
      <w:r>
        <w:rPr>
          <w:b/>
          <w:bCs/>
          <w:color w:val="2E5A88"/>
          <w:sz w:val="24"/>
          <w:szCs w:val="24"/>
        </w:rPr>
        <w:t xml:space="preserve">10.1 Metrics, defined explicitly</w:t>
      </w:r>
    </w:p>
    <w:p>
      <w:pPr>
        <w:spacing w:after="110" w:line="276"/>
      </w:pPr>
      <w:r>
        <w:rPr>
          <w:sz w:val="21"/>
          <w:szCs w:val="21"/>
        </w:rPr>
        <w:t xml:space="preserve">All metrics are computed per question and then averaged. ‘Relevant' means a page the question is truly answered by; ‘retrieved' means the pages the system returned, in rank order.</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1900"/>
        <w:gridCol w:w="3000"/>
        <w:gridCol w:w="2400"/>
        <w:gridCol w:w="2060"/>
      </w:tblGrid>
      <w:tr>
        <w:trPr>
          <w:tblHeader/>
        </w:trPr>
        <w:tc>
          <w:tcPr>
            <w:tcW w:type="dxa" w:w="1900"/>
            <w:shd w:fill="1F3A5F" w:color="auto" w:val="clear"/>
            <w:tcMar>
              <w:top w:type="dxa" w:w="50"/>
              <w:left w:type="dxa" w:w="90"/>
              <w:bottom w:type="dxa" w:w="50"/>
              <w:right w:type="dxa" w:w="90"/>
            </w:tcMar>
          </w:tcPr>
          <w:p>
            <w:pPr>
              <w:spacing w:after="28" w:line="250"/>
            </w:pPr>
            <w:r>
              <w:rPr>
                <w:b/>
                <w:bCs/>
                <w:color w:val="FFFFFF"/>
                <w:sz w:val="19"/>
                <w:szCs w:val="19"/>
              </w:rPr>
              <w:t xml:space="preserve">Metric</w:t>
            </w:r>
          </w:p>
        </w:tc>
        <w:tc>
          <w:tcPr>
            <w:tcW w:type="dxa" w:w="3000"/>
            <w:shd w:fill="1F3A5F" w:color="auto" w:val="clear"/>
            <w:tcMar>
              <w:top w:type="dxa" w:w="50"/>
              <w:left w:type="dxa" w:w="90"/>
              <w:bottom w:type="dxa" w:w="50"/>
              <w:right w:type="dxa" w:w="90"/>
            </w:tcMar>
          </w:tcPr>
          <w:p>
            <w:pPr>
              <w:spacing w:after="28" w:line="250"/>
            </w:pPr>
            <w:r>
              <w:rPr>
                <w:b/>
                <w:bCs/>
                <w:color w:val="FFFFFF"/>
                <w:sz w:val="19"/>
                <w:szCs w:val="19"/>
              </w:rPr>
              <w:t xml:space="preserve">Definition (plain)</w:t>
            </w:r>
          </w:p>
        </w:tc>
        <w:tc>
          <w:tcPr>
            <w:tcW w:type="dxa" w:w="2400"/>
            <w:shd w:fill="1F3A5F" w:color="auto" w:val="clear"/>
            <w:tcMar>
              <w:top w:type="dxa" w:w="50"/>
              <w:left w:type="dxa" w:w="90"/>
              <w:bottom w:type="dxa" w:w="50"/>
              <w:right w:type="dxa" w:w="90"/>
            </w:tcMar>
          </w:tcPr>
          <w:p>
            <w:pPr>
              <w:spacing w:after="28" w:line="250"/>
            </w:pPr>
            <w:r>
              <w:rPr>
                <w:b/>
                <w:bCs/>
                <w:color w:val="FFFFFF"/>
                <w:sz w:val="19"/>
                <w:szCs w:val="19"/>
              </w:rPr>
              <w:t xml:space="preserve">Formula / rule</w:t>
            </w:r>
          </w:p>
        </w:tc>
        <w:tc>
          <w:tcPr>
            <w:tcW w:type="dxa" w:w="2060"/>
            <w:shd w:fill="1F3A5F" w:color="auto" w:val="clear"/>
            <w:tcMar>
              <w:top w:type="dxa" w:w="50"/>
              <w:left w:type="dxa" w:w="90"/>
              <w:bottom w:type="dxa" w:w="50"/>
              <w:right w:type="dxa" w:w="90"/>
            </w:tcMar>
          </w:tcPr>
          <w:p>
            <w:pPr>
              <w:spacing w:after="28" w:line="250"/>
            </w:pPr>
            <w:r>
              <w:rPr>
                <w:b/>
                <w:bCs/>
                <w:color w:val="FFFFFF"/>
                <w:sz w:val="19"/>
                <w:szCs w:val="19"/>
              </w:rPr>
              <w:t xml:space="preserve">Reads as</w:t>
            </w:r>
          </w:p>
        </w:tc>
      </w:tr>
      <w:tr>
        <w:tc>
          <w:tcPr>
            <w:tcW w:type="dxa" w:w="19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Precision@k</w:t>
            </w:r>
          </w:p>
        </w:tc>
        <w:tc>
          <w:tcPr>
            <w:tcW w:type="dxa" w:w="30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Of the top-k pages returned, the fraction that are correct.</w:t>
            </w:r>
          </w:p>
        </w:tc>
        <w:tc>
          <w:tcPr>
            <w:tcW w:type="dxa" w:w="24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(correct in top-k) ÷ k</w:t>
            </w:r>
          </w:p>
        </w:tc>
        <w:tc>
          <w:tcPr>
            <w:tcW w:type="dxa" w:w="20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Are the top results on-target?</w:t>
            </w:r>
          </w:p>
        </w:tc>
      </w:tr>
      <w:tr>
        <w:tc>
          <w:tcPr>
            <w:tcW w:type="dxa" w:w="19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Recall@k</w:t>
            </w:r>
          </w:p>
        </w:tc>
        <w:tc>
          <w:tcPr>
            <w:tcW w:type="dxa" w:w="30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Of all correct pages, the fraction that appear in the top-k.</w:t>
            </w:r>
          </w:p>
        </w:tc>
        <w:tc>
          <w:tcPr>
            <w:tcW w:type="dxa" w:w="24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(correct in top-k) ÷ (all correct)</w:t>
            </w:r>
          </w:p>
        </w:tc>
        <w:tc>
          <w:tcPr>
            <w:tcW w:type="dxa" w:w="20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Did we find it at all?</w:t>
            </w:r>
          </w:p>
        </w:tc>
      </w:tr>
      <w:tr>
        <w:tc>
          <w:tcPr>
            <w:tcW w:type="dxa" w:w="19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Hit@k</w:t>
            </w:r>
          </w:p>
        </w:tc>
        <w:tc>
          <w:tcPr>
            <w:tcW w:type="dxa" w:w="30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1 if any correct page is in the top-k, else 0.</w:t>
            </w:r>
          </w:p>
        </w:tc>
        <w:tc>
          <w:tcPr>
            <w:tcW w:type="dxa" w:w="24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1 if hit else 0</w:t>
            </w:r>
          </w:p>
        </w:tc>
        <w:tc>
          <w:tcPr>
            <w:tcW w:type="dxa" w:w="20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Did the right page show up?</w:t>
            </w:r>
          </w:p>
        </w:tc>
      </w:tr>
      <w:tr>
        <w:tc>
          <w:tcPr>
            <w:tcW w:type="dxa" w:w="19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MRR</w:t>
            </w:r>
          </w:p>
        </w:tc>
        <w:tc>
          <w:tcPr>
            <w:tcW w:type="dxa" w:w="30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Mean of 1 ÷ (rank of the first correct page).</w:t>
            </w:r>
          </w:p>
        </w:tc>
        <w:tc>
          <w:tcPr>
            <w:tcW w:type="dxa" w:w="24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avg(1/rank)</w:t>
            </w:r>
          </w:p>
        </w:tc>
        <w:tc>
          <w:tcPr>
            <w:tcW w:type="dxa" w:w="20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How high does the right page sit?</w:t>
            </w:r>
          </w:p>
        </w:tc>
      </w:tr>
      <w:tr>
        <w:tc>
          <w:tcPr>
            <w:tcW w:type="dxa" w:w="19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MAP</w:t>
            </w:r>
          </w:p>
        </w:tc>
        <w:tc>
          <w:tcPr>
            <w:tcW w:type="dxa" w:w="30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Mean average precision across correct pages.</w:t>
            </w:r>
          </w:p>
        </w:tc>
        <w:tc>
          <w:tcPr>
            <w:tcW w:type="dxa" w:w="24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avg over ranks of precision</w:t>
            </w:r>
          </w:p>
        </w:tc>
        <w:tc>
          <w:tcPr>
            <w:tcW w:type="dxa" w:w="20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Overall ranking quality.</w:t>
            </w:r>
          </w:p>
        </w:tc>
      </w:tr>
      <w:tr>
        <w:tc>
          <w:tcPr>
            <w:tcW w:type="dxa" w:w="19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Context-sufficiency</w:t>
            </w:r>
          </w:p>
        </w:tc>
        <w:tc>
          <w:tcPr>
            <w:tcW w:type="dxa" w:w="30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Fraction of expected answer facts present in the retrieved text.</w:t>
            </w:r>
          </w:p>
        </w:tc>
        <w:tc>
          <w:tcPr>
            <w:tcW w:type="dxa" w:w="24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(keywords found) ÷ (keywords)</w:t>
            </w:r>
          </w:p>
        </w:tc>
        <w:tc>
          <w:tcPr>
            <w:tcW w:type="dxa" w:w="20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Is enough to answer actually retrieved?</w:t>
            </w:r>
          </w:p>
        </w:tc>
      </w:tr>
      <w:tr>
        <w:tc>
          <w:tcPr>
            <w:tcW w:type="dxa" w:w="19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Cosine similarity</w:t>
            </w:r>
          </w:p>
        </w:tc>
        <w:tc>
          <w:tcPr>
            <w:tcW w:type="dxa" w:w="30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Closeness of question and chunk vectors (0–1).</w:t>
            </w:r>
          </w:p>
        </w:tc>
        <w:tc>
          <w:tcPr>
            <w:tcW w:type="dxa" w:w="24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dot(a,b) for unit vectors</w:t>
            </w:r>
          </w:p>
        </w:tc>
        <w:tc>
          <w:tcPr>
            <w:tcW w:type="dxa" w:w="20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How semantically related?</w:t>
            </w:r>
          </w:p>
        </w:tc>
      </w:tr>
    </w:tbl>
    <w:p>
      <w:pPr>
        <w:spacing w:after="110" w:line="276"/>
      </w:pPr>
      <w:r>
        <w:rPr>
          <w:b/>
          <w:bCs/>
          <w:sz w:val="21"/>
          <w:szCs w:val="21"/>
        </w:rPr>
        <w:t xml:space="preserve">Interpretation note (important for presenting). </w:t>
      </w:r>
      <w:r>
        <w:rPr>
          <w:sz w:val="21"/>
          <w:szCs w:val="21"/>
        </w:rPr>
        <w:t xml:space="preserve">When a question has a single correct page, Precision@3 is capped at 0.33 and Precision@5 at 0.20 — a property of single-answer questions, not a weakness. </w:t>
      </w:r>
      <w:r>
        <w:rPr>
          <w:b/>
          <w:bCs/>
          <w:sz w:val="21"/>
          <w:szCs w:val="21"/>
        </w:rPr>
        <w:t xml:space="preserve">Hit@1 and MRR are the headline retrieval numbers.</w:t>
      </w:r>
    </w:p>
    <w:p>
      <w:pPr>
        <w:pStyle w:val="Heading3"/>
        <w:spacing w:after="60" w:before="150"/>
      </w:pPr>
      <w:r>
        <w:rPr>
          <w:b/>
          <w:bCs/>
          <w:color w:val="1F3A5F"/>
          <w:sz w:val="21"/>
          <w:szCs w:val="21"/>
        </w:rPr>
        <w:t xml:space="preserve">Code</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2100"/>
        <w:gridCol w:w="3600"/>
        <w:gridCol w:w="3660"/>
      </w:tblGrid>
      <w:tr>
        <w:trPr>
          <w:tblHeader/>
        </w:trPr>
        <w:tc>
          <w:tcPr>
            <w:tcW w:type="dxa" w:w="2100"/>
            <w:shd w:fill="1F3A5F" w:color="auto" w:val="clear"/>
            <w:tcMar>
              <w:top w:type="dxa" w:w="50"/>
              <w:left w:type="dxa" w:w="90"/>
              <w:bottom w:type="dxa" w:w="50"/>
              <w:right w:type="dxa" w:w="90"/>
            </w:tcMar>
          </w:tcPr>
          <w:p>
            <w:pPr>
              <w:spacing w:after="28" w:line="250"/>
            </w:pPr>
            <w:r>
              <w:rPr>
                <w:b/>
                <w:bCs/>
                <w:color w:val="FFFFFF"/>
                <w:sz w:val="19"/>
                <w:szCs w:val="19"/>
              </w:rPr>
              <w:t xml:space="preserve">Code</w:t>
            </w:r>
          </w:p>
        </w:tc>
        <w:tc>
          <w:tcPr>
            <w:tcW w:type="dxa" w:w="3600"/>
            <w:shd w:fill="1F3A5F" w:color="auto" w:val="clear"/>
            <w:tcMar>
              <w:top w:type="dxa" w:w="50"/>
              <w:left w:type="dxa" w:w="90"/>
              <w:bottom w:type="dxa" w:w="50"/>
              <w:right w:type="dxa" w:w="90"/>
            </w:tcMar>
          </w:tcPr>
          <w:p>
            <w:pPr>
              <w:spacing w:after="28" w:line="250"/>
            </w:pPr>
            <w:r>
              <w:rPr>
                <w:b/>
                <w:bCs/>
                <w:color w:val="FFFFFF"/>
                <w:sz w:val="19"/>
                <w:szCs w:val="19"/>
              </w:rPr>
              <w:t xml:space="preserve">Function</w:t>
            </w:r>
          </w:p>
        </w:tc>
        <w:tc>
          <w:tcPr>
            <w:tcW w:type="dxa" w:w="3660"/>
            <w:shd w:fill="1F3A5F" w:color="auto" w:val="clear"/>
            <w:tcMar>
              <w:top w:type="dxa" w:w="50"/>
              <w:left w:type="dxa" w:w="90"/>
              <w:bottom w:type="dxa" w:w="50"/>
              <w:right w:type="dxa" w:w="90"/>
            </w:tcMar>
          </w:tcPr>
          <w:p>
            <w:pPr>
              <w:spacing w:after="28" w:line="250"/>
            </w:pPr>
            <w:r>
              <w:rPr>
                <w:b/>
                <w:bCs/>
                <w:color w:val="FFFFFF"/>
                <w:sz w:val="19"/>
                <w:szCs w:val="19"/>
              </w:rPr>
              <w:t xml:space="preserve">Role</w:t>
            </w:r>
          </w:p>
        </w:tc>
      </w:tr>
      <w:tr>
        <w:tc>
          <w:tcPr>
            <w:tcW w:type="dxa" w:w="21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metrics.py</w:t>
            </w:r>
          </w:p>
        </w:tc>
        <w:tc>
          <w:tcPr>
            <w:tcW w:type="dxa" w:w="36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precision_at_k, recall_at_k, hit_at_k, reciprocal_rank, average_precision, context_sufficiency</w:t>
            </w:r>
          </w:p>
        </w:tc>
        <w:tc>
          <w:tcPr>
            <w:tcW w:type="dxa" w:w="36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The metric formulas (unit-tested).</w:t>
            </w:r>
          </w:p>
        </w:tc>
      </w:tr>
      <w:tr>
        <w:tc>
          <w:tcPr>
            <w:tcW w:type="dxa" w:w="21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RetrievalEvaluator</w:t>
            </w:r>
          </w:p>
        </w:tc>
        <w:tc>
          <w:tcPr>
            <w:tcW w:type="dxa" w:w="360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run(), ranked_pages_and_texts, print_report</w:t>
            </w:r>
          </w:p>
        </w:tc>
        <w:tc>
          <w:tcPr>
            <w:tcW w:type="dxa" w:w="366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Runs the golden set, aggregates, saves results.</w:t>
            </w:r>
          </w:p>
        </w:tc>
      </w:tr>
      <w:tr>
        <w:tc>
          <w:tcPr>
            <w:tcW w:type="dxa" w:w="21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comparison.py</w:t>
            </w:r>
          </w:p>
        </w:tc>
        <w:tc>
          <w:tcPr>
            <w:tcW w:type="dxa" w:w="360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run_comparison / print_comparison</w:t>
            </w:r>
          </w:p>
        </w:tc>
        <w:tc>
          <w:tcPr>
            <w:tcW w:type="dxa" w:w="366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Dense-vs-hybrid comparison on a benchmark.</w:t>
            </w:r>
          </w:p>
        </w:tc>
      </w:tr>
    </w:tbl>
    <w:p>
      <w:pPr>
        <w:pStyle w:val="Heading1"/>
        <w:spacing w:after="120" w:before="300"/>
      </w:pPr>
      <w:r>
        <w:rPr>
          <w:b/>
          <w:bCs/>
          <w:color w:val="1F3A5F"/>
          <w:sz w:val="30"/>
          <w:szCs w:val="30"/>
        </w:rPr>
        <w:t xml:space="preserve">11. Stage 7 — Streamlit Application</w:t>
      </w:r>
    </w:p>
    <w:p>
      <w:pPr>
        <w:spacing w:after="110" w:line="276"/>
      </w:pPr>
      <w:r>
        <w:rPr>
          <w:b/>
          <w:bCs/>
          <w:sz w:val="21"/>
          <w:szCs w:val="21"/>
        </w:rPr>
        <w:t xml:space="preserve">What it does. </w:t>
      </w:r>
      <w:r>
        <w:rPr>
          <w:sz w:val="21"/>
          <w:szCs w:val="21"/>
        </w:rPr>
        <w:t xml:space="preserve">Provides two clearly separated surfaces over one index: an Ask page (live questions → answer, citations, retrieval diagnostics) and an Evaluation page (run the golden set → aggregate and per-question metrics). A ‘Mark correct' action lets a user label an asked question and add it to the golden set.</w:t>
      </w:r>
    </w:p>
    <w:p>
      <w:pPr>
        <w:spacing w:after="110" w:line="276"/>
      </w:pPr>
      <w:r>
        <w:rPr>
          <w:b/>
          <w:bCs/>
          <w:sz w:val="21"/>
          <w:szCs w:val="21"/>
        </w:rPr>
        <w:t xml:space="preserve">Why two surfaces. </w:t>
      </w:r>
      <w:r>
        <w:rPr>
          <w:sz w:val="21"/>
          <w:szCs w:val="21"/>
        </w:rPr>
        <w:t xml:space="preserve">Ask is unlabelled inference; Evaluation is labelled measurement. Keeping them separate is itself a correctness statement — an ad-hoc question has no known-correct page, so it cannot be scored until a human labels it via ‘Mark correct'.</w:t>
      </w:r>
    </w:p>
    <w:p>
      <w:pPr>
        <w:spacing w:after="20" w:before="80"/>
        <w:jc w:val="center"/>
      </w:pPr>
      <w:r>
        <w:drawing>
          <wp:inline distT="0" distB="0" distL="0" distR="0">
            <wp:extent cx="5334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62225"/>
                    </a:xfrm>
                    <a:prstGeom prst="rect">
                      <a:avLst/>
                    </a:prstGeom>
                  </pic:spPr>
                </pic:pic>
              </a:graphicData>
            </a:graphic>
          </wp:inline>
        </w:drawing>
      </w:r>
    </w:p>
    <w:p>
      <w:pPr>
        <w:spacing w:after="150"/>
        <w:jc w:val="center"/>
      </w:pPr>
      <w:r>
        <w:rPr>
          <w:i/>
          <w:iCs/>
          <w:color w:val="5B6470"/>
          <w:sz w:val="18"/>
          <w:szCs w:val="18"/>
        </w:rPr>
        <w:t xml:space="preserve">Figure 10 — Application: Ask and Evaluation paths over one index; ‘Mark correct' is the human-labelling bridge.</w:t>
      </w:r>
    </w:p>
    <w:p>
      <w:pPr>
        <w:pStyle w:val="Heading1"/>
        <w:spacing w:after="120" w:before="300"/>
      </w:pPr>
      <w:r>
        <w:rPr>
          <w:b/>
          <w:bCs/>
          <w:color w:val="1F3A5F"/>
          <w:sz w:val="30"/>
          <w:szCs w:val="30"/>
        </w:rPr>
        <w:t xml:space="preserve">12. Worked Example — A Question End-to-End</w:t>
      </w:r>
    </w:p>
    <w:p>
      <w:pPr>
        <w:spacing w:after="110" w:line="276"/>
      </w:pPr>
      <w:r>
        <w:rPr>
          <w:i/>
          <w:iCs/>
          <w:sz w:val="21"/>
          <w:szCs w:val="21"/>
        </w:rPr>
        <w:t xml:space="preserve">Question: </w:t>
      </w:r>
      <w:r>
        <w:rPr>
          <w:b/>
          <w:bCs/>
          <w:sz w:val="21"/>
          <w:szCs w:val="21"/>
        </w:rPr>
        <w:t xml:space="preserve">“What is the API rate limit?”</w:t>
      </w:r>
    </w:p>
    <w:p>
      <w:pPr>
        <w:pStyle w:val="ListParagraph"/>
        <w:numPr>
          <w:ilvl w:val="0"/>
          <w:numId w:val="2"/>
        </w:numPr>
        <w:spacing w:after="54" w:line="270"/>
      </w:pPr>
      <w:r>
        <w:rPr>
          <w:b/>
          <w:bCs/>
          <w:sz w:val="21"/>
          <w:szCs w:val="21"/>
        </w:rPr>
        <w:t xml:space="preserve">1. Embed. </w:t>
      </w:r>
      <w:r>
        <w:rPr>
          <w:sz w:val="21"/>
          <w:szCs w:val="21"/>
        </w:rPr>
        <w:t xml:space="preserve">The question becomes a 384-d vector.</w:t>
      </w:r>
    </w:p>
    <w:p>
      <w:pPr>
        <w:pStyle w:val="ListParagraph"/>
        <w:numPr>
          <w:ilvl w:val="0"/>
          <w:numId w:val="2"/>
        </w:numPr>
        <w:spacing w:after="54" w:line="270"/>
      </w:pPr>
      <w:r>
        <w:rPr>
          <w:b/>
          <w:bCs/>
          <w:sz w:val="21"/>
          <w:szCs w:val="21"/>
        </w:rPr>
        <w:t xml:space="preserve">2. Retrieve. </w:t>
      </w:r>
      <w:r>
        <w:rPr>
          <w:sz w:val="21"/>
          <w:szCs w:val="21"/>
        </w:rPr>
        <w:t xml:space="preserve">Dense search returns chunks near that vector; BM25 returns chunks containing ‘rate', ‘limit', ‘API'. The exact-term match helps BM25 surface the right chunk.</w:t>
      </w:r>
    </w:p>
    <w:p>
      <w:pPr>
        <w:pStyle w:val="ListParagraph"/>
        <w:numPr>
          <w:ilvl w:val="0"/>
          <w:numId w:val="2"/>
        </w:numPr>
        <w:spacing w:after="54" w:line="270"/>
      </w:pPr>
      <w:r>
        <w:rPr>
          <w:b/>
          <w:bCs/>
          <w:sz w:val="21"/>
          <w:szCs w:val="21"/>
        </w:rPr>
        <w:t xml:space="preserve">3. Fuse. </w:t>
      </w:r>
      <w:r>
        <w:rPr>
          <w:sz w:val="21"/>
          <w:szCs w:val="21"/>
        </w:rPr>
        <w:t xml:space="preserve">Both lists are normalised and combined; the REST API Reference chunk rises because it appears in both.</w:t>
      </w:r>
    </w:p>
    <w:p>
      <w:pPr>
        <w:pStyle w:val="ListParagraph"/>
        <w:numPr>
          <w:ilvl w:val="0"/>
          <w:numId w:val="2"/>
        </w:numPr>
        <w:spacing w:after="54" w:line="270"/>
      </w:pPr>
      <w:r>
        <w:rPr>
          <w:b/>
          <w:bCs/>
          <w:sz w:val="21"/>
          <w:szCs w:val="21"/>
        </w:rPr>
        <w:t xml:space="preserve">4. Re-rank. </w:t>
      </w:r>
      <w:r>
        <w:rPr>
          <w:sz w:val="21"/>
          <w:szCs w:val="21"/>
        </w:rPr>
        <w:t xml:space="preserve">Its section title (‘Rate limits') and exact-term overlap earn boosts, lifting it to rank 1.</w:t>
      </w:r>
    </w:p>
    <w:p>
      <w:pPr>
        <w:pStyle w:val="ListParagraph"/>
        <w:numPr>
          <w:ilvl w:val="0"/>
          <w:numId w:val="2"/>
        </w:numPr>
        <w:spacing w:after="54" w:line="270"/>
      </w:pPr>
      <w:r>
        <w:rPr>
          <w:b/>
          <w:bCs/>
          <w:sz w:val="21"/>
          <w:szCs w:val="21"/>
        </w:rPr>
        <w:t xml:space="preserve">5. Generate. </w:t>
      </w:r>
      <w:r>
        <w:rPr>
          <w:sz w:val="21"/>
          <w:szCs w:val="21"/>
        </w:rPr>
        <w:t xml:space="preserve">The top chunks form the context; the LLM answers strictly from them: ‘100 requests per minute per token'.</w:t>
      </w:r>
    </w:p>
    <w:p>
      <w:pPr>
        <w:pStyle w:val="ListParagraph"/>
        <w:numPr>
          <w:ilvl w:val="0"/>
          <w:numId w:val="2"/>
        </w:numPr>
        <w:spacing w:after="54" w:line="270"/>
      </w:pPr>
      <w:r>
        <w:rPr>
          <w:b/>
          <w:bCs/>
          <w:sz w:val="21"/>
          <w:szCs w:val="21"/>
        </w:rPr>
        <w:t xml:space="preserve">6. Cite. </w:t>
      </w:r>
      <w:r>
        <w:rPr>
          <w:sz w:val="21"/>
          <w:szCs w:val="21"/>
        </w:rPr>
        <w:t xml:space="preserve">The answer shows the REST API Reference page, section, link, cosine and BM25 scores, and a confidence badge.</w:t>
      </w:r>
    </w:p>
    <w:p>
      <w:pPr>
        <w:spacing w:after="110" w:line="276"/>
      </w:pPr>
      <w:r>
        <w:rPr>
          <w:b/>
          <w:bCs/>
          <w:sz w:val="21"/>
          <w:szCs w:val="21"/>
        </w:rPr>
        <w:t xml:space="preserve">If this question were in the golden set, </w:t>
      </w:r>
      <w:r>
        <w:rPr>
          <w:sz w:val="21"/>
          <w:szCs w:val="21"/>
        </w:rPr>
        <w:t xml:space="preserve">evaluation would confirm the correct page was ranked #1 (Hit@1 = 1, reciprocal rank = 1).</w:t>
      </w:r>
    </w:p>
    <w:p>
      <w:pPr>
        <w:pStyle w:val="Heading1"/>
        <w:spacing w:after="120" w:before="300"/>
      </w:pPr>
      <w:r>
        <w:rPr>
          <w:b/>
          <w:bCs/>
          <w:color w:val="1F3A5F"/>
          <w:sz w:val="30"/>
          <w:szCs w:val="30"/>
        </w:rPr>
        <w:t xml:space="preserve">13. Module Map (Quick Reference)</w:t>
      </w:r>
    </w:p>
    <w:tbl>
      <w:tblPr>
        <w:tblW w:type="dxa" w:w="9360"/>
        <w:tblBorders>
          <w:top w:val="single" w:color="C7D0DA" w:sz="4"/>
          <w:left w:val="single" w:color="C7D0DA" w:sz="4"/>
          <w:bottom w:val="single" w:color="C7D0DA" w:sz="4"/>
          <w:right w:val="single" w:color="C7D0DA" w:sz="4"/>
          <w:insideH w:val="single" w:color="C7D0DA" w:sz="4"/>
          <w:insideV w:val="single" w:color="C7D0DA" w:sz="4"/>
        </w:tblBorders>
      </w:tblPr>
      <w:tblGrid>
        <w:gridCol w:w="1500"/>
        <w:gridCol w:w="3560"/>
        <w:gridCol w:w="4300"/>
      </w:tblGrid>
      <w:tr>
        <w:trPr>
          <w:tblHeader/>
        </w:trPr>
        <w:tc>
          <w:tcPr>
            <w:tcW w:type="dxa" w:w="1500"/>
            <w:shd w:fill="1F3A5F" w:color="auto" w:val="clear"/>
            <w:tcMar>
              <w:top w:type="dxa" w:w="50"/>
              <w:left w:type="dxa" w:w="90"/>
              <w:bottom w:type="dxa" w:w="50"/>
              <w:right w:type="dxa" w:w="90"/>
            </w:tcMar>
          </w:tcPr>
          <w:p>
            <w:pPr>
              <w:spacing w:after="28" w:line="250"/>
            </w:pPr>
            <w:r>
              <w:rPr>
                <w:b/>
                <w:bCs/>
                <w:color w:val="FFFFFF"/>
                <w:sz w:val="19"/>
                <w:szCs w:val="19"/>
              </w:rPr>
              <w:t xml:space="preserve">Layer</w:t>
            </w:r>
          </w:p>
        </w:tc>
        <w:tc>
          <w:tcPr>
            <w:tcW w:type="dxa" w:w="3560"/>
            <w:shd w:fill="1F3A5F" w:color="auto" w:val="clear"/>
            <w:tcMar>
              <w:top w:type="dxa" w:w="50"/>
              <w:left w:type="dxa" w:w="90"/>
              <w:bottom w:type="dxa" w:w="50"/>
              <w:right w:type="dxa" w:w="90"/>
            </w:tcMar>
          </w:tcPr>
          <w:p>
            <w:pPr>
              <w:spacing w:after="28" w:line="250"/>
            </w:pPr>
            <w:r>
              <w:rPr>
                <w:b/>
                <w:bCs/>
                <w:color w:val="FFFFFF"/>
                <w:sz w:val="19"/>
                <w:szCs w:val="19"/>
              </w:rPr>
              <w:t xml:space="preserve">Modules</w:t>
            </w:r>
          </w:p>
        </w:tc>
        <w:tc>
          <w:tcPr>
            <w:tcW w:type="dxa" w:w="4300"/>
            <w:shd w:fill="1F3A5F" w:color="auto" w:val="clear"/>
            <w:tcMar>
              <w:top w:type="dxa" w:w="50"/>
              <w:left w:type="dxa" w:w="90"/>
              <w:bottom w:type="dxa" w:w="50"/>
              <w:right w:type="dxa" w:w="90"/>
            </w:tcMar>
          </w:tcPr>
          <w:p>
            <w:pPr>
              <w:spacing w:after="28" w:line="250"/>
            </w:pPr>
            <w:r>
              <w:rPr>
                <w:b/>
                <w:bCs/>
                <w:color w:val="FFFFFF"/>
                <w:sz w:val="19"/>
                <w:szCs w:val="19"/>
              </w:rPr>
              <w:t xml:space="preserve">Responsibility</w:t>
            </w:r>
          </w:p>
        </w:tc>
      </w:tr>
      <w:tr>
        <w:tc>
          <w:tcPr>
            <w:tcW w:type="dxa" w:w="15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Core</w:t>
            </w:r>
          </w:p>
        </w:tc>
        <w:tc>
          <w:tcPr>
            <w:tcW w:type="dxa" w:w="356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config, logger, exceptions, http, constants</w:t>
            </w:r>
          </w:p>
        </w:tc>
        <w:tc>
          <w:tcPr>
            <w:tcW w:type="dxa" w:w="43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Settings, logging, errors, resilient HTTP.</w:t>
            </w:r>
          </w:p>
        </w:tc>
      </w:tr>
      <w:tr>
        <w:tc>
          <w:tcPr>
            <w:tcW w:type="dxa" w:w="15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Sources</w:t>
            </w:r>
          </w:p>
        </w:tc>
        <w:tc>
          <w:tcPr>
            <w:tcW w:type="dxa" w:w="356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sources/ (base, confluence, mediawiki)</w:t>
            </w:r>
          </w:p>
        </w:tc>
        <w:tc>
          <w:tcPr>
            <w:tcW w:type="dxa" w:w="43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Turn any source into raw HTML + metadata.</w:t>
            </w:r>
          </w:p>
        </w:tc>
      </w:tr>
      <w:tr>
        <w:tc>
          <w:tcPr>
            <w:tcW w:type="dxa" w:w="15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Ingestion</w:t>
            </w:r>
          </w:p>
        </w:tc>
        <w:tc>
          <w:tcPr>
            <w:tcW w:type="dxa" w:w="356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client, hierarchy, downloader, page_fetcher, models</w:t>
            </w:r>
          </w:p>
        </w:tc>
        <w:tc>
          <w:tcPr>
            <w:tcW w:type="dxa" w:w="43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Fetch pages and reconstruct the tree.</w:t>
            </w:r>
          </w:p>
        </w:tc>
      </w:tr>
      <w:tr>
        <w:tc>
          <w:tcPr>
            <w:tcW w:type="dxa" w:w="15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Processing</w:t>
            </w:r>
          </w:p>
        </w:tc>
        <w:tc>
          <w:tcPr>
            <w:tcW w:type="dxa" w:w="356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html_cleaner, metadata_extractor, chunker, chunk_models</w:t>
            </w:r>
          </w:p>
        </w:tc>
        <w:tc>
          <w:tcPr>
            <w:tcW w:type="dxa" w:w="43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Clean → metadata → section-aware chunks.</w:t>
            </w:r>
          </w:p>
        </w:tc>
      </w:tr>
      <w:tr>
        <w:tc>
          <w:tcPr>
            <w:tcW w:type="dxa" w:w="15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Embeddings</w:t>
            </w:r>
          </w:p>
        </w:tc>
        <w:tc>
          <w:tcPr>
            <w:tcW w:type="dxa" w:w="356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embedding_model, embedding_generator, vector_store</w:t>
            </w:r>
          </w:p>
        </w:tc>
        <w:tc>
          <w:tcPr>
            <w:tcW w:type="dxa" w:w="43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Vectors + FAISS index.</w:t>
            </w:r>
          </w:p>
        </w:tc>
      </w:tr>
      <w:tr>
        <w:tc>
          <w:tcPr>
            <w:tcW w:type="dxa" w:w="15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Retrieval</w:t>
            </w:r>
          </w:p>
        </w:tc>
        <w:tc>
          <w:tcPr>
            <w:tcW w:type="dxa" w:w="356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retriever, bm25_index, hybrid, reranker, citation_builder</w:t>
            </w:r>
          </w:p>
        </w:tc>
        <w:tc>
          <w:tcPr>
            <w:tcW w:type="dxa" w:w="43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Dense + BM25 + fuse + re-rank + cite.</w:t>
            </w:r>
          </w:p>
        </w:tc>
      </w:tr>
      <w:tr>
        <w:tc>
          <w:tcPr>
            <w:tcW w:type="dxa" w:w="15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LLM</w:t>
            </w:r>
          </w:p>
        </w:tc>
        <w:tc>
          <w:tcPr>
            <w:tcW w:type="dxa" w:w="356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generator, prompt_builder, response_parser</w:t>
            </w:r>
          </w:p>
        </w:tc>
        <w:tc>
          <w:tcPr>
            <w:tcW w:type="dxa" w:w="43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Grounded answer generation.</w:t>
            </w:r>
          </w:p>
        </w:tc>
      </w:tr>
      <w:tr>
        <w:tc>
          <w:tcPr>
            <w:tcW w:type="dxa" w:w="15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Pipeline</w:t>
            </w:r>
          </w:p>
        </w:tc>
        <w:tc>
          <w:tcPr>
            <w:tcW w:type="dxa" w:w="356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pipeline (RAGPipeline)</w:t>
            </w:r>
          </w:p>
        </w:tc>
        <w:tc>
          <w:tcPr>
            <w:tcW w:type="dxa" w:w="43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End-to-end query orchestration.</w:t>
            </w:r>
          </w:p>
        </w:tc>
      </w:tr>
      <w:tr>
        <w:tc>
          <w:tcPr>
            <w:tcW w:type="dxa" w:w="15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Evaluation</w:t>
            </w:r>
          </w:p>
        </w:tc>
        <w:tc>
          <w:tcPr>
            <w:tcW w:type="dxa" w:w="3560"/>
            <w:shd w:fill="FFFFFF"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metrics, evaluator, comparison</w:t>
            </w:r>
          </w:p>
        </w:tc>
        <w:tc>
          <w:tcPr>
            <w:tcW w:type="dxa" w:w="4300"/>
            <w:shd w:fill="FFFFFF" w:color="auto" w:val="clear"/>
            <w:tcMar>
              <w:top w:type="dxa" w:w="50"/>
              <w:left w:type="dxa" w:w="90"/>
              <w:bottom w:type="dxa" w:w="50"/>
              <w:right w:type="dxa" w:w="90"/>
            </w:tcMar>
          </w:tcPr>
          <w:p>
            <w:pPr>
              <w:spacing w:after="28" w:line="250"/>
            </w:pPr>
            <w:r>
              <w:rPr>
                <w:b w:val="false"/>
                <w:bCs w:val="false"/>
                <w:color w:val="222222"/>
                <w:sz w:val="19"/>
                <w:szCs w:val="19"/>
              </w:rPr>
              <w:t xml:space="preserve">Score retrieval; dense-vs-hybrid.</w:t>
            </w:r>
          </w:p>
        </w:tc>
      </w:tr>
      <w:tr>
        <w:tc>
          <w:tcPr>
            <w:tcW w:type="dxa" w:w="15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App</w:t>
            </w:r>
          </w:p>
        </w:tc>
        <w:tc>
          <w:tcPr>
            <w:tcW w:type="dxa" w:w="3560"/>
            <w:shd w:fill="EEF2F7" w:color="auto" w:val="clear"/>
            <w:tcMar>
              <w:top w:type="dxa" w:w="50"/>
              <w:left w:type="dxa" w:w="90"/>
              <w:bottom w:type="dxa" w:w="50"/>
              <w:right w:type="dxa" w:w="90"/>
            </w:tcMar>
          </w:tcPr>
          <w:p>
            <w:pPr>
              <w:spacing w:after="28" w:line="250"/>
            </w:pPr>
            <w:r>
              <w:rPr>
                <w:rFonts w:ascii="Consolas" w:cs="Consolas" w:eastAsia="Consolas" w:hAnsi="Consolas"/>
                <w:b w:val="false"/>
                <w:bCs w:val="false"/>
                <w:color w:val="0B3D2E"/>
                <w:sz w:val="19"/>
                <w:szCs w:val="19"/>
              </w:rPr>
              <w:t xml:space="preserve">streamlit_app, main</w:t>
            </w:r>
          </w:p>
        </w:tc>
        <w:tc>
          <w:tcPr>
            <w:tcW w:type="dxa" w:w="4300"/>
            <w:shd w:fill="EEF2F7" w:color="auto" w:val="clear"/>
            <w:tcMar>
              <w:top w:type="dxa" w:w="50"/>
              <w:left w:type="dxa" w:w="90"/>
              <w:bottom w:type="dxa" w:w="50"/>
              <w:right w:type="dxa" w:w="90"/>
            </w:tcMar>
          </w:tcPr>
          <w:p>
            <w:pPr>
              <w:spacing w:after="28" w:line="250"/>
            </w:pPr>
            <w:r>
              <w:rPr>
                <w:b w:val="false"/>
                <w:bCs w:val="false"/>
                <w:color w:val="222222"/>
                <w:sz w:val="19"/>
                <w:szCs w:val="19"/>
              </w:rPr>
              <w:t xml:space="preserve">Interface; ingestion CLI.</w:t>
            </w:r>
          </w:p>
        </w:tc>
      </w:tr>
    </w:tbl>
    <w:p>
      <w:pPr>
        <w:spacing w:after="110" w:line="276"/>
      </w:pPr>
      <w:r>
        <w:rPr>
          <w:i/>
          <w:iCs/>
          <w:sz w:val="21"/>
          <w:szCs w:val="21"/>
        </w:rPr>
        <w:t xml:space="preserve">This document reflects the implemented codebase. Each stage above is independently runnable via </w:t>
      </w:r>
      <w:r>
        <w:rPr>
          <w:rFonts w:ascii="Consolas" w:cs="Consolas" w:eastAsia="Consolas" w:hAnsi="Consolas"/>
          <w:color w:val="0B3D2E"/>
          <w:sz w:val="19"/>
          <w:szCs w:val="19"/>
        </w:rPr>
        <w:t xml:space="preserve">python main.py --steps …</w:t>
      </w:r>
      <w:r>
        <w:rPr>
          <w:i/>
          <w:iCs/>
          <w:sz w:val="21"/>
          <w:szCs w:val="21"/>
        </w:rPr>
        <w:t xml:space="preserve">, and the whole system is demonstrated through the Streamlit 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2E5A8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e2f4f8f278c5a46c256147029455cf90a70451.png"/><Relationship Id="rId8" Type="http://schemas.openxmlformats.org/officeDocument/2006/relationships/image" Target="media/03349e9e2c9b3f6b67ce049220da7eb597d6cee8.png"/><Relationship Id="rId9" Type="http://schemas.openxmlformats.org/officeDocument/2006/relationships/image" Target="media/572baa402e7fbde8fd8db738d65612f6375c7a46.png"/><Relationship Id="rId10" Type="http://schemas.openxmlformats.org/officeDocument/2006/relationships/image" Target="media/7bcb051e030aa8ed0e440fe55eaa75fc4ae258c4.png"/><Relationship Id="rId11" Type="http://schemas.openxmlformats.org/officeDocument/2006/relationships/image" Target="media/0561b4297be3ab1c2987341089b5fe2b4e05bf61.png"/><Relationship Id="rId12" Type="http://schemas.openxmlformats.org/officeDocument/2006/relationships/image" Target="media/d5588736cef379152f9cf1bb2336fcb38953fbb5.png"/><Relationship Id="rId13" Type="http://schemas.openxmlformats.org/officeDocument/2006/relationships/image" Target="media/21c00c54bb1e3a5ccadfe3d0dfb60fb749171e6d.png"/><Relationship Id="rId14" Type="http://schemas.openxmlformats.org/officeDocument/2006/relationships/image" Target="media/a6264c1b4a15d58c0b5e48a38848e4bbde6fc075.png"/><Relationship Id="rId15" Type="http://schemas.openxmlformats.org/officeDocument/2006/relationships/image" Target="media/bca2d7f2145173c3ff62563e970ec18305a2c3e9.png"/><Relationship Id="rId16" Type="http://schemas.openxmlformats.org/officeDocument/2006/relationships/image" Target="media/827c6cfd18fc1ed3cfd0732f8ae24b6e4c3dda4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Confluence/Wiki RAG — Technical Documentation</dc:title>
  <dc:creator>Sankha Suvra Ghosal</dc:creator>
  <cp:lastModifiedBy>Un-named</cp:lastModifiedBy>
  <cp:revision>1</cp:revision>
  <dcterms:created xsi:type="dcterms:W3CDTF">2026-08-13T21:47:34.986Z</dcterms:created>
  <dcterms:modified xsi:type="dcterms:W3CDTF">2026-08-13T21:47:35.000Z</dcterms:modified>
</cp:coreProperties>
</file>

<file path=docProps/custom.xml><?xml version="1.0" encoding="utf-8"?>
<Properties xmlns="http://schemas.openxmlformats.org/officeDocument/2006/custom-properties" xmlns:vt="http://schemas.openxmlformats.org/officeDocument/2006/docPropsVTypes"/>
</file>