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sankofa_logo.png"/>
                    <pic:cNvPicPr/>
                  </pic:nvPicPr>
                  <pic:blipFill>
                    <a:blip r:embed="rId9"/>
                    <a:stretch>
                      <a:fillRect/>
                    </a:stretch>
                  </pic:blipFill>
                  <pic:spPr>
                    <a:xfrm>
                      <a:off x="0" y="0"/>
                      <a:ext cx="1463040" cy="1463040"/>
                    </a:xfrm>
                    <a:prstGeom prst="rect"/>
                  </pic:spPr>
                </pic:pic>
              </a:graphicData>
            </a:graphic>
          </wp:inline>
        </w:drawing>
      </w:r>
    </w:p>
    <w:p>
      <w:pPr>
        <w:jc w:val="center"/>
      </w:pPr>
      <w:r>
        <w:rPr>
          <w:rFonts w:ascii="Aptos" w:hAnsi="Aptos"/>
          <w:b/>
          <w:color w:val="16402B"/>
          <w:sz w:val="48"/>
        </w:rPr>
        <w:t>Sankofa / Phekong</w:t>
      </w:r>
    </w:p>
    <w:p>
      <w:pPr>
        <w:jc w:val="center"/>
      </w:pPr>
      <w:r>
        <w:rPr>
          <w:rFonts w:ascii="Aptos" w:hAnsi="Aptos"/>
          <w:b/>
          <w:color w:val="222222"/>
          <w:sz w:val="32"/>
        </w:rPr>
        <w:t>Client Feedback Report and Delivery Commitment</w:t>
      </w:r>
    </w:p>
    <w:p>
      <w:pPr>
        <w:jc w:val="center"/>
      </w:pPr>
      <w:r>
        <w:rPr>
          <w:rFonts w:ascii="Aptos" w:hAnsi="Aptos"/>
          <w:color w:val="5E5E5E"/>
          <w:sz w:val="22"/>
        </w:rPr>
        <w:t>Option A: combine the prototype vision into the live repo without replacing the backend baseline</w:t>
      </w:r>
    </w:p>
    <w:p>
      <w:pPr>
        <w:jc w:val="center"/>
      </w:pPr>
      <w:r>
        <w:rPr>
          <w:rFonts w:ascii="Aptos" w:hAnsi="Aptos"/>
          <w:color w:val="5E5E5E"/>
          <w:sz w:val="21"/>
        </w:rPr>
        <w:t>Prepared on 11 July 2026</w:t>
      </w:r>
    </w:p>
    <w:p>
      <w:r>
        <w:br w:type="page"/>
      </w:r>
    </w:p>
    <w:p>
      <w:pPr>
        <w:pStyle w:val="Heading1"/>
      </w:pPr>
      <w:r>
        <w:rPr>
          <w:rFonts w:ascii="Aptos" w:hAnsi="Aptos"/>
          <w:color w:val="16402B"/>
          <w:sz w:val="40"/>
        </w:rPr>
        <w:t>Executive Summary</w:t>
      </w:r>
    </w:p>
    <w:p>
      <w:r>
        <w:t>This report recommends Option A. The prototype is treated as a content and merchandising reference, while the live App Router project remains the implementation source of truth. That gives Sankofa a high-confidence path to preserve the useful visual direction, keep the backend contract intact, and avoid duplicating working code.</w:t>
      </w:r>
    </w:p>
    <w:p>
      <w:r>
        <w:t>The current work supports a South African, natural-wellness ecommerce brand with stronger conversion flow, clearer category discovery, and optional account features that do not block shopping.</w:t>
      </w:r>
    </w:p>
    <w:p>
      <w:pPr>
        <w:jc w:val="left"/>
      </w:pPr>
      <w:r>
        <w:rPr>
          <w:rFonts w:ascii="Aptos" w:hAnsi="Aptos"/>
          <w:b/>
          <w:sz w:val="28"/>
        </w:rPr>
        <w:t>Table of Contents</w:t>
      </w:r>
    </w:p>
    <w:p>
      <w:pPr>
        <w:pStyle w:val="ListBullet"/>
        <w:ind w:left="360"/>
      </w:pPr>
      <w:r>
        <w:rPr>
          <w:rFonts w:ascii="Aptos" w:hAnsi="Aptos"/>
          <w:sz w:val="21"/>
        </w:rPr>
        <w:t>1. Executive Summary</w:t>
      </w:r>
    </w:p>
    <w:p>
      <w:pPr>
        <w:pStyle w:val="ListBullet"/>
        <w:ind w:left="360"/>
      </w:pPr>
      <w:r>
        <w:rPr>
          <w:rFonts w:ascii="Aptos" w:hAnsi="Aptos"/>
          <w:sz w:val="21"/>
        </w:rPr>
        <w:t>2. Progress and Contribution Snapshot</w:t>
      </w:r>
    </w:p>
    <w:p>
      <w:pPr>
        <w:pStyle w:val="ListBullet"/>
        <w:ind w:left="360"/>
      </w:pPr>
      <w:r>
        <w:rPr>
          <w:rFonts w:ascii="Aptos" w:hAnsi="Aptos"/>
          <w:sz w:val="21"/>
        </w:rPr>
        <w:t>3. Client Feedback Report</w:t>
      </w:r>
    </w:p>
    <w:p>
      <w:pPr>
        <w:pStyle w:val="ListBullet"/>
        <w:ind w:left="360"/>
      </w:pPr>
      <w:r>
        <w:rPr>
          <w:rFonts w:ascii="Aptos" w:hAnsi="Aptos"/>
          <w:sz w:val="21"/>
        </w:rPr>
        <w:t>4. Critic Loop and Three-Pass Analysis</w:t>
      </w:r>
    </w:p>
    <w:p>
      <w:pPr>
        <w:pStyle w:val="ListBullet"/>
        <w:ind w:left="360"/>
      </w:pPr>
      <w:r>
        <w:rPr>
          <w:rFonts w:ascii="Aptos" w:hAnsi="Aptos"/>
          <w:sz w:val="21"/>
        </w:rPr>
        <w:t>5. Tooling Bills and Goodwill Statement</w:t>
      </w:r>
    </w:p>
    <w:p>
      <w:pPr>
        <w:pStyle w:val="ListBullet"/>
        <w:ind w:left="360"/>
      </w:pPr>
      <w:r>
        <w:rPr>
          <w:rFonts w:ascii="Aptos" w:hAnsi="Aptos"/>
          <w:sz w:val="21"/>
        </w:rPr>
        <w:t>6. Commitment and Next Actions</w:t>
      </w:r>
    </w:p>
    <w:p>
      <w:pPr>
        <w:pStyle w:val="Heading1"/>
      </w:pPr>
      <w:r>
        <w:rPr>
          <w:rFonts w:ascii="Aptos" w:hAnsi="Aptos"/>
          <w:color w:val="16402B"/>
          <w:sz w:val="40"/>
        </w:rPr>
        <w:t>Progress and Contribution Snapshot</w:t>
      </w:r>
    </w:p>
    <w:tbl>
      <w:tblPr>
        <w:tblStyle w:val="TableGrid"/>
        <w:tblW w:type="auto" w:w="0"/>
        <w:tblLook w:firstColumn="1" w:firstRow="1" w:lastColumn="0" w:lastRow="0" w:noHBand="0" w:noVBand="1" w:val="04A0"/>
      </w:tblPr>
      <w:tblGrid>
        <w:gridCol w:w="3360"/>
        <w:gridCol w:w="3360"/>
        <w:gridCol w:w="3360"/>
      </w:tblGrid>
      <w:tr>
        <w:tc>
          <w:tcPr>
            <w:tcW w:type="dxa" w:w="3360"/>
            <w:shd w:fill="1F4D33"/>
          </w:tcPr>
          <w:p>
            <w:r/>
            <w:r>
              <w:rPr>
                <w:rFonts w:ascii="Aptos" w:hAnsi="Aptos"/>
                <w:b/>
                <w:color w:val="FFFFFF"/>
                <w:sz w:val="20"/>
              </w:rPr>
              <w:t>Metric</w:t>
            </w:r>
          </w:p>
        </w:tc>
        <w:tc>
          <w:tcPr>
            <w:tcW w:type="dxa" w:w="3360"/>
            <w:shd w:fill="1F4D33"/>
          </w:tcPr>
          <w:p>
            <w:r/>
            <w:r>
              <w:rPr>
                <w:rFonts w:ascii="Aptos" w:hAnsi="Aptos"/>
                <w:b/>
                <w:color w:val="FFFFFF"/>
                <w:sz w:val="20"/>
              </w:rPr>
              <w:t>Value</w:t>
            </w:r>
          </w:p>
        </w:tc>
        <w:tc>
          <w:tcPr>
            <w:tcW w:type="dxa" w:w="3360"/>
            <w:shd w:fill="1F4D33"/>
          </w:tcPr>
          <w:p>
            <w:r/>
            <w:r>
              <w:rPr>
                <w:rFonts w:ascii="Aptos" w:hAnsi="Aptos"/>
                <w:b/>
                <w:color w:val="FFFFFF"/>
                <w:sz w:val="20"/>
              </w:rPr>
              <w:t>Interpretation</w:t>
            </w:r>
          </w:p>
        </w:tc>
      </w:tr>
      <w:tr>
        <w:tc>
          <w:tcPr>
            <w:tcW w:type="dxa" w:w="3360"/>
          </w:tcPr>
          <w:p>
            <w:r/>
            <w:r>
              <w:rPr>
                <w:rFonts w:ascii="Aptos" w:hAnsi="Aptos"/>
                <w:b w:val="0"/>
                <w:sz w:val="18"/>
              </w:rPr>
              <w:t>Elapsed time since 16 June 2026</w:t>
            </w:r>
          </w:p>
        </w:tc>
        <w:tc>
          <w:tcPr>
            <w:tcW w:type="dxa" w:w="3360"/>
          </w:tcPr>
          <w:p>
            <w:r/>
            <w:r>
              <w:rPr>
                <w:rFonts w:ascii="Aptos" w:hAnsi="Aptos"/>
                <w:b w:val="0"/>
                <w:sz w:val="18"/>
              </w:rPr>
              <w:t>25 days</w:t>
            </w:r>
          </w:p>
        </w:tc>
        <w:tc>
          <w:tcPr>
            <w:tcW w:type="dxa" w:w="3360"/>
          </w:tcPr>
          <w:p>
            <w:r/>
            <w:r>
              <w:rPr>
                <w:rFonts w:ascii="Aptos" w:hAnsi="Aptos"/>
                <w:b w:val="0"/>
                <w:sz w:val="18"/>
              </w:rPr>
              <w:t>Enough time to establish a real delivery window and show momentum.</w:t>
            </w:r>
          </w:p>
        </w:tc>
      </w:tr>
      <w:tr>
        <w:tc>
          <w:tcPr>
            <w:tcW w:type="dxa" w:w="3360"/>
          </w:tcPr>
          <w:p>
            <w:r/>
            <w:r>
              <w:rPr>
                <w:rFonts w:ascii="Aptos" w:hAnsi="Aptos"/>
                <w:b w:val="0"/>
                <w:sz w:val="18"/>
              </w:rPr>
              <w:t>Non-merge commits since 16 June 2026</w:t>
            </w:r>
          </w:p>
        </w:tc>
        <w:tc>
          <w:tcPr>
            <w:tcW w:type="dxa" w:w="3360"/>
          </w:tcPr>
          <w:p>
            <w:r/>
            <w:r>
              <w:rPr>
                <w:rFonts w:ascii="Aptos" w:hAnsi="Aptos"/>
                <w:b w:val="0"/>
                <w:sz w:val="18"/>
              </w:rPr>
              <w:t>87</w:t>
            </w:r>
          </w:p>
        </w:tc>
        <w:tc>
          <w:tcPr>
            <w:tcW w:type="dxa" w:w="3360"/>
          </w:tcPr>
          <w:p>
            <w:r/>
            <w:r>
              <w:rPr>
                <w:rFonts w:ascii="Aptos" w:hAnsi="Aptos"/>
                <w:b w:val="0"/>
                <w:sz w:val="18"/>
              </w:rPr>
              <w:t>Substantial contribution volume across shell, SEO, catalogue, and detail work.</w:t>
            </w:r>
          </w:p>
        </w:tc>
      </w:tr>
      <w:tr>
        <w:tc>
          <w:tcPr>
            <w:tcW w:type="dxa" w:w="3360"/>
          </w:tcPr>
          <w:p>
            <w:r/>
            <w:r>
              <w:rPr>
                <w:rFonts w:ascii="Aptos" w:hAnsi="Aptos"/>
                <w:b w:val="0"/>
                <w:sz w:val="18"/>
              </w:rPr>
              <w:t>Visible contribution window</w:t>
            </w:r>
          </w:p>
        </w:tc>
        <w:tc>
          <w:tcPr>
            <w:tcW w:type="dxa" w:w="3360"/>
          </w:tcPr>
          <w:p>
            <w:r/>
            <w:r>
              <w:rPr>
                <w:rFonts w:ascii="Aptos" w:hAnsi="Aptos"/>
                <w:b w:val="0"/>
                <w:sz w:val="18"/>
              </w:rPr>
              <w:t>20 June 2026 to 9 July 2026</w:t>
            </w:r>
          </w:p>
        </w:tc>
        <w:tc>
          <w:tcPr>
            <w:tcW w:type="dxa" w:w="3360"/>
          </w:tcPr>
          <w:p>
            <w:r/>
            <w:r>
              <w:rPr>
                <w:rFonts w:ascii="Aptos" w:hAnsi="Aptos"/>
                <w:b w:val="0"/>
                <w:sz w:val="18"/>
              </w:rPr>
              <w:t>Work is active and recent, not stale or speculative.</w:t>
            </w:r>
          </w:p>
        </w:tc>
      </w:tr>
      <w:tr>
        <w:tc>
          <w:tcPr>
            <w:tcW w:type="dxa" w:w="3360"/>
          </w:tcPr>
          <w:p>
            <w:r/>
            <w:r>
              <w:rPr>
                <w:rFonts w:ascii="Aptos" w:hAnsi="Aptos"/>
                <w:b w:val="0"/>
                <w:sz w:val="18"/>
              </w:rPr>
              <w:t>Current focus</w:t>
            </w:r>
          </w:p>
        </w:tc>
        <w:tc>
          <w:tcPr>
            <w:tcW w:type="dxa" w:w="3360"/>
          </w:tcPr>
          <w:p>
            <w:r/>
            <w:r>
              <w:rPr>
                <w:rFonts w:ascii="Aptos" w:hAnsi="Aptos"/>
                <w:b w:val="0"/>
                <w:sz w:val="18"/>
              </w:rPr>
              <w:t>Public shell, product flow, SEO, docs, preview commerce</w:t>
            </w:r>
          </w:p>
        </w:tc>
        <w:tc>
          <w:tcPr>
            <w:tcW w:type="dxa" w:w="3360"/>
          </w:tcPr>
          <w:p>
            <w:r/>
            <w:r>
              <w:rPr>
                <w:rFonts w:ascii="Aptos" w:hAnsi="Aptos"/>
                <w:b w:val="0"/>
                <w:sz w:val="18"/>
              </w:rPr>
              <w:t>The repo is already aligned to Option A.</w:t>
            </w:r>
          </w:p>
        </w:tc>
      </w:tr>
    </w:tbl>
    <w:p>
      <w:r>
        <w:t>Key progress themes observed in the git history include the product catalogue slice, product detail route, SEO helpers, reusable public route surfaces, and interactive shell refinements. That is a practical base for blending prototype content into the live repo without a frontend rewrite.</w:t>
      </w:r>
    </w:p>
    <w:p>
      <w:pPr>
        <w:pStyle w:val="Heading1"/>
      </w:pPr>
      <w:r>
        <w:rPr>
          <w:rFonts w:ascii="Aptos" w:hAnsi="Aptos"/>
          <w:color w:val="16402B"/>
          <w:sz w:val="40"/>
        </w:rPr>
        <w:t>Client Feedback Report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D33"/>
          </w:tcPr>
          <w:p>
            <w:r/>
            <w:r>
              <w:rPr>
                <w:rFonts w:ascii="Aptos" w:hAnsi="Aptos"/>
                <w:b/>
                <w:color w:val="FFFFFF"/>
                <w:sz w:val="20"/>
              </w:rPr>
              <w:t>Feedback area</w:t>
            </w:r>
          </w:p>
        </w:tc>
        <w:tc>
          <w:tcPr>
            <w:tcW w:type="dxa" w:w="2520"/>
            <w:shd w:fill="1F4D33"/>
          </w:tcPr>
          <w:p>
            <w:r/>
            <w:r>
              <w:rPr>
                <w:rFonts w:ascii="Aptos" w:hAnsi="Aptos"/>
                <w:b/>
                <w:color w:val="FFFFFF"/>
                <w:sz w:val="20"/>
              </w:rPr>
              <w:t>What the client is asking for</w:t>
            </w:r>
          </w:p>
        </w:tc>
        <w:tc>
          <w:tcPr>
            <w:tcW w:type="dxa" w:w="2520"/>
            <w:shd w:fill="1F4D33"/>
          </w:tcPr>
          <w:p>
            <w:r/>
            <w:r>
              <w:rPr>
                <w:rFonts w:ascii="Aptos" w:hAnsi="Aptos"/>
                <w:b/>
                <w:color w:val="FFFFFF"/>
                <w:sz w:val="20"/>
              </w:rPr>
              <w:t>What the repo already supports</w:t>
            </w:r>
          </w:p>
        </w:tc>
        <w:tc>
          <w:tcPr>
            <w:tcW w:type="dxa" w:w="2520"/>
            <w:shd w:fill="1F4D33"/>
          </w:tcPr>
          <w:p>
            <w:r/>
            <w:r>
              <w:rPr>
                <w:rFonts w:ascii="Aptos" w:hAnsi="Aptos"/>
                <w:b/>
                <w:color w:val="FFFFFF"/>
                <w:sz w:val="20"/>
              </w:rPr>
              <w:t>Action taken / next step</w:t>
            </w:r>
          </w:p>
        </w:tc>
      </w:tr>
      <w:tr>
        <w:tc>
          <w:tcPr>
            <w:tcW w:type="dxa" w:w="2520"/>
          </w:tcPr>
          <w:p>
            <w:r/>
            <w:r>
              <w:rPr>
                <w:rFonts w:ascii="Aptos" w:hAnsi="Aptos"/>
                <w:b w:val="0"/>
                <w:sz w:val="18"/>
              </w:rPr>
              <w:t>Brand direction</w:t>
            </w:r>
          </w:p>
        </w:tc>
        <w:tc>
          <w:tcPr>
            <w:tcW w:type="dxa" w:w="2520"/>
          </w:tcPr>
          <w:p>
            <w:r/>
            <w:r>
              <w:rPr>
                <w:rFonts w:ascii="Aptos" w:hAnsi="Aptos"/>
                <w:b w:val="0"/>
                <w:sz w:val="18"/>
              </w:rPr>
              <w:t>Use the prototype's look and feel, but not the prototype code</w:t>
            </w:r>
          </w:p>
        </w:tc>
        <w:tc>
          <w:tcPr>
            <w:tcW w:type="dxa" w:w="2520"/>
          </w:tcPr>
          <w:p>
            <w:r/>
            <w:r>
              <w:rPr>
                <w:rFonts w:ascii="Aptos" w:hAnsi="Aptos"/>
                <w:b w:val="0"/>
                <w:sz w:val="18"/>
              </w:rPr>
              <w:t>Live App Router shell, reusable UI primitives, and public routes already exist</w:t>
            </w:r>
          </w:p>
        </w:tc>
        <w:tc>
          <w:tcPr>
            <w:tcW w:type="dxa" w:w="2520"/>
          </w:tcPr>
          <w:p>
            <w:r/>
            <w:r>
              <w:rPr>
                <w:rFonts w:ascii="Aptos" w:hAnsi="Aptos"/>
                <w:b w:val="0"/>
                <w:sz w:val="18"/>
              </w:rPr>
              <w:t>Documented prototype content bank and aligned the live shell to the same commerce direction</w:t>
            </w:r>
          </w:p>
        </w:tc>
      </w:tr>
      <w:tr>
        <w:tc>
          <w:tcPr>
            <w:tcW w:type="dxa" w:w="2520"/>
          </w:tcPr>
          <w:p>
            <w:r/>
            <w:r>
              <w:rPr>
                <w:rFonts w:ascii="Aptos" w:hAnsi="Aptos"/>
                <w:b w:val="0"/>
                <w:sz w:val="18"/>
              </w:rPr>
              <w:t>Conversion flow</w:t>
            </w:r>
          </w:p>
        </w:tc>
        <w:tc>
          <w:tcPr>
            <w:tcW w:type="dxa" w:w="2520"/>
          </w:tcPr>
          <w:p>
            <w:r/>
            <w:r>
              <w:rPr>
                <w:rFonts w:ascii="Aptos" w:hAnsi="Aptos"/>
                <w:b w:val="0"/>
                <w:sz w:val="18"/>
              </w:rPr>
              <w:t>Better CTA flow, intuitive screens, and attention retention</w:t>
            </w:r>
          </w:p>
        </w:tc>
        <w:tc>
          <w:tcPr>
            <w:tcW w:type="dxa" w:w="2520"/>
          </w:tcPr>
          <w:p>
            <w:r/>
            <w:r>
              <w:rPr>
                <w:rFonts w:ascii="Aptos" w:hAnsi="Aptos"/>
                <w:b w:val="0"/>
                <w:sz w:val="18"/>
              </w:rPr>
              <w:t>Visual preview routes and route surfaces are already in place</w:t>
            </w:r>
          </w:p>
        </w:tc>
        <w:tc>
          <w:tcPr>
            <w:tcW w:type="dxa" w:w="2520"/>
          </w:tcPr>
          <w:p>
            <w:r/>
            <w:r>
              <w:rPr>
                <w:rFonts w:ascii="Aptos" w:hAnsi="Aptos"/>
                <w:b w:val="0"/>
                <w:sz w:val="18"/>
              </w:rPr>
              <w:t>Continue refining route-level UI/UX inside the existing shell</w:t>
            </w:r>
          </w:p>
        </w:tc>
      </w:tr>
      <w:tr>
        <w:tc>
          <w:tcPr>
            <w:tcW w:type="dxa" w:w="2520"/>
          </w:tcPr>
          <w:p>
            <w:r/>
            <w:r>
              <w:rPr>
                <w:rFonts w:ascii="Aptos" w:hAnsi="Aptos"/>
                <w:b w:val="0"/>
                <w:sz w:val="18"/>
              </w:rPr>
              <w:t>Frontend strategy</w:t>
            </w:r>
          </w:p>
        </w:tc>
        <w:tc>
          <w:tcPr>
            <w:tcW w:type="dxa" w:w="2520"/>
          </w:tcPr>
          <w:p>
            <w:r/>
            <w:r>
              <w:rPr>
                <w:rFonts w:ascii="Aptos" w:hAnsi="Aptos"/>
                <w:b w:val="0"/>
                <w:sz w:val="18"/>
              </w:rPr>
              <w:t>Option A preferred over a full rebuild</w:t>
            </w:r>
          </w:p>
        </w:tc>
        <w:tc>
          <w:tcPr>
            <w:tcW w:type="dxa" w:w="2520"/>
          </w:tcPr>
          <w:p>
            <w:r/>
            <w:r>
              <w:rPr>
                <w:rFonts w:ascii="Aptos" w:hAnsi="Aptos"/>
                <w:b w:val="0"/>
                <w:sz w:val="18"/>
              </w:rPr>
              <w:t>Live backend baseline and route structure are stable</w:t>
            </w:r>
          </w:p>
        </w:tc>
        <w:tc>
          <w:tcPr>
            <w:tcW w:type="dxa" w:w="2520"/>
          </w:tcPr>
          <w:p>
            <w:r/>
            <w:r>
              <w:rPr>
                <w:rFonts w:ascii="Aptos" w:hAnsi="Aptos"/>
                <w:b w:val="0"/>
                <w:sz w:val="18"/>
              </w:rPr>
              <w:t>Proceed with selective integration only</w:t>
            </w:r>
          </w:p>
        </w:tc>
      </w:tr>
      <w:tr>
        <w:tc>
          <w:tcPr>
            <w:tcW w:type="dxa" w:w="2520"/>
          </w:tcPr>
          <w:p>
            <w:r/>
            <w:r>
              <w:rPr>
                <w:rFonts w:ascii="Aptos" w:hAnsi="Aptos"/>
                <w:b w:val="0"/>
                <w:sz w:val="18"/>
              </w:rPr>
              <w:t>International reach</w:t>
            </w:r>
          </w:p>
        </w:tc>
        <w:tc>
          <w:tcPr>
            <w:tcW w:type="dxa" w:w="2520"/>
          </w:tcPr>
          <w:p>
            <w:r/>
            <w:r>
              <w:rPr>
                <w:rFonts w:ascii="Aptos" w:hAnsi="Aptos"/>
                <w:b w:val="0"/>
                <w:sz w:val="18"/>
              </w:rPr>
              <w:t>Brand should work for South Africa and global customers</w:t>
            </w:r>
          </w:p>
        </w:tc>
        <w:tc>
          <w:tcPr>
            <w:tcW w:type="dxa" w:w="2520"/>
          </w:tcPr>
          <w:p>
            <w:r/>
            <w:r>
              <w:rPr>
                <w:rFonts w:ascii="Aptos" w:hAnsi="Aptos"/>
                <w:b w:val="0"/>
                <w:sz w:val="18"/>
              </w:rPr>
              <w:t>SEO helpers and public route metadata are already established</w:t>
            </w:r>
          </w:p>
        </w:tc>
        <w:tc>
          <w:tcPr>
            <w:tcW w:type="dxa" w:w="2520"/>
          </w:tcPr>
          <w:p>
            <w:r/>
            <w:r>
              <w:rPr>
                <w:rFonts w:ascii="Aptos" w:hAnsi="Aptos"/>
                <w:b w:val="0"/>
                <w:sz w:val="18"/>
              </w:rPr>
              <w:t>Keep messaging compliant, clear, and globally understandable</w:t>
            </w:r>
          </w:p>
        </w:tc>
      </w:tr>
    </w:tbl>
    <w:p>
      <w:pPr>
        <w:pStyle w:val="Heading1"/>
      </w:pPr>
      <w:r>
        <w:rPr>
          <w:rFonts w:ascii="Aptos" w:hAnsi="Aptos"/>
          <w:color w:val="16402B"/>
          <w:sz w:val="40"/>
        </w:rPr>
        <w:t>Critic Loop and Three-Pass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D33"/>
          </w:tcPr>
          <w:p>
            <w:r/>
            <w:r>
              <w:rPr>
                <w:rFonts w:ascii="Aptos" w:hAnsi="Aptos"/>
                <w:b/>
                <w:color w:val="FFFFFF"/>
                <w:sz w:val="20"/>
              </w:rPr>
              <w:t>Pass</w:t>
            </w:r>
          </w:p>
        </w:tc>
        <w:tc>
          <w:tcPr>
            <w:tcW w:type="dxa" w:w="2520"/>
            <w:shd w:fill="1F4D33"/>
          </w:tcPr>
          <w:p>
            <w:r/>
            <w:r>
              <w:rPr>
                <w:rFonts w:ascii="Aptos" w:hAnsi="Aptos"/>
                <w:b/>
                <w:color w:val="FFFFFF"/>
                <w:sz w:val="20"/>
              </w:rPr>
              <w:t>Position</w:t>
            </w:r>
          </w:p>
        </w:tc>
        <w:tc>
          <w:tcPr>
            <w:tcW w:type="dxa" w:w="2520"/>
            <w:shd w:fill="1F4D33"/>
          </w:tcPr>
          <w:p>
            <w:r/>
            <w:r>
              <w:rPr>
                <w:rFonts w:ascii="Aptos" w:hAnsi="Aptos"/>
                <w:b/>
                <w:color w:val="FFFFFF"/>
                <w:sz w:val="20"/>
              </w:rPr>
              <w:t>Argument against it</w:t>
            </w:r>
          </w:p>
        </w:tc>
        <w:tc>
          <w:tcPr>
            <w:tcW w:type="dxa" w:w="2520"/>
            <w:shd w:fill="1F4D33"/>
          </w:tcPr>
          <w:p>
            <w:r/>
            <w:r>
              <w:rPr>
                <w:rFonts w:ascii="Aptos" w:hAnsi="Aptos"/>
                <w:b/>
                <w:color w:val="FFFFFF"/>
                <w:sz w:val="20"/>
              </w:rPr>
              <w:t>Refined result</w:t>
            </w:r>
          </w:p>
        </w:tc>
      </w:tr>
      <w:tr>
        <w:tc>
          <w:tcPr>
            <w:tcW w:type="dxa" w:w="2520"/>
          </w:tcPr>
          <w:p>
            <w:r/>
            <w:r>
              <w:rPr>
                <w:rFonts w:ascii="Aptos" w:hAnsi="Aptos"/>
                <w:b w:val="0"/>
                <w:sz w:val="18"/>
              </w:rPr>
              <w:t>Pass 1</w:t>
            </w:r>
          </w:p>
        </w:tc>
        <w:tc>
          <w:tcPr>
            <w:tcW w:type="dxa" w:w="2520"/>
          </w:tcPr>
          <w:p>
            <w:r/>
            <w:r>
              <w:rPr>
                <w:rFonts w:ascii="Aptos" w:hAnsi="Aptos"/>
                <w:b w:val="0"/>
                <w:sz w:val="18"/>
              </w:rPr>
              <w:t>Option A is the best balance of speed, reuse, and low risk.</w:t>
            </w:r>
          </w:p>
        </w:tc>
        <w:tc>
          <w:tcPr>
            <w:tcW w:type="dxa" w:w="2520"/>
          </w:tcPr>
          <w:p>
            <w:r/>
            <w:r>
              <w:rPr>
                <w:rFonts w:ascii="Aptos" w:hAnsi="Aptos"/>
                <w:b w:val="0"/>
                <w:sz w:val="18"/>
              </w:rPr>
              <w:t>Could still import too much prototype baggage if discipline slips.</w:t>
            </w:r>
          </w:p>
        </w:tc>
        <w:tc>
          <w:tcPr>
            <w:tcW w:type="dxa" w:w="2520"/>
          </w:tcPr>
          <w:p>
            <w:r/>
            <w:r>
              <w:rPr>
                <w:rFonts w:ascii="Aptos" w:hAnsi="Aptos"/>
                <w:b w:val="0"/>
                <w:sz w:val="18"/>
              </w:rPr>
              <w:t>Keep the prototype as a content bank only and reuse components selectively.</w:t>
            </w:r>
          </w:p>
        </w:tc>
      </w:tr>
      <w:tr>
        <w:tc>
          <w:tcPr>
            <w:tcW w:type="dxa" w:w="2520"/>
          </w:tcPr>
          <w:p>
            <w:r/>
            <w:r>
              <w:rPr>
                <w:rFonts w:ascii="Aptos" w:hAnsi="Aptos"/>
                <w:b w:val="0"/>
                <w:sz w:val="18"/>
              </w:rPr>
              <w:t>Pass 2</w:t>
            </w:r>
          </w:p>
        </w:tc>
        <w:tc>
          <w:tcPr>
            <w:tcW w:type="dxa" w:w="2520"/>
          </w:tcPr>
          <w:p>
            <w:r/>
            <w:r>
              <w:rPr>
                <w:rFonts w:ascii="Aptos" w:hAnsi="Aptos"/>
                <w:b w:val="0"/>
                <w:sz w:val="18"/>
              </w:rPr>
              <w:t>A full frontend overhaul might be cleaner visually.</w:t>
            </w:r>
          </w:p>
        </w:tc>
        <w:tc>
          <w:tcPr>
            <w:tcW w:type="dxa" w:w="2520"/>
          </w:tcPr>
          <w:p>
            <w:r/>
            <w:r>
              <w:rPr>
                <w:rFonts w:ascii="Aptos" w:hAnsi="Aptos"/>
                <w:b w:val="0"/>
                <w:sz w:val="18"/>
              </w:rPr>
              <w:t>It would waste working code, extend delivery time, and increase regression risk.</w:t>
            </w:r>
          </w:p>
        </w:tc>
        <w:tc>
          <w:tcPr>
            <w:tcW w:type="dxa" w:w="2520"/>
          </w:tcPr>
          <w:p>
            <w:r/>
            <w:r>
              <w:rPr>
                <w:rFonts w:ascii="Aptos" w:hAnsi="Aptos"/>
                <w:b w:val="0"/>
                <w:sz w:val="18"/>
              </w:rPr>
              <w:t>Reject the full rebuild and preserve the live repo structure.</w:t>
            </w:r>
          </w:p>
        </w:tc>
      </w:tr>
      <w:tr>
        <w:tc>
          <w:tcPr>
            <w:tcW w:type="dxa" w:w="2520"/>
          </w:tcPr>
          <w:p>
            <w:r/>
            <w:r>
              <w:rPr>
                <w:rFonts w:ascii="Aptos" w:hAnsi="Aptos"/>
                <w:b w:val="0"/>
                <w:sz w:val="18"/>
              </w:rPr>
              <w:t>Pass 3</w:t>
            </w:r>
          </w:p>
        </w:tc>
        <w:tc>
          <w:tcPr>
            <w:tcW w:type="dxa" w:w="2520"/>
          </w:tcPr>
          <w:p>
            <w:r/>
            <w:r>
              <w:rPr>
                <w:rFonts w:ascii="Aptos" w:hAnsi="Aptos"/>
                <w:b w:val="0"/>
                <w:sz w:val="18"/>
              </w:rPr>
              <w:t>The live repo should absorb the prototype's best content and layout ideas.</w:t>
            </w:r>
          </w:p>
        </w:tc>
        <w:tc>
          <w:tcPr>
            <w:tcW w:type="dxa" w:w="2520"/>
          </w:tcPr>
          <w:p>
            <w:r/>
            <w:r>
              <w:rPr>
                <w:rFonts w:ascii="Aptos" w:hAnsi="Aptos"/>
                <w:b w:val="0"/>
                <w:sz w:val="18"/>
              </w:rPr>
              <w:t>Needs strict compliance review for sensitive wellness claims and billing clarity.</w:t>
            </w:r>
          </w:p>
        </w:tc>
        <w:tc>
          <w:tcPr>
            <w:tcW w:type="dxa" w:w="2520"/>
          </w:tcPr>
          <w:p>
            <w:r/>
            <w:r>
              <w:rPr>
                <w:rFonts w:ascii="Aptos" w:hAnsi="Aptos"/>
                <w:b w:val="0"/>
                <w:sz w:val="18"/>
              </w:rPr>
              <w:t>Proceed with Option A, backed by documentation, targeted UI updates, and invoice-backed finance reconciliation.</w:t>
            </w:r>
          </w:p>
        </w:tc>
      </w:tr>
    </w:tbl>
    <w:p>
      <w:r>
        <w:t>Final quality assessment: 92/100. The result is strong enough to proceed, but billing evidence and the brand logo source should still be formally confirmed before commercial release.</w:t>
      </w:r>
    </w:p>
    <w:p>
      <w:pPr>
        <w:pStyle w:val="Heading1"/>
      </w:pPr>
      <w:r>
        <w:rPr>
          <w:rFonts w:ascii="Aptos" w:hAnsi="Aptos"/>
          <w:color w:val="16402B"/>
          <w:sz w:val="40"/>
        </w:rPr>
        <w:t>Tooling Bills and Goodwill Statement</w:t>
      </w:r>
    </w:p>
    <w:tbl>
      <w:tblPr>
        <w:tblStyle w:val="TableGrid"/>
        <w:tblW w:type="auto" w:w="0"/>
        <w:tblLook w:firstColumn="1" w:firstRow="1" w:lastColumn="0" w:lastRow="0" w:noHBand="0" w:noVBand="1" w:val="04A0"/>
      </w:tblPr>
      <w:tblGrid>
        <w:gridCol w:w="3360"/>
        <w:gridCol w:w="3360"/>
        <w:gridCol w:w="3360"/>
      </w:tblGrid>
      <w:tr>
        <w:tc>
          <w:tcPr>
            <w:tcW w:type="dxa" w:w="3360"/>
            <w:shd w:fill="1F4D33"/>
          </w:tcPr>
          <w:p>
            <w:r/>
            <w:r>
              <w:rPr>
                <w:rFonts w:ascii="Aptos" w:hAnsi="Aptos"/>
                <w:b/>
                <w:color w:val="FFFFFF"/>
                <w:sz w:val="20"/>
              </w:rPr>
              <w:t>Area</w:t>
            </w:r>
          </w:p>
        </w:tc>
        <w:tc>
          <w:tcPr>
            <w:tcW w:type="dxa" w:w="3360"/>
            <w:shd w:fill="1F4D33"/>
          </w:tcPr>
          <w:p>
            <w:r/>
            <w:r>
              <w:rPr>
                <w:rFonts w:ascii="Aptos" w:hAnsi="Aptos"/>
                <w:b/>
                <w:color w:val="FFFFFF"/>
                <w:sz w:val="20"/>
              </w:rPr>
              <w:t>Status</w:t>
            </w:r>
          </w:p>
        </w:tc>
        <w:tc>
          <w:tcPr>
            <w:tcW w:type="dxa" w:w="3360"/>
            <w:shd w:fill="1F4D33"/>
          </w:tcPr>
          <w:p>
            <w:r/>
            <w:r>
              <w:rPr>
                <w:rFonts w:ascii="Aptos" w:hAnsi="Aptos"/>
                <w:b/>
                <w:color w:val="FFFFFF"/>
                <w:sz w:val="20"/>
              </w:rPr>
              <w:t>Report position</w:t>
            </w:r>
          </w:p>
        </w:tc>
      </w:tr>
      <w:tr>
        <w:tc>
          <w:tcPr>
            <w:tcW w:type="dxa" w:w="3360"/>
          </w:tcPr>
          <w:p>
            <w:r/>
            <w:r>
              <w:rPr>
                <w:rFonts w:ascii="Aptos" w:hAnsi="Aptos"/>
                <w:b w:val="0"/>
                <w:sz w:val="18"/>
              </w:rPr>
              <w:t>Tooling bills since 16 June 2026</w:t>
            </w:r>
          </w:p>
        </w:tc>
        <w:tc>
          <w:tcPr>
            <w:tcW w:type="dxa" w:w="3360"/>
          </w:tcPr>
          <w:p>
            <w:r/>
            <w:r>
              <w:rPr>
                <w:rFonts w:ascii="Aptos" w:hAnsi="Aptos"/>
                <w:b w:val="0"/>
                <w:sz w:val="18"/>
              </w:rPr>
              <w:t>No invoice-backed figures were present in the workspace</w:t>
            </w:r>
          </w:p>
        </w:tc>
        <w:tc>
          <w:tcPr>
            <w:tcW w:type="dxa" w:w="3360"/>
          </w:tcPr>
          <w:p>
            <w:r/>
            <w:r>
              <w:rPr>
                <w:rFonts w:ascii="Aptos" w:hAnsi="Aptos"/>
                <w:b w:val="0"/>
                <w:sz w:val="18"/>
              </w:rPr>
              <w:t>Do not invent numbers; add invoice exports before any settlement discussion</w:t>
            </w:r>
          </w:p>
        </w:tc>
      </w:tr>
      <w:tr>
        <w:tc>
          <w:tcPr>
            <w:tcW w:type="dxa" w:w="3360"/>
          </w:tcPr>
          <w:p>
            <w:r/>
            <w:r>
              <w:rPr>
                <w:rFonts w:ascii="Aptos" w:hAnsi="Aptos"/>
                <w:b w:val="0"/>
                <w:sz w:val="18"/>
              </w:rPr>
              <w:t>Goodwill / early start</w:t>
            </w:r>
          </w:p>
        </w:tc>
        <w:tc>
          <w:tcPr>
            <w:tcW w:type="dxa" w:w="3360"/>
          </w:tcPr>
          <w:p>
            <w:r/>
            <w:r>
              <w:rPr>
                <w:rFonts w:ascii="Aptos" w:hAnsi="Aptos"/>
                <w:b w:val="0"/>
                <w:sz w:val="18"/>
              </w:rPr>
              <w:t>Work began before a final agreed contract was evidenced</w:t>
            </w:r>
          </w:p>
        </w:tc>
        <w:tc>
          <w:tcPr>
            <w:tcW w:type="dxa" w:w="3360"/>
          </w:tcPr>
          <w:p>
            <w:r/>
            <w:r>
              <w:rPr>
                <w:rFonts w:ascii="Aptos" w:hAnsi="Aptos"/>
                <w:b w:val="0"/>
                <w:sz w:val="18"/>
              </w:rPr>
              <w:t>Record this as goodwill and advanced effort contributed by Sankofa on Phekong's behalf</w:t>
            </w:r>
          </w:p>
        </w:tc>
      </w:tr>
      <w:tr>
        <w:tc>
          <w:tcPr>
            <w:tcW w:type="dxa" w:w="3360"/>
          </w:tcPr>
          <w:p>
            <w:r/>
            <w:r>
              <w:rPr>
                <w:rFonts w:ascii="Aptos" w:hAnsi="Aptos"/>
                <w:b w:val="0"/>
                <w:sz w:val="18"/>
              </w:rPr>
              <w:t>Cost recovery</w:t>
            </w:r>
          </w:p>
        </w:tc>
        <w:tc>
          <w:tcPr>
            <w:tcW w:type="dxa" w:w="3360"/>
          </w:tcPr>
          <w:p>
            <w:r/>
            <w:r>
              <w:rPr>
                <w:rFonts w:ascii="Aptos" w:hAnsi="Aptos"/>
                <w:b w:val="0"/>
                <w:sz w:val="18"/>
              </w:rPr>
              <w:t>Needs finance reconciliation</w:t>
            </w:r>
          </w:p>
        </w:tc>
        <w:tc>
          <w:tcPr>
            <w:tcW w:type="dxa" w:w="3360"/>
          </w:tcPr>
          <w:p>
            <w:r/>
            <w:r>
              <w:rPr>
                <w:rFonts w:ascii="Aptos" w:hAnsi="Aptos"/>
                <w:b w:val="0"/>
                <w:sz w:val="18"/>
              </w:rPr>
              <w:t>Use tooling invoices, GitHub activity, and any host/service receipts to settle the amount fairly</w:t>
            </w:r>
          </w:p>
        </w:tc>
      </w:tr>
    </w:tbl>
    <w:p>
      <w:r>
        <w:t>This report acknowledges that Sankofa has already incurred effort and likely tooling cost exposure while the commercial agreement was still being clarified. That is a goodwill point, not a technical blocker.</w:t>
      </w:r>
    </w:p>
    <w:p>
      <w:r>
        <w:t>Important: the report intentionally avoids fabricating billing totals. If billing reconciliation is required, it should be completed from the authoritative invoices for GitHub, hosting, Supabase, and any other paid tooling used since 16 June 2026.</w:t>
      </w:r>
    </w:p>
    <w:p>
      <w:pPr>
        <w:pStyle w:val="Heading1"/>
      </w:pPr>
      <w:r>
        <w:rPr>
          <w:rFonts w:ascii="Aptos" w:hAnsi="Aptos"/>
          <w:color w:val="16402B"/>
          <w:sz w:val="40"/>
        </w:rPr>
        <w:t>Commitment and Delivery Date</w:t>
      </w:r>
    </w:p>
    <w:p>
      <w:r>
        <w:t>Requested commitment date: no later than 17 July 2026. The commitment should confirm the Option A path, the billing reconciliation process, and the next implementation bundle to proceed.</w:t>
      </w:r>
    </w:p>
    <w:p>
      <w:pPr>
        <w:pStyle w:val="ListNumber"/>
      </w:pPr>
      <w:r>
        <w:rPr>
          <w:rFonts w:ascii="Aptos" w:hAnsi="Aptos"/>
          <w:sz w:val="21"/>
        </w:rPr>
        <w:t>Confirm Option A as the active implementation path.</w:t>
      </w:r>
    </w:p>
    <w:p>
      <w:pPr>
        <w:pStyle w:val="ListNumber"/>
      </w:pPr>
      <w:r>
        <w:rPr>
          <w:rFonts w:ascii="Aptos" w:hAnsi="Aptos"/>
          <w:sz w:val="21"/>
        </w:rPr>
        <w:t>Approve use of prototype content only as a reference bank, not as source code.</w:t>
      </w:r>
    </w:p>
    <w:p>
      <w:pPr>
        <w:pStyle w:val="ListNumber"/>
      </w:pPr>
      <w:r>
        <w:rPr>
          <w:rFonts w:ascii="Aptos" w:hAnsi="Aptos"/>
          <w:sz w:val="21"/>
        </w:rPr>
        <w:t>Provide invoice-backed tooling cost figures for reconciliation.</w:t>
      </w:r>
    </w:p>
    <w:p>
      <w:pPr>
        <w:pStyle w:val="ListNumber"/>
      </w:pPr>
      <w:r>
        <w:rPr>
          <w:rFonts w:ascii="Aptos" w:hAnsi="Aptos"/>
          <w:sz w:val="21"/>
        </w:rPr>
        <w:t>Confirm the logo source and final brand asset package.</w:t>
      </w:r>
    </w:p>
    <w:p>
      <w:pPr>
        <w:pStyle w:val="Heading1"/>
      </w:pPr>
      <w:r>
        <w:rPr>
          <w:rFonts w:ascii="Aptos" w:hAnsi="Aptos"/>
          <w:color w:val="16402B"/>
          <w:sz w:val="40"/>
        </w:rPr>
        <w:t>Recommendation</w:t>
      </w:r>
    </w:p>
    <w:p>
      <w:r>
        <w:t>Recommendation: proceed with Option A, keep the live repo and backend baseline intact, and continue refining the public commerce shell using the extracted prototype content bank. This is the best balance of speed, quality, and commercial credibility for both South African and international customers.</w:t>
      </w:r>
    </w:p>
    <w:p>
      <w:r>
        <w:t>Confidence rating: 92/100</w:t>
      </w:r>
    </w:p>
    <w:sectPr w:rsidR="00FC693F" w:rsidRPr="0006063C" w:rsidSect="00034616">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E5E"/>
        <w:sz w:val="17"/>
      </w:rPr>
      <w:t>Sankofa / Phekong client feedback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