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5725A"/>
          <w:sz w:val="28"/>
        </w:rPr>
        <w:t>PHEKONG</w:t>
      </w:r>
    </w:p>
    <w:p>
      <w:pPr>
        <w:pStyle w:val="Title"/>
      </w:pPr>
      <w:r>
        <w:t>Frontend Media Scan &amp; Usage Plan</w:t>
      </w:r>
    </w:p>
    <w:p>
      <w:pPr>
        <w:jc w:val="center"/>
      </w:pPr>
      <w:r>
        <w:t>Local-only product image selection pack | 9 August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/>
      <w:fldSimple w:instr="TOC \o &quot;1-3&quot; \h \z \u"/>
    </w:p>
    <w:p>
      <w:r>
        <w:br w:type="page"/>
      </w:r>
    </w:p>
    <w:p>
      <w:pPr>
        <w:pStyle w:val="Heading1"/>
      </w:pPr>
      <w:r>
        <w:t>1. Decision summary</w:t>
      </w:r>
    </w:p>
    <w:p>
      <w:r>
        <w:t>Three JPEG frames were selected from paired JPEG/CR2 captures. Orientation, colour, crop, and presentation panels were adjusted without repainting product labels. An AI concept was rejected because small label text changed.</w:t>
      </w:r>
    </w:p>
    <w:p>
      <w:pPr>
        <w:pStyle w:val="Heading1"/>
      </w:pPr>
      <w:r>
        <w:t>2. Homepage / collection landing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collection-hero-aloe-pure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IMG_0077.JPG | Edited asset: home-collection-hero-aloe-puree.jpg</w:t>
      </w:r>
    </w:p>
    <w:p>
      <w:r>
        <w:t>Use the 16:9 composition as a campaign hero, keeping marketing copy in the left negative space.</w:t>
      </w:r>
    </w:p>
    <w:p>
      <w:pPr>
        <w:pStyle w:val="Heading1"/>
      </w:pPr>
      <w:r>
        <w:t>3. Product-detail gallery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66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-detail-aloe-pure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IMG_0081.JPG | Edited asset: product-detail-aloe-puree.jpg</w:t>
      </w:r>
    </w:p>
    <w:p>
      <w:r>
        <w:t>Use the square composition as the main gallery image with contain behavior and a zoomable original.</w:t>
      </w:r>
    </w:p>
    <w:p>
      <w:pPr>
        <w:pStyle w:val="Heading1"/>
      </w:pPr>
      <w:r>
        <w:t>4. Catalogue card / editorial tile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086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ue-card-herbal-therap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Source: IMG_0068.JPG | Edited asset: catalogue-card-herbal-therapy.jpg</w:t>
      </w:r>
    </w:p>
    <w:p>
      <w:r>
        <w:t>Use the 4:5 crop for product grids and editorial discovery modules, especially on mobile.</w:t>
      </w:r>
    </w:p>
    <w:p>
      <w:pPr>
        <w:pStyle w:val="Heading1"/>
      </w:pPr>
      <w:r>
        <w:t>5. Production gate</w:t>
      </w:r>
    </w:p>
    <w:p>
      <w:r>
        <w:t>Before frontend promotion, verify catalogue mapping, product claims, image ownership/consent, final alt text, and responsive AVIF/WebP exports. This branch intentionally changes no application code.</w:t>
      </w:r>
    </w:p>
    <w:p>
      <w:pPr>
        <w:pStyle w:val="Heading1"/>
      </w:pPr>
      <w:r>
        <w:t>6. Three-pass quality review</w:t>
      </w:r>
    </w:p>
    <w:p>
      <w:pPr>
        <w:pStyle w:val="ListBullet"/>
      </w:pPr>
      <w:r>
        <w:t>Selection: distinct utility and readable product identity.</w:t>
      </w:r>
    </w:p>
    <w:p>
      <w:pPr>
        <w:pStyle w:val="ListBullet"/>
      </w:pPr>
      <w:r>
        <w:t>Usability: desktop/mobile aspect ratios and copy-safe placement.</w:t>
      </w:r>
    </w:p>
    <w:p>
      <w:pPr>
        <w:pStyle w:val="ListBullet"/>
      </w:pPr>
      <w:r>
        <w:t>Risk: rejected AI label distortion; production remains approval-gated.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572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572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31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