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D6A800"/>
          <w:sz w:val="20"/>
        </w:rPr>
        <w:t>WORKING IMPLEMENTATION RECORD</w:t>
      </w:r>
    </w:p>
    <w:p>
      <w:pPr>
        <w:spacing w:after="200"/>
        <w:jc w:val="center"/>
      </w:pPr>
      <w:r>
        <w:rPr>
          <w:rFonts w:ascii="Calibri" w:hAnsi="Calibri"/>
          <w:b/>
          <w:color w:val="17365D"/>
          <w:sz w:val="58"/>
        </w:rPr>
        <w:t>Senatla Ops</w:t>
        <w:br/>
        <w:t>Implementation Journey</w:t>
      </w:r>
    </w:p>
    <w:p>
      <w:pPr>
        <w:spacing w:after="480"/>
        <w:jc w:val="center"/>
      </w:pPr>
      <w:r>
        <w:rPr>
          <w:rFonts w:ascii="Calibri" w:hAnsi="Calibri"/>
          <w:i/>
          <w:color w:val="59636E"/>
          <w:sz w:val="28"/>
        </w:rPr>
        <w:t>Enhancing the existing operational system through evidence-led vertical slices</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2448"/>
            <w:vAlign w:val="center"/>
            <w:tcMar>
              <w:top w:w="80" w:type="dxa"/>
              <w:start w:w="120" w:type="dxa"/>
              <w:bottom w:w="80" w:type="dxa"/>
              <w:end w:w="120" w:type="dxa"/>
            </w:tcMar>
            <w:shd w:fill="17365D"/>
          </w:tcPr>
          <w:p>
            <w:r>
              <w:rPr>
                <w:rFonts w:ascii="Calibri" w:hAnsi="Calibri"/>
                <w:b/>
                <w:color w:val="FFFFFF"/>
                <w:sz w:val="19"/>
              </w:rPr>
              <w:t>Document status</w:t>
            </w:r>
          </w:p>
        </w:tc>
        <w:tc>
          <w:tcPr>
            <w:tcW w:type="dxa" w:w="2160"/>
            <w:vAlign w:val="center"/>
            <w:tcMar>
              <w:top w:w="80" w:type="dxa"/>
              <w:start w:w="120" w:type="dxa"/>
              <w:bottom w:w="80" w:type="dxa"/>
              <w:end w:w="120" w:type="dxa"/>
            </w:tcMar>
            <w:shd w:fill="17365D"/>
          </w:tcPr>
          <w:p>
            <w:r>
              <w:rPr>
                <w:rFonts w:ascii="Calibri" w:hAnsi="Calibri"/>
                <w:b/>
                <w:color w:val="FFFFFF"/>
                <w:sz w:val="19"/>
              </w:rPr>
              <w:t>Baseline</w:t>
            </w:r>
          </w:p>
        </w:tc>
        <w:tc>
          <w:tcPr>
            <w:tcW w:type="dxa" w:w="4752"/>
            <w:vAlign w:val="center"/>
            <w:tcMar>
              <w:top w:w="80" w:type="dxa"/>
              <w:start w:w="120" w:type="dxa"/>
              <w:bottom w:w="80" w:type="dxa"/>
              <w:end w:w="120" w:type="dxa"/>
            </w:tcMar>
            <w:shd w:fill="17365D"/>
          </w:tcPr>
          <w:p>
            <w:r>
              <w:rPr>
                <w:rFonts w:ascii="Calibri" w:hAnsi="Calibri"/>
                <w:b/>
                <w:color w:val="FFFFFF"/>
                <w:sz w:val="19"/>
              </w:rPr>
              <w:t>Current branch</w:t>
            </w:r>
          </w:p>
        </w:tc>
      </w:tr>
      <w:tr>
        <w:trPr>
          <w:cantSplit/>
        </w:trPr>
        <w:tc>
          <w:tcPr>
            <w:tcW w:type="dxa" w:w="2448"/>
            <w:vAlign w:val="center"/>
            <w:tcMar>
              <w:top w:w="80" w:type="dxa"/>
              <w:start w:w="120" w:type="dxa"/>
              <w:bottom w:w="80" w:type="dxa"/>
              <w:end w:w="120" w:type="dxa"/>
            </w:tcMar>
          </w:tcPr>
          <w:p>
            <w:pPr>
              <w:spacing w:after="0"/>
            </w:pPr>
            <w:r>
              <w:rPr>
                <w:rFonts w:ascii="Calibri" w:hAnsi="Calibri"/>
                <w:sz w:val="18"/>
              </w:rPr>
              <w:t>Living working document</w:t>
            </w:r>
          </w:p>
        </w:tc>
        <w:tc>
          <w:tcPr>
            <w:tcW w:type="dxa" w:w="2160"/>
            <w:vAlign w:val="center"/>
            <w:tcMar>
              <w:top w:w="80" w:type="dxa"/>
              <w:start w:w="120" w:type="dxa"/>
              <w:bottom w:w="80" w:type="dxa"/>
              <w:end w:w="120" w:type="dxa"/>
            </w:tcMar>
          </w:tcPr>
          <w:p>
            <w:pPr>
              <w:spacing w:after="0"/>
            </w:pPr>
            <w:r>
              <w:rPr>
                <w:rFonts w:ascii="Calibri" w:hAnsi="Calibri"/>
                <w:sz w:val="18"/>
              </w:rPr>
              <w:t>24 August 2026</w:t>
            </w:r>
          </w:p>
        </w:tc>
        <w:tc>
          <w:tcPr>
            <w:tcW w:type="dxa" w:w="4752"/>
            <w:vAlign w:val="center"/>
            <w:tcMar>
              <w:top w:w="80" w:type="dxa"/>
              <w:start w:w="120" w:type="dxa"/>
              <w:bottom w:w="80" w:type="dxa"/>
              <w:end w:w="120" w:type="dxa"/>
            </w:tcMar>
          </w:tcPr>
          <w:p>
            <w:pPr>
              <w:spacing w:after="0"/>
            </w:pPr>
            <w:r>
              <w:rPr>
                <w:rFonts w:ascii="Calibri" w:hAnsi="Calibri"/>
                <w:sz w:val="18"/>
              </w:rPr>
              <w:t>sankofa_xciv/ocr-3-device-uat-gate</w:t>
            </w:r>
          </w:p>
        </w:tc>
      </w:tr>
    </w:tbl>
    <w:p>
      <w:pPr>
        <w:spacing w:after="0"/>
      </w:pPr>
    </w:p>
    <w:p>
      <w:pPr>
        <w:spacing w:before="80" w:after="160"/>
        <w:ind w:left="173" w:right="173"/>
        <w:shd w:fill="FFF8E1"/>
        <w:pBdr>
          <w:top w:val="single" w:sz="6" w:color="D7DEE8"/>
          <w:left w:val="single" w:sz="6" w:color="D7DEE8"/>
          <w:bottom w:val="single" w:sz="6" w:color="D7DEE8"/>
          <w:right w:val="single" w:sz="6" w:color="D7DEE8"/>
        </w:pBdr>
      </w:pPr>
      <w:r>
        <w:rPr>
          <w:rFonts w:ascii="Calibri" w:hAnsi="Calibri"/>
          <w:b/>
          <w:color w:val="17365D"/>
        </w:rPr>
        <w:t xml:space="preserve">Scope boundary: </w:t>
      </w:r>
      <w:r>
        <w:t>This record documents enhancements to the running Senatla Ops application. It is not a plan for a replacement application. Harmony/Saaiplass material remains illustrative until contractually validated.</w:t>
      </w:r>
    </w:p>
    <w:p>
      <w:r>
        <w:br w:type="page"/>
      </w:r>
    </w:p>
    <w:p>
      <w:pPr>
        <w:pStyle w:val="Heading1"/>
      </w:pPr>
      <w:r>
        <w:t>Contents</w:t>
      </w:r>
    </w:p>
    <w:p>
      <w:pPr>
        <w:spacing w:after="100"/>
        <w:ind w:left="216"/>
      </w:pPr>
      <w:r>
        <w:t>1. Purpose and operating principles</w:t>
      </w:r>
    </w:p>
    <w:p>
      <w:pPr>
        <w:spacing w:after="100"/>
        <w:ind w:left="216"/>
      </w:pPr>
      <w:r>
        <w:t>2. Existing product baseline</w:t>
      </w:r>
    </w:p>
    <w:p>
      <w:pPr>
        <w:spacing w:after="100"/>
        <w:ind w:left="216"/>
      </w:pPr>
      <w:r>
        <w:t>3. Enhancement map</w:t>
      </w:r>
    </w:p>
    <w:p>
      <w:pPr>
        <w:spacing w:after="100"/>
        <w:ind w:left="216"/>
      </w:pPr>
      <w:r>
        <w:t>4. Slice register</w:t>
      </w:r>
    </w:p>
    <w:p>
      <w:pPr>
        <w:spacing w:after="100"/>
        <w:ind w:left="216"/>
      </w:pPr>
      <w:r>
        <w:t>5. Delivery sequence and first milestone</w:t>
      </w:r>
    </w:p>
    <w:p>
      <w:pPr>
        <w:spacing w:after="100"/>
        <w:ind w:left="216"/>
      </w:pPr>
      <w:r>
        <w:t>6. Journey log</w:t>
      </w:r>
    </w:p>
    <w:p>
      <w:pPr>
        <w:spacing w:after="100"/>
        <w:ind w:left="216"/>
      </w:pPr>
      <w:r>
        <w:t>7. Decision log</w:t>
      </w:r>
    </w:p>
    <w:p>
      <w:pPr>
        <w:spacing w:after="100"/>
        <w:ind w:left="216"/>
      </w:pPr>
      <w:r>
        <w:t>8. Evidence register</w:t>
      </w:r>
    </w:p>
    <w:p>
      <w:pPr>
        <w:spacing w:after="100"/>
        <w:ind w:left="216"/>
      </w:pPr>
      <w:r>
        <w:t>9. Risk register</w:t>
      </w:r>
    </w:p>
    <w:p>
      <w:pPr>
        <w:spacing w:after="100"/>
        <w:ind w:left="216"/>
      </w:pPr>
      <w:r>
        <w:t>10. Definition of done</w:t>
      </w:r>
    </w:p>
    <w:p>
      <w:pPr>
        <w:spacing w:after="100"/>
        <w:ind w:left="216"/>
      </w:pPr>
      <w:r>
        <w:t>11. Source material</w:t>
      </w:r>
    </w:p>
    <w:p>
      <w:r>
        <w:t>This static contents list remains readable in all renderers. Update it when a future revision adds or renames a major section.</w:t>
      </w:r>
    </w:p>
    <w:p>
      <w:r>
        <w:br w:type="page"/>
      </w:r>
    </w:p>
    <w:p>
      <w:pPr>
        <w:pStyle w:val="Heading1"/>
      </w:pPr>
      <w:r>
        <w:t>1. Purpose and operating principles</w:t>
      </w:r>
    </w:p>
    <w:p>
      <w:r>
        <w:t>This living record connects each Senatla Ops implementation slice to the existing product, operational need, decisions, changes, verification evidence, risks, and observed outcomes. It must be updated after every meaningful implementation or verification pass.</w:t>
      </w:r>
    </w:p>
    <w:p>
      <w:pPr>
        <w:spacing w:before="80" w:after="160"/>
        <w:ind w:left="173" w:right="173"/>
        <w:shd w:fill="E8EEF5"/>
        <w:pBdr>
          <w:top w:val="single" w:sz="6" w:color="D7DEE8"/>
          <w:left w:val="single" w:sz="6" w:color="D7DEE8"/>
          <w:bottom w:val="single" w:sz="6" w:color="D7DEE8"/>
          <w:right w:val="single" w:sz="6" w:color="D7DEE8"/>
        </w:pBdr>
      </w:pPr>
      <w:r>
        <w:rPr>
          <w:rFonts w:ascii="Calibri" w:hAnsi="Calibri"/>
          <w:b/>
          <w:color w:val="17365D"/>
        </w:rPr>
        <w:t xml:space="preserve">Source interpretation: </w:t>
      </w:r>
      <w:r>
        <w:t>The supplied Operations Research document is a source of enhancement ideas only. Its scenario, project code, quantities, activities, and commercial assumptions are not production facts.</w:t>
      </w:r>
    </w:p>
    <w:p>
      <w:pPr>
        <w:pStyle w:val="ListBullet"/>
      </w:pPr>
      <w:r>
        <w:t>Enhance current workflows before adding new modules.</w:t>
      </w:r>
    </w:p>
    <w:p>
      <w:pPr>
        <w:pStyle w:val="ListBullet"/>
      </w:pPr>
      <w:r>
        <w:t>Reuse Supabase RLS, immutable audit events, private evidence storage, and the offline outbox.</w:t>
      </w:r>
    </w:p>
    <w:p>
      <w:pPr>
        <w:pStyle w:val="ListBullet"/>
      </w:pPr>
      <w:r>
        <w:t>Treat safety, legal, technical, and contractual requirements as hard constraints.</w:t>
      </w:r>
    </w:p>
    <w:p>
      <w:pPr>
        <w:pStyle w:val="ListBullet"/>
      </w:pPr>
      <w:r>
        <w:t>Keep recommendations explainable and subject to human approval.</w:t>
      </w:r>
    </w:p>
    <w:p>
      <w:pPr>
        <w:pStyle w:val="ListBullet"/>
      </w:pPr>
      <w:r>
        <w:t>Derive dashboards from persisted records and preserve one source of truth.</w:t>
      </w:r>
    </w:p>
    <w:p>
      <w:pPr>
        <w:pStyle w:val="ListBullet"/>
      </w:pPr>
      <w:r>
        <w:t>Require measured evidence before adding solver-backed optimisation.</w:t>
      </w:r>
    </w:p>
    <w:p>
      <w:pPr>
        <w:pStyle w:val="ListBullet"/>
      </w:pPr>
      <w:r>
        <w:t>Separate verified completion from assumptions, partial proof, and external blockers.</w:t>
      </w:r>
    </w:p>
    <w:p>
      <w:pPr>
        <w:pStyle w:val="Heading1"/>
      </w:pPr>
      <w:r>
        <w:t>2. Existing product baseline</w:t>
      </w:r>
    </w:p>
    <w:p>
      <w:r>
        <w:t>The document starts from the system that is already running. The following capabilities are foundations to reuse, not work to recreate.</w:t>
      </w:r>
    </w:p>
    <w:p>
      <w:pPr>
        <w:pStyle w:val="ListBullet"/>
      </w:pPr>
      <w:r>
        <w:t>Supabase authentication, application roles, route guards, and row-level security.</w:t>
      </w:r>
    </w:p>
    <w:p>
      <w:pPr>
        <w:pStyle w:val="ListBullet"/>
      </w:pPr>
      <w:r>
        <w:t>Sites, teams, employees, attendance, safety talks, issues, and daily synchronisation.</w:t>
      </w:r>
    </w:p>
    <w:p>
      <w:pPr>
        <w:pStyle w:val="ListBullet"/>
      </w:pPr>
      <w:r>
        <w:t>Employee onboarding, medical status, red-ticket fields, and PPE records.</w:t>
      </w:r>
    </w:p>
    <w:p>
      <w:pPr>
        <w:pStyle w:val="ListBullet"/>
      </w:pPr>
      <w:r>
        <w:t>Asset identity, evidence, custody, compliance, maintenance, meters, and fuel.</w:t>
      </w:r>
    </w:p>
    <w:p>
      <w:pPr>
        <w:pStyle w:val="ListBullet"/>
      </w:pPr>
      <w:r>
        <w:t>Vendor accounts, vendor invoices, Director review, and maker-checker approvals.</w:t>
      </w:r>
    </w:p>
    <w:p>
      <w:pPr>
        <w:pStyle w:val="ListBullet"/>
      </w:pPr>
      <w:r>
        <w:t>Immutable administrative and attendance audit events.</w:t>
      </w:r>
    </w:p>
    <w:p>
      <w:pPr>
        <w:pStyle w:val="ListBullet"/>
      </w:pPr>
      <w:r>
        <w:t>Durable outbox and queued offline submissions.</w:t>
      </w:r>
    </w:p>
    <w:p>
      <w:pPr>
        <w:pStyle w:val="ListBullet"/>
      </w:pPr>
      <w:r>
        <w:t>Site Manager, Office Admin, Asset Register, and Director experiences.</w:t>
      </w:r>
    </w:p>
    <w:p>
      <w:pPr>
        <w:pStyle w:val="ListBullet"/>
      </w:pPr>
      <w:r>
        <w:t>Director metrics based on recorded attendance, PPE, fuel, and vendor data.</w:t>
      </w:r>
    </w:p>
    <w:p>
      <w:r>
        <w:br w:type="page"/>
      </w:r>
    </w:p>
    <w:p>
      <w:pPr>
        <w:pStyle w:val="Heading1"/>
      </w:pPr>
      <w:r>
        <w:t>3. Enhancement map</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Current feature</w:t>
            </w:r>
          </w:p>
        </w:tc>
        <w:tc>
          <w:tcPr>
            <w:tcW w:type="dxa" w:w="4392"/>
            <w:vAlign w:val="center"/>
            <w:tcMar>
              <w:top w:w="80" w:type="dxa"/>
              <w:start w:w="120" w:type="dxa"/>
              <w:bottom w:w="80" w:type="dxa"/>
              <w:end w:w="120" w:type="dxa"/>
            </w:tcMar>
            <w:shd w:fill="17365D"/>
          </w:tcPr>
          <w:p>
            <w:r>
              <w:rPr>
                <w:rFonts w:ascii="Calibri" w:hAnsi="Calibri"/>
                <w:b/>
                <w:color w:val="FFFFFF"/>
                <w:sz w:val="19"/>
              </w:rPr>
              <w:t>Enhancement</w:t>
            </w:r>
          </w:p>
        </w:tc>
        <w:tc>
          <w:tcPr>
            <w:tcW w:type="dxa" w:w="2736"/>
            <w:vAlign w:val="center"/>
            <w:tcMar>
              <w:top w:w="80" w:type="dxa"/>
              <w:start w:w="120" w:type="dxa"/>
              <w:bottom w:w="80" w:type="dxa"/>
              <w:end w:w="120" w:type="dxa"/>
            </w:tcMar>
            <w:shd w:fill="17365D"/>
          </w:tcPr>
          <w:p>
            <w:r>
              <w:rPr>
                <w:rFonts w:ascii="Calibri" w:hAnsi="Calibri"/>
                <w:b/>
                <w:color w:val="FFFFFF"/>
                <w:sz w:val="19"/>
              </w:rPr>
              <w:t>Boundary</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Site Manager daily setup</w:t>
            </w:r>
          </w:p>
        </w:tc>
        <w:tc>
          <w:tcPr>
            <w:tcW w:type="dxa" w:w="4392"/>
            <w:vAlign w:val="center"/>
            <w:tcMar>
              <w:top w:w="80" w:type="dxa"/>
              <w:start w:w="120" w:type="dxa"/>
              <w:bottom w:w="80" w:type="dxa"/>
              <w:end w:w="120" w:type="dxa"/>
            </w:tcMar>
          </w:tcPr>
          <w:p>
            <w:pPr>
              <w:spacing w:after="0"/>
            </w:pPr>
            <w:r>
              <w:rPr>
                <w:rFonts w:ascii="Calibri" w:hAnsi="Calibri"/>
                <w:sz w:val="18"/>
              </w:rPr>
              <w:t>Crew, asset, and site readiness</w:t>
            </w:r>
          </w:p>
        </w:tc>
        <w:tc>
          <w:tcPr>
            <w:tcW w:type="dxa" w:w="2736"/>
            <w:vAlign w:val="center"/>
            <w:tcMar>
              <w:top w:w="80" w:type="dxa"/>
              <w:start w:w="120" w:type="dxa"/>
              <w:bottom w:w="80" w:type="dxa"/>
              <w:end w:w="120" w:type="dxa"/>
            </w:tcMar>
          </w:tcPr>
          <w:p>
            <w:pPr>
              <w:spacing w:after="0"/>
            </w:pPr>
            <w:r>
              <w:rPr>
                <w:rFonts w:ascii="Calibri" w:hAnsi="Calibri"/>
                <w:sz w:val="18"/>
              </w:rPr>
              <w:t>No replacement field app</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Employee onboarding</w:t>
            </w:r>
          </w:p>
        </w:tc>
        <w:tc>
          <w:tcPr>
            <w:tcW w:type="dxa" w:w="4392"/>
            <w:shd w:fill="F2F4F7"/>
            <w:vAlign w:val="center"/>
            <w:tcMar>
              <w:top w:w="80" w:type="dxa"/>
              <w:start w:w="120" w:type="dxa"/>
              <w:bottom w:w="80" w:type="dxa"/>
              <w:end w:w="120" w:type="dxa"/>
            </w:tcMar>
          </w:tcPr>
          <w:p>
            <w:pPr>
              <w:spacing w:after="0"/>
            </w:pPr>
            <w:r>
              <w:rPr>
                <w:rFonts w:ascii="Calibri" w:hAnsi="Calibri"/>
                <w:sz w:val="18"/>
              </w:rPr>
              <w:t>Eligibility explanations</w:t>
            </w:r>
          </w:p>
        </w:tc>
        <w:tc>
          <w:tcPr>
            <w:tcW w:type="dxa" w:w="2736"/>
            <w:shd w:fill="F2F4F7"/>
            <w:vAlign w:val="center"/>
            <w:tcMar>
              <w:top w:w="80" w:type="dxa"/>
              <w:start w:w="120" w:type="dxa"/>
              <w:bottom w:w="80" w:type="dxa"/>
              <w:end w:w="120" w:type="dxa"/>
            </w:tcMar>
          </w:tcPr>
          <w:p>
            <w:pPr>
              <w:spacing w:after="0"/>
            </w:pPr>
            <w:r>
              <w:rPr>
                <w:rFonts w:ascii="Calibri" w:hAnsi="Calibri"/>
                <w:sz w:val="18"/>
              </w:rPr>
              <w:t>No duplicate workforce register</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Asset control</w:t>
            </w:r>
          </w:p>
        </w:tc>
        <w:tc>
          <w:tcPr>
            <w:tcW w:type="dxa" w:w="4392"/>
            <w:vAlign w:val="center"/>
            <w:tcMar>
              <w:top w:w="80" w:type="dxa"/>
              <w:start w:w="120" w:type="dxa"/>
              <w:bottom w:w="80" w:type="dxa"/>
              <w:end w:w="120" w:type="dxa"/>
            </w:tcMar>
          </w:tcPr>
          <w:p>
            <w:pPr>
              <w:spacing w:after="0"/>
            </w:pPr>
            <w:r>
              <w:rPr>
                <w:rFonts w:ascii="Calibri" w:hAnsi="Calibri"/>
                <w:sz w:val="18"/>
              </w:rPr>
              <w:t>Availability and compliance readiness</w:t>
            </w:r>
          </w:p>
        </w:tc>
        <w:tc>
          <w:tcPr>
            <w:tcW w:type="dxa" w:w="2736"/>
            <w:vAlign w:val="center"/>
            <w:tcMar>
              <w:top w:w="80" w:type="dxa"/>
              <w:start w:w="120" w:type="dxa"/>
              <w:bottom w:w="80" w:type="dxa"/>
              <w:end w:w="120" w:type="dxa"/>
            </w:tcMar>
          </w:tcPr>
          <w:p>
            <w:pPr>
              <w:spacing w:after="0"/>
            </w:pPr>
            <w:r>
              <w:rPr>
                <w:rFonts w:ascii="Calibri" w:hAnsi="Calibri"/>
                <w:sz w:val="18"/>
              </w:rPr>
              <w:t>No duplicate asset register</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Office Admin</w:t>
            </w:r>
          </w:p>
        </w:tc>
        <w:tc>
          <w:tcPr>
            <w:tcW w:type="dxa" w:w="4392"/>
            <w:shd w:fill="F2F4F7"/>
            <w:vAlign w:val="center"/>
            <w:tcMar>
              <w:top w:w="80" w:type="dxa"/>
              <w:start w:w="120" w:type="dxa"/>
              <w:bottom w:w="80" w:type="dxa"/>
              <w:end w:w="120" w:type="dxa"/>
            </w:tcMar>
          </w:tcPr>
          <w:p>
            <w:pPr>
              <w:spacing w:after="0"/>
            </w:pPr>
            <w:r>
              <w:rPr>
                <w:rFonts w:ascii="Calibri" w:hAnsi="Calibri"/>
                <w:sz w:val="18"/>
              </w:rPr>
              <w:t>Conflicts and eligible alternatives</w:t>
            </w:r>
          </w:p>
        </w:tc>
        <w:tc>
          <w:tcPr>
            <w:tcW w:type="dxa" w:w="2736"/>
            <w:shd w:fill="F2F4F7"/>
            <w:vAlign w:val="center"/>
            <w:tcMar>
              <w:top w:w="80" w:type="dxa"/>
              <w:start w:w="120" w:type="dxa"/>
              <w:bottom w:w="80" w:type="dxa"/>
              <w:end w:w="120" w:type="dxa"/>
            </w:tcMar>
          </w:tcPr>
          <w:p>
            <w:pPr>
              <w:spacing w:after="0"/>
            </w:pPr>
            <w:r>
              <w:rPr>
                <w:rFonts w:ascii="Calibri" w:hAnsi="Calibri"/>
                <w:sz w:val="18"/>
              </w:rPr>
              <w:t>No automatic reassignment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Trip logging</w:t>
            </w:r>
          </w:p>
        </w:tc>
        <w:tc>
          <w:tcPr>
            <w:tcW w:type="dxa" w:w="4392"/>
            <w:vAlign w:val="center"/>
            <w:tcMar>
              <w:top w:w="80" w:type="dxa"/>
              <w:start w:w="120" w:type="dxa"/>
              <w:bottom w:w="80" w:type="dxa"/>
              <w:end w:w="120" w:type="dxa"/>
            </w:tcMar>
          </w:tcPr>
          <w:p>
            <w:pPr>
              <w:spacing w:after="0"/>
            </w:pPr>
            <w:r>
              <w:rPr>
                <w:rFonts w:ascii="Calibri" w:hAnsi="Calibri"/>
                <w:sz w:val="18"/>
              </w:rPr>
              <w:t>Stop order and actual comparison</w:t>
            </w:r>
          </w:p>
        </w:tc>
        <w:tc>
          <w:tcPr>
            <w:tcW w:type="dxa" w:w="2736"/>
            <w:vAlign w:val="center"/>
            <w:tcMar>
              <w:top w:w="80" w:type="dxa"/>
              <w:start w:w="120" w:type="dxa"/>
              <w:bottom w:w="80" w:type="dxa"/>
              <w:end w:w="120" w:type="dxa"/>
            </w:tcMar>
          </w:tcPr>
          <w:p>
            <w:pPr>
              <w:spacing w:after="0"/>
            </w:pPr>
            <w:r>
              <w:rPr>
                <w:rFonts w:ascii="Calibri" w:hAnsi="Calibri"/>
                <w:sz w:val="18"/>
              </w:rPr>
              <w:t>No early optimality claim</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Cost records</w:t>
            </w:r>
          </w:p>
        </w:tc>
        <w:tc>
          <w:tcPr>
            <w:tcW w:type="dxa" w:w="4392"/>
            <w:shd w:fill="F2F4F7"/>
            <w:vAlign w:val="center"/>
            <w:tcMar>
              <w:top w:w="80" w:type="dxa"/>
              <w:start w:w="120" w:type="dxa"/>
              <w:bottom w:w="80" w:type="dxa"/>
              <w:end w:w="120" w:type="dxa"/>
            </w:tcMar>
          </w:tcPr>
          <w:p>
            <w:pPr>
              <w:spacing w:after="0"/>
            </w:pPr>
            <w:r>
              <w:rPr>
                <w:rFonts w:ascii="Calibri" w:hAnsi="Calibri"/>
                <w:sz w:val="18"/>
              </w:rPr>
              <w:t>Site/job attribution</w:t>
            </w:r>
          </w:p>
        </w:tc>
        <w:tc>
          <w:tcPr>
            <w:tcW w:type="dxa" w:w="2736"/>
            <w:shd w:fill="F2F4F7"/>
            <w:vAlign w:val="center"/>
            <w:tcMar>
              <w:top w:w="80" w:type="dxa"/>
              <w:start w:w="120" w:type="dxa"/>
              <w:bottom w:w="80" w:type="dxa"/>
              <w:end w:w="120" w:type="dxa"/>
            </w:tcMar>
          </w:tcPr>
          <w:p>
            <w:pPr>
              <w:spacing w:after="0"/>
            </w:pPr>
            <w:r>
              <w:rPr>
                <w:rFonts w:ascii="Calibri" w:hAnsi="Calibri"/>
                <w:sz w:val="18"/>
              </w:rPr>
              <w:t>No new accounting ledger</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Director dashboard</w:t>
            </w:r>
          </w:p>
        </w:tc>
        <w:tc>
          <w:tcPr>
            <w:tcW w:type="dxa" w:w="4392"/>
            <w:vAlign w:val="center"/>
            <w:tcMar>
              <w:top w:w="80" w:type="dxa"/>
              <w:start w:w="120" w:type="dxa"/>
              <w:bottom w:w="80" w:type="dxa"/>
              <w:end w:w="120" w:type="dxa"/>
            </w:tcMar>
          </w:tcPr>
          <w:p>
            <w:pPr>
              <w:spacing w:after="0"/>
            </w:pPr>
            <w:r>
              <w:rPr>
                <w:rFonts w:ascii="Calibri" w:hAnsi="Calibri"/>
                <w:sz w:val="18"/>
              </w:rPr>
              <w:t>Readiness, utilisation, blockers, cost</w:t>
            </w:r>
          </w:p>
        </w:tc>
        <w:tc>
          <w:tcPr>
            <w:tcW w:type="dxa" w:w="2736"/>
            <w:vAlign w:val="center"/>
            <w:tcMar>
              <w:top w:w="80" w:type="dxa"/>
              <w:start w:w="120" w:type="dxa"/>
              <w:bottom w:w="80" w:type="dxa"/>
              <w:end w:w="120" w:type="dxa"/>
            </w:tcMar>
          </w:tcPr>
          <w:p>
            <w:pPr>
              <w:spacing w:after="0"/>
            </w:pPr>
            <w:r>
              <w:rPr>
                <w:rFonts w:ascii="Calibri" w:hAnsi="Calibri"/>
                <w:sz w:val="18"/>
              </w:rPr>
              <w:t>No manual KPI totals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Audit/outbox</w:t>
            </w:r>
          </w:p>
        </w:tc>
        <w:tc>
          <w:tcPr>
            <w:tcW w:type="dxa" w:w="4392"/>
            <w:shd w:fill="F2F4F7"/>
            <w:vAlign w:val="center"/>
            <w:tcMar>
              <w:top w:w="80" w:type="dxa"/>
              <w:start w:w="120" w:type="dxa"/>
              <w:bottom w:w="80" w:type="dxa"/>
              <w:end w:w="120" w:type="dxa"/>
            </w:tcMar>
          </w:tcPr>
          <w:p>
            <w:pPr>
              <w:spacing w:after="0"/>
            </w:pPr>
            <w:r>
              <w:rPr>
                <w:rFonts w:ascii="Calibri" w:hAnsi="Calibri"/>
                <w:sz w:val="18"/>
              </w:rPr>
              <w:t>Recommendation and outcome evidence</w:t>
            </w:r>
          </w:p>
        </w:tc>
        <w:tc>
          <w:tcPr>
            <w:tcW w:type="dxa" w:w="2736"/>
            <w:shd w:fill="F2F4F7"/>
            <w:vAlign w:val="center"/>
            <w:tcMar>
              <w:top w:w="80" w:type="dxa"/>
              <w:start w:w="120" w:type="dxa"/>
              <w:bottom w:w="80" w:type="dxa"/>
              <w:end w:w="120" w:type="dxa"/>
            </w:tcMar>
          </w:tcPr>
          <w:p>
            <w:pPr>
              <w:spacing w:after="0"/>
            </w:pPr>
            <w:r>
              <w:rPr>
                <w:rFonts w:ascii="Calibri" w:hAnsi="Calibri"/>
                <w:sz w:val="18"/>
              </w:rPr>
              <w:t>No parallel event store</w:t>
            </w:r>
          </w:p>
        </w:tc>
      </w:tr>
    </w:tbl>
    <w:p>
      <w:pPr>
        <w:spacing w:after="0"/>
      </w:pPr>
    </w:p>
    <w:p>
      <w:pPr>
        <w:pStyle w:val="Heading1"/>
      </w:pPr>
      <w:r>
        <w:t>4. Slice register</w:t>
      </w:r>
    </w:p>
    <w:p>
      <w:pPr>
        <w:pStyle w:val="Heading2"/>
      </w:pPr>
      <w:r>
        <w:t>Slice 0 - Readiness contract</w:t>
      </w:r>
    </w:p>
    <w:p>
      <w:r>
        <w:rPr>
          <w:b/>
        </w:rPr>
        <w:t xml:space="preserve">Objective. </w:t>
      </w:r>
      <w:r>
        <w:t>Define deterministic ready, warning, blocked, and unknown outcomes with stable reason codes, corrective actions, fail-closed safety behavior, and a versioned policy.</w:t>
      </w:r>
    </w:p>
    <w:p>
      <w:r>
        <w:rPr>
          <w:b/>
        </w:rPr>
        <w:t xml:space="preserve">Exit evidence. </w:t>
      </w:r>
      <w:r>
        <w:t>Rule catalogue; evaluator tests; privacy review; no duplicate tables.</w:t>
      </w:r>
    </w:p>
    <w:p>
      <w:r>
        <w:rPr>
          <w:b/>
        </w:rPr>
        <w:t xml:space="preserve">Status. </w:t>
      </w:r>
      <w:r>
        <w:t>Implemented locally; frontend policy verified; database runtime proof pending local Docker/Supabase</w:t>
      </w:r>
    </w:p>
    <w:p>
      <w:pPr>
        <w:pStyle w:val="Heading2"/>
      </w:pPr>
      <w:r>
        <w:t>Slice 1 - Site Manager readiness</w:t>
      </w:r>
    </w:p>
    <w:p>
      <w:r>
        <w:rPr>
          <w:b/>
        </w:rPr>
        <w:t xml:space="preserve">Objective. </w:t>
      </w:r>
      <w:r>
        <w:t>Show current crew and asset readiness inside the existing daily setup; confirm current policy evidence atomically through the immutable audit contract.</w:t>
      </w:r>
    </w:p>
    <w:p>
      <w:r>
        <w:rPr>
          <w:b/>
        </w:rPr>
        <w:t xml:space="preserve">Exit evidence. </w:t>
      </w:r>
      <w:r>
        <w:t>Component, privacy, real-data boundary, role, desktop, and 390 px evidence.</w:t>
      </w:r>
    </w:p>
    <w:p>
      <w:r>
        <w:rPr>
          <w:b/>
        </w:rPr>
        <w:t xml:space="preserve">Status. </w:t>
      </w:r>
      <w:r>
        <w:t>Implemented and locally verified; remote database/deployment gate pending</w:t>
      </w:r>
    </w:p>
    <w:p>
      <w:pPr>
        <w:pStyle w:val="Heading2"/>
      </w:pPr>
      <w:r>
        <w:t>Slice 2 - Office Admin suggestions</w:t>
      </w:r>
    </w:p>
    <w:p>
      <w:r>
        <w:rPr>
          <w:b/>
        </w:rPr>
        <w:t xml:space="preserve">Objective. </w:t>
      </w:r>
      <w:r>
        <w:t>Detect conflicts, rank eligible alternatives transparently, and require human acceptance, rejection, or override reason.</w:t>
      </w:r>
    </w:p>
    <w:p>
      <w:r>
        <w:rPr>
          <w:b/>
        </w:rPr>
        <w:t xml:space="preserve">Exit evidence. </w:t>
      </w:r>
      <w:r>
        <w:t>Ranking, conflict, blocker, audit, and role-negative tests.</w:t>
      </w:r>
    </w:p>
    <w:p>
      <w:r>
        <w:rPr>
          <w:b/>
        </w:rPr>
        <w:t xml:space="preserve">Status. </w:t>
      </w:r>
      <w:r>
        <w:t>Implemented and locally verified; 30-assertion database runtime proof and remote deployment pending</w:t>
      </w:r>
    </w:p>
    <w:p>
      <w:pPr>
        <w:pStyle w:val="Heading2"/>
      </w:pPr>
      <w:r>
        <w:t>Slice 3 - Site/job cost attribution</w:t>
      </w:r>
    </w:p>
    <w:p>
      <w:r>
        <w:rPr>
          <w:b/>
        </w:rPr>
        <w:t xml:space="preserve">Objective. </w:t>
      </w:r>
      <w:r>
        <w:t>Attribute labour, PPE, fuel, work-order, and approved vendor costs to existing sites/job numbers; expose unattributed costs.</w:t>
      </w:r>
    </w:p>
    <w:p>
      <w:r>
        <w:rPr>
          <w:b/>
        </w:rPr>
        <w:t xml:space="preserve">Exit evidence. </w:t>
      </w:r>
      <w:r>
        <w:t>Cost reconciliation, allocation, invoice-state, RLS, and role tests.</w:t>
      </w:r>
    </w:p>
    <w:p>
      <w:r>
        <w:rPr>
          <w:b/>
        </w:rPr>
        <w:t xml:space="preserve">Status. </w:t>
      </w:r>
      <w:r>
        <w:t>Planned; after vendor baseline stabilises</w:t>
      </w:r>
    </w:p>
    <w:p>
      <w:pPr>
        <w:pStyle w:val="Heading2"/>
      </w:pPr>
      <w:r>
        <w:t>Slice 4 - Director control view</w:t>
      </w:r>
    </w:p>
    <w:p>
      <w:r>
        <w:rPr>
          <w:b/>
        </w:rPr>
        <w:t xml:space="preserve">Objective. </w:t>
      </w:r>
      <w:r>
        <w:t>Add drillable readiness, utilisation, blocker, cost, freshness, and completeness metrics to the existing Director page.</w:t>
      </w:r>
    </w:p>
    <w:p>
      <w:r>
        <w:rPr>
          <w:b/>
        </w:rPr>
        <w:t xml:space="preserve">Exit evidence. </w:t>
      </w:r>
      <w:r>
        <w:t>Metric reconciliation, partial-data, access, desktop, and mobile evidence.</w:t>
      </w:r>
    </w:p>
    <w:p>
      <w:r>
        <w:rPr>
          <w:b/>
        </w:rPr>
        <w:t xml:space="preserve">Status. </w:t>
      </w:r>
      <w:r>
        <w:t>Planned; depends on Slices 1 and 3</w:t>
      </w:r>
    </w:p>
    <w:p>
      <w:pPr>
        <w:pStyle w:val="Heading2"/>
      </w:pPr>
      <w:r>
        <w:t>Slice 5 - Trip recommendation</w:t>
      </w:r>
    </w:p>
    <w:p>
      <w:r>
        <w:rPr>
          <w:b/>
        </w:rPr>
        <w:t xml:space="preserve">Objective. </w:t>
      </w:r>
      <w:r>
        <w:t>Use current trip data to recommend a deterministic stop order and compare estimated with actual execution.</w:t>
      </w:r>
    </w:p>
    <w:p>
      <w:r>
        <w:rPr>
          <w:b/>
        </w:rPr>
        <w:t xml:space="preserve">Exit evidence. </w:t>
      </w:r>
      <w:r>
        <w:t>Algorithm, coordinate, offline, audit, and mobile tests.</w:t>
      </w:r>
    </w:p>
    <w:p>
      <w:r>
        <w:rPr>
          <w:b/>
        </w:rPr>
        <w:t xml:space="preserve">Status. </w:t>
      </w:r>
      <w:r>
        <w:t>Planned; depends on Slice 1</w:t>
      </w:r>
    </w:p>
    <w:p>
      <w:pPr>
        <w:pStyle w:val="Heading2"/>
      </w:pPr>
      <w:r>
        <w:t>Slice 6 - Optimisation evidence gate</w:t>
      </w:r>
    </w:p>
    <w:p>
      <w:r>
        <w:rPr>
          <w:b/>
        </w:rPr>
        <w:t xml:space="preserve">Objective. </w:t>
      </w:r>
      <w:r>
        <w:t>Measure real complexity and benefit, then decide whether deterministic rules remain sufficient or a solver is justified.</w:t>
      </w:r>
    </w:p>
    <w:p>
      <w:r>
        <w:rPr>
          <w:b/>
        </w:rPr>
        <w:t xml:space="preserve">Exit evidence. </w:t>
      </w:r>
      <w:r>
        <w:t>Pilot dataset, measured baseline, decision record, and approved architecture if needed.</w:t>
      </w:r>
    </w:p>
    <w:p>
      <w:r>
        <w:rPr>
          <w:b/>
        </w:rPr>
        <w:t xml:space="preserve">Status. </w:t>
      </w:r>
      <w:r>
        <w:t>Planned; after Slice 5 evidence</w:t>
      </w:r>
    </w:p>
    <w:p>
      <w:pPr>
        <w:pStyle w:val="Heading1"/>
      </w:pPr>
      <w:r>
        <w:t>5. Delivery sequence and first milestone</w:t>
      </w:r>
    </w:p>
    <w:p>
      <w:pPr>
        <w:pStyle w:val="ListNumber"/>
      </w:pPr>
      <w:r>
        <w:t>Readiness rules.</w:t>
      </w:r>
    </w:p>
    <w:p>
      <w:pPr>
        <w:pStyle w:val="ListNumber"/>
      </w:pPr>
      <w:r>
        <w:t>Site Manager readiness.</w:t>
      </w:r>
    </w:p>
    <w:p>
      <w:pPr>
        <w:pStyle w:val="ListNumber"/>
      </w:pPr>
      <w:r>
        <w:t>Office Admin suggestions.</w:t>
      </w:r>
    </w:p>
    <w:p>
      <w:pPr>
        <w:pStyle w:val="ListNumber"/>
      </w:pPr>
      <w:r>
        <w:t>Site/job cost attribution.</w:t>
      </w:r>
    </w:p>
    <w:p>
      <w:pPr>
        <w:pStyle w:val="ListNumber"/>
      </w:pPr>
      <w:r>
        <w:t>Director operational control.</w:t>
      </w:r>
    </w:p>
    <w:p>
      <w:pPr>
        <w:pStyle w:val="ListNumber"/>
      </w:pPr>
      <w:r>
        <w:t>Deterministic trip recommendation.</w:t>
      </w:r>
    </w:p>
    <w:p>
      <w:pPr>
        <w:pStyle w:val="ListNumber"/>
      </w:pPr>
      <w:r>
        <w:t>Solver evidence decision.</w:t>
      </w:r>
    </w:p>
    <w:p>
      <w:pPr>
        <w:spacing w:before="80" w:after="160"/>
        <w:ind w:left="173" w:right="173"/>
        <w:shd w:fill="FFF8E1"/>
        <w:pBdr>
          <w:top w:val="single" w:sz="6" w:color="D7DEE8"/>
          <w:left w:val="single" w:sz="6" w:color="D7DEE8"/>
          <w:bottom w:val="single" w:sz="6" w:color="D7DEE8"/>
          <w:right w:val="single" w:sz="6" w:color="D7DEE8"/>
        </w:pBdr>
      </w:pPr>
      <w:r>
        <w:rPr>
          <w:rFonts w:ascii="Calibri" w:hAnsi="Calibri"/>
          <w:b/>
          <w:color w:val="17365D"/>
        </w:rPr>
        <w:t xml:space="preserve">First milestone: </w:t>
      </w:r>
      <w:r>
        <w:t>An existing Site Manager selects the current site, sees whether assigned people and assets are ready, understands every blocker, completes the existing safety and attendance workflow, and leaves an auditable readiness record.</w:t>
      </w:r>
    </w:p>
    <w:p>
      <w:pPr>
        <w:pStyle w:val="Heading1"/>
      </w:pPr>
      <w:r>
        <w:t>6. Journey log</w:t>
      </w:r>
    </w:p>
    <w:p>
      <w:r>
        <w:t>Add an entry after every meaningful implementation or verification pass. Copy the template below and preserve previous entries.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520"/>
            <w:vAlign w:val="center"/>
            <w:tcMar>
              <w:top w:w="80" w:type="dxa"/>
              <w:start w:w="120" w:type="dxa"/>
              <w:bottom w:w="80" w:type="dxa"/>
              <w:end w:w="120" w:type="dxa"/>
            </w:tcMar>
            <w:shd w:fill="17365D"/>
          </w:tcPr>
          <w:p>
            <w:r>
              <w:rPr>
                <w:rFonts w:ascii="Calibri" w:hAnsi="Calibri"/>
                <w:b/>
                <w:color w:val="FFFFFF"/>
                <w:sz w:val="19"/>
              </w:rPr>
              <w:t>Field</w:t>
            </w:r>
          </w:p>
        </w:tc>
        <w:tc>
          <w:tcPr>
            <w:tcW w:type="dxa" w:w="6840"/>
            <w:vAlign w:val="center"/>
            <w:tcMar>
              <w:top w:w="80" w:type="dxa"/>
              <w:start w:w="120" w:type="dxa"/>
              <w:bottom w:w="80" w:type="dxa"/>
              <w:end w:w="120" w:type="dxa"/>
            </w:tcMar>
            <w:shd w:fill="17365D"/>
          </w:tcPr>
          <w:p>
            <w:r>
              <w:rPr>
                <w:rFonts w:ascii="Calibri" w:hAnsi="Calibri"/>
                <w:b/>
                <w:color w:val="FFFFFF"/>
                <w:sz w:val="19"/>
              </w:rPr>
              <w:t>Entry</w:t>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Date</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Slice</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Branch / issue / PR</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Outcome sought</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Baseline before change</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Decision and rationale</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Alternative rejected and why</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Files / data contracts changed</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Security and privacy impact</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Tests executed</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Browser / mobile evidence</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Result</w:t>
            </w:r>
          </w:p>
        </w:tc>
        <w:tc>
          <w:tcPr>
            <w:tcW w:type="dxa" w:w="6840"/>
            <w:shd w:fill="F2F4F7"/>
            <w:vAlign w:val="center"/>
            <w:tcMar>
              <w:top w:w="80" w:type="dxa"/>
              <w:start w:w="120" w:type="dxa"/>
              <w:bottom w:w="80" w:type="dxa"/>
              <w:end w:w="120" w:type="dxa"/>
            </w:tcMar>
          </w:tcPr>
          <w:p>
            <w:pPr>
              <w:spacing w:after="0"/>
            </w:pPr>
            <w:r>
              <w:rPr>
                <w:rFonts w:ascii="Calibri" w:hAnsi="Calibri"/>
                <w:sz w:val="18"/>
              </w:rPr>
              <w:t>Verified / Partial / Blocked</w:t>
            </w:r>
          </w:p>
        </w:tc>
      </w:tr>
      <w:tr>
        <w:trPr>
          <w:cantSplit/>
        </w:trPr>
        <w:tc>
          <w:tcPr>
            <w:tcW w:type="dxa" w:w="2520"/>
            <w:vAlign w:val="center"/>
            <w:tcMar>
              <w:top w:w="80" w:type="dxa"/>
              <w:start w:w="120" w:type="dxa"/>
              <w:bottom w:w="80" w:type="dxa"/>
              <w:end w:w="120" w:type="dxa"/>
            </w:tcMar>
          </w:tcPr>
          <w:p>
            <w:pPr>
              <w:spacing w:after="0"/>
            </w:pPr>
            <w:r>
              <w:rPr>
                <w:rFonts w:ascii="Calibri" w:hAnsi="Calibri"/>
                <w:sz w:val="18"/>
              </w:rPr>
              <w:t>Known gaps</w:t>
            </w:r>
          </w:p>
        </w:tc>
        <w:tc>
          <w:tcPr>
            <w:tcW w:type="dxa" w:w="6840"/>
            <w:vAlign w:val="center"/>
            <w:tcMar>
              <w:top w:w="80" w:type="dxa"/>
              <w:start w:w="120" w:type="dxa"/>
              <w:bottom w:w="80" w:type="dxa"/>
              <w:end w:w="120" w:type="dxa"/>
            </w:tcMar>
          </w:tcPr>
          <w:p>
            <w:pPr>
              <w:spacing w:after="0"/>
            </w:pPr>
            <w:r>
              <w:rPr>
                <w:rFonts w:ascii="Calibri" w:hAnsi="Calibri"/>
                <w:sz w:val="18"/>
              </w:rPr>
            </w:r>
          </w:p>
        </w:tc>
      </w:tr>
      <w:tr>
        <w:trPr>
          <w:cantSplit/>
        </w:trPr>
        <w:tc>
          <w:tcPr>
            <w:tcW w:type="dxa" w:w="2520"/>
            <w:shd w:fill="F2F4F7"/>
            <w:vAlign w:val="center"/>
            <w:tcMar>
              <w:top w:w="80" w:type="dxa"/>
              <w:start w:w="120" w:type="dxa"/>
              <w:bottom w:w="80" w:type="dxa"/>
              <w:end w:w="120" w:type="dxa"/>
            </w:tcMar>
          </w:tcPr>
          <w:p>
            <w:pPr>
              <w:spacing w:after="0"/>
            </w:pPr>
            <w:r>
              <w:rPr>
                <w:rFonts w:ascii="Calibri" w:hAnsi="Calibri"/>
                <w:sz w:val="18"/>
              </w:rPr>
              <w:t>Next action</w:t>
            </w:r>
          </w:p>
        </w:tc>
        <w:tc>
          <w:tcPr>
            <w:tcW w:type="dxa" w:w="6840"/>
            <w:shd w:fill="F2F4F7"/>
            <w:vAlign w:val="center"/>
            <w:tcMar>
              <w:top w:w="80" w:type="dxa"/>
              <w:start w:w="120" w:type="dxa"/>
              <w:bottom w:w="80" w:type="dxa"/>
              <w:end w:w="120" w:type="dxa"/>
            </w:tcMar>
          </w:tcPr>
          <w:p>
            <w:pPr>
              <w:spacing w:after="0"/>
            </w:pPr>
            <w:r>
              <w:rPr>
                <w:rFonts w:ascii="Calibri" w:hAnsi="Calibri"/>
                <w:sz w:val="18"/>
              </w:rPr>
            </w:r>
          </w:p>
        </w:tc>
      </w:tr>
    </w:tbl>
    <w:p>
      <w:pPr>
        <w:spacing w:after="0"/>
      </w:pPr>
    </w:p>
    <w:p>
      <w:pPr>
        <w:pStyle w:val="Heading2"/>
      </w:pPr>
      <w:r>
        <w:t>23 August 2026 - Planning baseline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baseline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Programme baseline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sankofa_xciv/admin-grouping-vendor-invoices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Reframe the Operations Research source as enhancements to the running system</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Preserve existing role experiences, stores, audit paths, and commercial workflows; begin with operational readiness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A separate project-management or optimisation platform before operational data proves the need</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Evidence</w:t>
            </w:r>
          </w:p>
        </w:tc>
        <w:tc>
          <w:tcPr>
            <w:tcW w:type="dxa" w:w="7128"/>
            <w:shd w:fill="F2F4F7"/>
            <w:vAlign w:val="center"/>
            <w:tcMar>
              <w:top w:w="80" w:type="dxa"/>
              <w:start w:w="120" w:type="dxa"/>
              <w:bottom w:w="80" w:type="dxa"/>
              <w:end w:w="120" w:type="dxa"/>
            </w:tcMar>
          </w:tcPr>
          <w:p>
            <w:pPr>
              <w:spacing w:after="0"/>
            </w:pPr>
            <w:r>
              <w:rPr>
                <w:rFonts w:ascii="Calibri" w:hAnsi="Calibri"/>
                <w:sz w:val="18"/>
              </w:rPr>
              <w:t>Architecture, migrations, models, routes, role experiences, tests, and delivery backlog inspected</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Result</w:t>
            </w:r>
          </w:p>
        </w:tc>
        <w:tc>
          <w:tcPr>
            <w:tcW w:type="dxa" w:w="7128"/>
            <w:vAlign w:val="center"/>
            <w:tcMar>
              <w:top w:w="80" w:type="dxa"/>
              <w:start w:w="120" w:type="dxa"/>
              <w:bottom w:w="80" w:type="dxa"/>
              <w:end w:w="120" w:type="dxa"/>
            </w:tcMar>
          </w:tcPr>
          <w:p>
            <w:pPr>
              <w:spacing w:after="0"/>
            </w:pPr>
            <w:r>
              <w:rPr>
                <w:rFonts w:ascii="Calibri" w:hAnsi="Calibri"/>
                <w:sz w:val="18"/>
              </w:rPr>
              <w:t>Planning complete; implementation not started</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Known gap</w:t>
            </w:r>
          </w:p>
        </w:tc>
        <w:tc>
          <w:tcPr>
            <w:tcW w:type="dxa" w:w="7128"/>
            <w:shd w:fill="F2F4F7"/>
            <w:vAlign w:val="center"/>
            <w:tcMar>
              <w:top w:w="80" w:type="dxa"/>
              <w:start w:w="120" w:type="dxa"/>
              <w:bottom w:w="80" w:type="dxa"/>
              <w:end w:w="120" w:type="dxa"/>
            </w:tcMar>
          </w:tcPr>
          <w:p>
            <w:pPr>
              <w:spacing w:after="0"/>
            </w:pPr>
            <w:r>
              <w:rPr>
                <w:rFonts w:ascii="Calibri" w:hAnsi="Calibri"/>
                <w:sz w:val="18"/>
              </w:rPr>
              <w:t>PDF text and page rendering completed; Codex image viewing was blocked by the managed Windows ACL helper</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Next action</w:t>
            </w:r>
          </w:p>
        </w:tc>
        <w:tc>
          <w:tcPr>
            <w:tcW w:type="dxa" w:w="7128"/>
            <w:vAlign w:val="center"/>
            <w:tcMar>
              <w:top w:w="80" w:type="dxa"/>
              <w:start w:w="120" w:type="dxa"/>
              <w:bottom w:w="80" w:type="dxa"/>
              <w:end w:w="120" w:type="dxa"/>
            </w:tcMar>
          </w:tcPr>
          <w:p>
            <w:pPr>
              <w:spacing w:after="0"/>
            </w:pPr>
            <w:r>
              <w:rPr>
                <w:rFonts w:ascii="Calibri" w:hAnsi="Calibri"/>
                <w:sz w:val="18"/>
              </w:rPr>
              <w:t>Implement and verify Slice 0</w:t>
            </w:r>
          </w:p>
        </w:tc>
      </w:tr>
    </w:tbl>
    <w:p>
      <w:pPr>
        <w:spacing w:after="0"/>
      </w:pPr>
    </w:p>
    <w:p>
      <w:pPr>
        <w:pStyle w:val="Heading2"/>
      </w:pPr>
      <w:r>
        <w:t>23 August 2026 - Slice 0 readiness foundation</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implementation evidence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Slice 0 - Readiness contract and baseline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sankofa_xciv/admin-grouping-vendor-invoices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Versioned readiness policy, sanitized site-readiness RPC, and five deterministic audit users with cross-site fixtures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Keep confidential evidence behind existing RLS and expose only outcomes, reason codes, corrective actions, policy version, and evaluation time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Direct Site Manager access to protected medical, screening, ticket, or onboarding records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Changed contracts</w:t>
            </w:r>
          </w:p>
        </w:tc>
        <w:tc>
          <w:tcPr>
            <w:tcW w:type="dxa" w:w="7128"/>
            <w:shd w:fill="F2F4F7"/>
            <w:vAlign w:val="center"/>
            <w:tcMar>
              <w:top w:w="80" w:type="dxa"/>
              <w:start w:w="120" w:type="dxa"/>
              <w:bottom w:w="80" w:type="dxa"/>
              <w:end w:w="120" w:type="dxa"/>
            </w:tcMar>
          </w:tcPr>
          <w:p>
            <w:pPr>
              <w:spacing w:after="0"/>
            </w:pPr>
            <w:r>
              <w:rPr>
                <w:rFonts w:ascii="Calibri" w:hAnsi="Calibri"/>
                <w:sz w:val="18"/>
              </w:rPr>
              <w:t>Readiness TypeScript module; one migration; local seed; two pgTAP contracts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Security</w:t>
            </w:r>
          </w:p>
        </w:tc>
        <w:tc>
          <w:tcPr>
            <w:tcW w:type="dxa" w:w="7128"/>
            <w:vAlign w:val="center"/>
            <w:tcMar>
              <w:top w:w="80" w:type="dxa"/>
              <w:start w:w="120" w:type="dxa"/>
              <w:bottom w:w="80" w:type="dxa"/>
              <w:end w:w="120" w:type="dxa"/>
            </w:tcMar>
          </w:tcPr>
          <w:p>
            <w:pPr>
              <w:spacing w:after="0"/>
            </w:pPr>
            <w:r>
              <w:rPr>
                <w:rFonts w:ascii="Calibri" w:hAnsi="Calibri"/>
                <w:sz w:val="18"/>
              </w:rPr>
              <w:t>Public RPC is security-invoker; private evaluator pins an empty search path, validates session, organisation, role, and site access, and returns no raw onboarding fields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Three-pass challenge</w:t>
            </w:r>
          </w:p>
        </w:tc>
        <w:tc>
          <w:tcPr>
            <w:tcW w:type="dxa" w:w="7128"/>
            <w:shd w:fill="F2F4F7"/>
            <w:vAlign w:val="center"/>
            <w:tcMar>
              <w:top w:w="80" w:type="dxa"/>
              <w:start w:w="120" w:type="dxa"/>
              <w:bottom w:w="80" w:type="dxa"/>
              <w:end w:w="120" w:type="dxa"/>
            </w:tcMar>
          </w:tcPr>
          <w:p>
            <w:pPr>
              <w:spacing w:after="0"/>
            </w:pPr>
            <w:r>
              <w:rPr>
                <w:rFonts w:ascii="Calibri" w:hAnsi="Calibri"/>
                <w:sz w:val="18"/>
              </w:rPr>
              <w:t>Pass 1 found client/server rule drift; Pass 2 found an exposed privileged function and unsupported screening decisions; Pass 3 challenged determinism, missing evidence, work orders, deployability, and artifacts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Improvements</w:t>
            </w:r>
          </w:p>
        </w:tc>
        <w:tc>
          <w:tcPr>
            <w:tcW w:type="dxa" w:w="7128"/>
            <w:vAlign w:val="center"/>
            <w:tcMar>
              <w:top w:w="80" w:type="dxa"/>
              <w:start w:w="120" w:type="dxa"/>
              <w:bottom w:w="80" w:type="dxa"/>
              <w:end w:w="120" w:type="dxa"/>
            </w:tcMar>
          </w:tcPr>
          <w:p>
            <w:pPr>
              <w:spacing w:after="0"/>
            </w:pPr>
            <w:r>
              <w:rPr>
                <w:rFonts w:ascii="Calibri" w:hAnsi="Calibri"/>
                <w:sz w:val="18"/>
              </w:rPr>
              <w:t>Aligned policy versions; removed unsupported screening decisions; added fail-closed evidence and invalid-date rules, renewal warnings, work-order blockers, private privileged evaluation, and an invoker API wrapper</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Tests</w:t>
            </w:r>
          </w:p>
        </w:tc>
        <w:tc>
          <w:tcPr>
            <w:tcW w:type="dxa" w:w="7128"/>
            <w:shd w:fill="F2F4F7"/>
            <w:vAlign w:val="center"/>
            <w:tcMar>
              <w:top w:w="80" w:type="dxa"/>
              <w:start w:w="120" w:type="dxa"/>
              <w:bottom w:w="80" w:type="dxa"/>
              <w:end w:w="120" w:type="dxa"/>
            </w:tcMar>
          </w:tcPr>
          <w:p>
            <w:pPr>
              <w:spacing w:after="0"/>
            </w:pPr>
            <w:r>
              <w:rPr>
                <w:rFonts w:ascii="Calibri" w:hAnsi="Calibri"/>
                <w:sz w:val="18"/>
              </w:rPr>
              <w:t>TypeScript compilation passed; 12/12 focused policy tests passed; 36 RPC and 22 fixture database assertions authored</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Visual evidence</w:t>
            </w:r>
          </w:p>
        </w:tc>
        <w:tc>
          <w:tcPr>
            <w:tcW w:type="dxa" w:w="7128"/>
            <w:vAlign w:val="center"/>
            <w:tcMar>
              <w:top w:w="80" w:type="dxa"/>
              <w:start w:w="120" w:type="dxa"/>
              <w:bottom w:w="80" w:type="dxa"/>
              <w:end w:w="120" w:type="dxa"/>
            </w:tcMar>
          </w:tcPr>
          <w:p>
            <w:pPr>
              <w:spacing w:after="0"/>
            </w:pPr>
            <w:r>
              <w:rPr>
                <w:rFonts w:ascii="Calibri" w:hAnsi="Calibri"/>
                <w:sz w:val="18"/>
              </w:rPr>
              <w:t>Not applicable to this non-UI slice; full visual regression remains scheduled after Slice 3</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Result</w:t>
            </w:r>
          </w:p>
        </w:tc>
        <w:tc>
          <w:tcPr>
            <w:tcW w:type="dxa" w:w="7128"/>
            <w:shd w:fill="F2F4F7"/>
            <w:vAlign w:val="center"/>
            <w:tcMar>
              <w:top w:w="80" w:type="dxa"/>
              <w:start w:w="120" w:type="dxa"/>
              <w:bottom w:w="80" w:type="dxa"/>
              <w:end w:w="120" w:type="dxa"/>
            </w:tcMar>
          </w:tcPr>
          <w:p>
            <w:pPr>
              <w:spacing w:after="0"/>
            </w:pPr>
            <w:r>
              <w:rPr>
                <w:rFonts w:ascii="Calibri" w:hAnsi="Calibri"/>
                <w:sz w:val="18"/>
              </w:rPr>
              <w:t>Partial verification: implementation and frontend policy verified; database runtime blocked pending Docker Linux engine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Known gap</w:t>
            </w:r>
          </w:p>
        </w:tc>
        <w:tc>
          <w:tcPr>
            <w:tcW w:type="dxa" w:w="7128"/>
            <w:vAlign w:val="center"/>
            <w:tcMar>
              <w:top w:w="80" w:type="dxa"/>
              <w:start w:w="120" w:type="dxa"/>
              <w:bottom w:w="80" w:type="dxa"/>
              <w:end w:w="120" w:type="dxa"/>
            </w:tcMar>
          </w:tcPr>
          <w:p>
            <w:pPr>
              <w:spacing w:after="0"/>
            </w:pPr>
            <w:r>
              <w:rPr>
                <w:rFonts w:ascii="Calibri" w:hAnsi="Calibri"/>
                <w:sz w:val="18"/>
              </w:rPr>
              <w:t>Unavailable schema evidence remains unknown; no induction, skills, or medical-expiry rules were invented</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Next action</w:t>
            </w:r>
          </w:p>
        </w:tc>
        <w:tc>
          <w:tcPr>
            <w:tcW w:type="dxa" w:w="7128"/>
            <w:shd w:fill="F2F4F7"/>
            <w:vAlign w:val="center"/>
            <w:tcMar>
              <w:top w:w="80" w:type="dxa"/>
              <w:start w:w="120" w:type="dxa"/>
              <w:bottom w:w="80" w:type="dxa"/>
              <w:end w:w="120" w:type="dxa"/>
            </w:tcMar>
          </w:tcPr>
          <w:p>
            <w:pPr>
              <w:spacing w:after="0"/>
            </w:pPr>
            <w:r>
              <w:rPr>
                <w:rFonts w:ascii="Calibri" w:hAnsi="Calibri"/>
                <w:sz w:val="18"/>
              </w:rPr>
              <w:t>Implement Slice 1, execute database contracts when Docker is available, run its hardened gate, then deploy Slices 0 and 1 together to remote dev; keep shared-password seed local only</w:t>
            </w:r>
          </w:p>
        </w:tc>
      </w:tr>
    </w:tbl>
    <w:p>
      <w:pPr>
        <w:spacing w:after="0"/>
      </w:pPr>
    </w:p>
    <w:p>
      <w:pPr>
        <w:pStyle w:val="Heading2"/>
      </w:pPr>
      <w:r>
        <w:t>23 August 2026 - Slice 1 Site Manager live readiness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implementation evidence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Slice 1 - Site Manager readiness panel</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sankofa_xciv/admin-grouping-vendor-invoices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Existing start-of-shift modal extended with authenticated site selection, sanitized readiness, corrective actions, fail-closed progression, and atomic server confirmation</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Use the existing Supabase client through a narrow readiness gateway; only authenticated and RLS-filtered site UUIDs can drive readiness, sync, and audit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Broad Office Admin snapshot loading or client-side readiness heuristics that can fall back to demo records or expose excess evidence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Changed contracts</w:t>
            </w:r>
          </w:p>
        </w:tc>
        <w:tc>
          <w:tcPr>
            <w:tcW w:type="dxa" w:w="7128"/>
            <w:shd w:fill="F2F4F7"/>
            <w:vAlign w:val="center"/>
            <w:tcMar>
              <w:top w:w="80" w:type="dxa"/>
              <w:start w:w="120" w:type="dxa"/>
              <w:bottom w:w="80" w:type="dxa"/>
              <w:end w:w="120" w:type="dxa"/>
            </w:tcMar>
          </w:tcPr>
          <w:p>
            <w:pPr>
              <w:spacing w:after="0"/>
            </w:pPr>
            <w:r>
              <w:rPr>
                <w:rFonts w:ascii="Calibri" w:hAnsi="Calibri"/>
                <w:sz w:val="18"/>
              </w:rPr>
              <w:t>Readiness gateway/service; Site Manager component/template/tests; remote fallback guard; runtime loader; readiness migration/pgTAP; Cypress responsive check</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Security</w:t>
            </w:r>
          </w:p>
        </w:tc>
        <w:tc>
          <w:tcPr>
            <w:tcW w:type="dxa" w:w="7128"/>
            <w:vAlign w:val="center"/>
            <w:tcMar>
              <w:top w:w="80" w:type="dxa"/>
              <w:start w:w="120" w:type="dxa"/>
              <w:bottom w:w="80" w:type="dxa"/>
              <w:end w:w="120" w:type="dxa"/>
            </w:tcMar>
          </w:tcPr>
          <w:p>
            <w:pPr>
              <w:spacing w:after="0"/>
            </w:pPr>
            <w:r>
              <w:rPr>
                <w:rFonts w:ascii="Calibri" w:hAnsi="Calibri"/>
                <w:sz w:val="18"/>
              </w:rPr>
              <w:t>No demo fallback or remote autosave after missing snapshots; schema-validated safe labels/outcomes/actions; atomic re-evaluation; one sanitized immutable event per actor/site/day</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Three-pass challenge</w:t>
            </w:r>
          </w:p>
        </w:tc>
        <w:tc>
          <w:tcPr>
            <w:tcW w:type="dxa" w:w="7128"/>
            <w:shd w:fill="F2F4F7"/>
            <w:vAlign w:val="center"/>
            <w:tcMar>
              <w:top w:w="80" w:type="dxa"/>
              <w:start w:w="120" w:type="dxa"/>
              <w:bottom w:w="80" w:type="dxa"/>
              <w:end w:w="120" w:type="dxa"/>
            </w:tcMar>
          </w:tcPr>
          <w:p>
            <w:pPr>
              <w:spacing w:after="0"/>
            </w:pPr>
            <w:r>
              <w:rPr>
                <w:rFonts w:ascii="Calibri" w:hAnsi="Calibri"/>
                <w:sz w:val="18"/>
              </w:rPr>
              <w:t>Pass 1 challenged identity, malformed responses, privacy, and fallback; Pass 2 found the refresh/confirm race; Pass 3 challenged startup, mobile reachability, duplication, and deployment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Improvements</w:t>
            </w:r>
          </w:p>
        </w:tc>
        <w:tc>
          <w:tcPr>
            <w:tcW w:type="dxa" w:w="7128"/>
            <w:vAlign w:val="center"/>
            <w:tcMar>
              <w:top w:w="80" w:type="dxa"/>
              <w:start w:w="120" w:type="dxa"/>
              <w:bottom w:w="80" w:type="dxa"/>
              <w:end w:w="120" w:type="dxa"/>
            </w:tcMar>
          </w:tcPr>
          <w:p>
            <w:pPr>
              <w:spacing w:after="0"/>
            </w:pPr>
            <w:r>
              <w:rPr>
                <w:rFonts w:ascii="Calibri" w:hAnsi="Calibri"/>
                <w:sz w:val="18"/>
              </w:rPr>
              <w:t>Removed hard-coded Site Manager demo IDs; fail closed for loading, unavailable, blocked, unknown, malformed, and version mismatch; preserve GPS, targets, trip, safety, attendance, and sync; remove silent config fallback</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Tests</w:t>
            </w:r>
          </w:p>
        </w:tc>
        <w:tc>
          <w:tcPr>
            <w:tcW w:type="dxa" w:w="7128"/>
            <w:shd w:fill="F2F4F7"/>
            <w:vAlign w:val="center"/>
            <w:tcMar>
              <w:top w:w="80" w:type="dxa"/>
              <w:start w:w="120" w:type="dxa"/>
              <w:bottom w:w="80" w:type="dxa"/>
              <w:end w:w="120" w:type="dxa"/>
            </w:tcMar>
          </w:tcPr>
          <w:p>
            <w:pPr>
              <w:spacing w:after="0"/>
            </w:pPr>
            <w:r>
              <w:rPr>
                <w:rFonts w:ascii="Calibri" w:hAnsi="Calibri"/>
                <w:sz w:val="18"/>
              </w:rPr>
              <w:t>Typecheck and build pass; targeted lint pass; 22/22 focused Chrome Headless tests; 3/3 runtime-config tests; 48 pgTAP assertions authored pending database execution</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Visual evidence</w:t>
            </w:r>
          </w:p>
        </w:tc>
        <w:tc>
          <w:tcPr>
            <w:tcW w:type="dxa" w:w="7128"/>
            <w:vAlign w:val="center"/>
            <w:tcMar>
              <w:top w:w="80" w:type="dxa"/>
              <w:start w:w="120" w:type="dxa"/>
              <w:bottom w:w="80" w:type="dxa"/>
              <w:end w:w="120" w:type="dxa"/>
            </w:tcMar>
          </w:tcPr>
          <w:p>
            <w:pPr>
              <w:spacing w:after="0"/>
            </w:pPr>
            <w:r>
              <w:rPr>
                <w:rFonts w:ascii="Calibri" w:hAnsi="Calibri"/>
                <w:sz w:val="18"/>
              </w:rPr>
              <w:t>Focused Cypress passed at desktop and 390 px with test-only intercepted responses; no mock data persisted; full regression remains scheduled after Slice 3</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Credentials</w:t>
            </w:r>
          </w:p>
        </w:tc>
        <w:tc>
          <w:tcPr>
            <w:tcW w:type="dxa" w:w="7128"/>
            <w:shd w:fill="F2F4F7"/>
            <w:vAlign w:val="center"/>
            <w:tcMar>
              <w:top w:w="80" w:type="dxa"/>
              <w:start w:w="120" w:type="dxa"/>
              <w:bottom w:w="80" w:type="dxa"/>
              <w:end w:w="120" w:type="dxa"/>
            </w:tcMar>
          </w:tcPr>
          <w:p>
            <w:pPr>
              <w:spacing w:after="0"/>
            </w:pPr>
            <w:r>
              <w:rPr>
                <w:rFonts w:ascii="Calibri" w:hAnsi="Calibri"/>
                <w:sz w:val="18"/>
              </w:rPr>
              <w:t>Five-user register will be created only after real remote-dev provisioning in ignored output/credentials; no passwords or service keys in this DOCX or Git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Result</w:t>
            </w:r>
          </w:p>
        </w:tc>
        <w:tc>
          <w:tcPr>
            <w:tcW w:type="dxa" w:w="7128"/>
            <w:vAlign w:val="center"/>
            <w:tcMar>
              <w:top w:w="80" w:type="dxa"/>
              <w:start w:w="120" w:type="dxa"/>
              <w:bottom w:w="80" w:type="dxa"/>
              <w:end w:w="120" w:type="dxa"/>
            </w:tcMar>
          </w:tcPr>
          <w:p>
            <w:pPr>
              <w:spacing w:after="0"/>
            </w:pPr>
            <w:r>
              <w:rPr>
                <w:rFonts w:ascii="Calibri" w:hAnsi="Calibri"/>
                <w:sz w:val="18"/>
              </w:rPr>
              <w:t>Local implementation and clean integration onto current origin/dev verified at release-candidate commit 41c8e62; remote deployment and provisioning blocked by target configuration</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Known gap</w:t>
            </w:r>
          </w:p>
        </w:tc>
        <w:tc>
          <w:tcPr>
            <w:tcW w:type="dxa" w:w="7128"/>
            <w:shd w:fill="F2F4F7"/>
            <w:vAlign w:val="center"/>
            <w:tcMar>
              <w:top w:w="80" w:type="dxa"/>
              <w:start w:w="120" w:type="dxa"/>
              <w:bottom w:w="80" w:type="dxa"/>
              <w:end w:w="120" w:type="dxa"/>
            </w:tcMar>
          </w:tcPr>
          <w:p>
            <w:pPr>
              <w:spacing w:after="0"/>
            </w:pPr>
            <w:r>
              <w:rPr>
                <w:rFonts w:ascii="Calibri" w:hAnsi="Calibri"/>
                <w:sz w:val="18"/>
              </w:rPr>
              <w:t>Generated Supabase URL/key references differ; Vercel Preview Senatla values resolve empty; authenticated Supabase CLI lists no Senatla project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Next action</w:t>
            </w:r>
          </w:p>
        </w:tc>
        <w:tc>
          <w:tcPr>
            <w:tcW w:type="dxa" w:w="7128"/>
            <w:vAlign w:val="center"/>
            <w:tcMar>
              <w:top w:w="80" w:type="dxa"/>
              <w:start w:w="120" w:type="dxa"/>
              <w:bottom w:w="80" w:type="dxa"/>
              <w:end w:w="120" w:type="dxa"/>
            </w:tcMar>
          </w:tcPr>
          <w:p>
            <w:pPr>
              <w:spacing w:after="0"/>
            </w:pPr>
            <w:r>
              <w:rPr>
                <w:rFonts w:ascii="Calibri" w:hAnsi="Calibri"/>
                <w:sz w:val="18"/>
              </w:rPr>
              <w:t>Link authoritative remote dev; populate matching Preview runtime values; execute contracts/migration; deploy; invite five real users; create controlled credential handoff; verify cross-role and cross-site audit flow</w:t>
            </w:r>
          </w:p>
        </w:tc>
      </w:tr>
    </w:tbl>
    <w:p>
      <w:pPr>
        <w:spacing w:after="0"/>
      </w:pPr>
    </w:p>
    <w:p>
      <w:pPr>
        <w:pStyle w:val="Heading2"/>
      </w:pPr>
      <w:r>
        <w:t>23 August 2026 - Slice 2 Office Admin reviewed assignments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implementation evidence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Slice 2 - Office Admin conflicts and suggestions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sankofa_xciv/slice-01-readiness-release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Existing employee bulk-site and asset custody workflows now include fail-closed reviews, ranked alternatives, controlled decisions, and atomic Supabase RPCs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Keep browser recommendations advisory and re-evaluate role, organisation, target, resource state, readiness, compliance, and work orders inside the mutation transaction</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Client-only validation, local mutation, a new optimisation service, or an invented utilisation score without authoritative evidence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Changed contracts</w:t>
            </w:r>
          </w:p>
        </w:tc>
        <w:tc>
          <w:tcPr>
            <w:tcW w:type="dxa" w:w="7128"/>
            <w:shd w:fill="F2F4F7"/>
            <w:vAlign w:val="center"/>
            <w:tcMar>
              <w:top w:w="80" w:type="dxa"/>
              <w:start w:w="120" w:type="dxa"/>
              <w:bottom w:w="80" w:type="dxa"/>
              <w:end w:w="120" w:type="dxa"/>
            </w:tcMar>
          </w:tcPr>
          <w:p>
            <w:pPr>
              <w:spacing w:after="0"/>
            </w:pPr>
            <w:r>
              <w:rPr>
                <w:rFonts w:ascii="Calibri" w:hAnsi="Calibri"/>
                <w:sz w:val="18"/>
              </w:rPr>
              <w:t>Office Admin and Asset Operations UI; OfficeAdminService; assignment planner; one migration; focused TypeScript/component tests; 30-assertion pgTAP contract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Security</w:t>
            </w:r>
          </w:p>
        </w:tc>
        <w:tc>
          <w:tcPr>
            <w:tcW w:type="dxa" w:w="7128"/>
            <w:vAlign w:val="center"/>
            <w:tcMar>
              <w:top w:w="80" w:type="dxa"/>
              <w:start w:w="120" w:type="dxa"/>
              <w:bottom w:w="80" w:type="dxa"/>
              <w:end w:w="120" w:type="dxa"/>
            </w:tcMar>
          </w:tcPr>
          <w:p>
            <w:pPr>
              <w:spacing w:after="0"/>
            </w:pPr>
            <w:r>
              <w:rPr>
                <w:rFonts w:ascii="Calibri" w:hAnsi="Calibri"/>
                <w:sz w:val="18"/>
              </w:rPr>
              <w:t>Office-only invoker RPCs call private definer implementations; hard blockers cannot be overridden; direct writes are trigger-blocked; protected details stay out of generic audit; trigger markers are cleared immediately</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Three-pass challenge</w:t>
            </w:r>
          </w:p>
        </w:tc>
        <w:tc>
          <w:tcPr>
            <w:tcW w:type="dxa" w:w="7128"/>
            <w:shd w:fill="F2F4F7"/>
            <w:vAlign w:val="center"/>
            <w:tcMar>
              <w:top w:w="80" w:type="dxa"/>
              <w:start w:w="120" w:type="dxa"/>
              <w:bottom w:w="80" w:type="dxa"/>
              <w:end w:w="120" w:type="dxa"/>
            </w:tcMar>
          </w:tcPr>
          <w:p>
            <w:pPr>
              <w:spacing w:after="0"/>
            </w:pPr>
            <w:r>
              <w:rPr>
                <w:rFonts w:ascii="Calibri" w:hAnsi="Calibri"/>
                <w:sz w:val="18"/>
              </w:rPr>
              <w:t>Pass 1 found false no-change warnings/custody; Pass 2 aligned browser and database decisions; Pass 3 found a reusable transaction-local trigger marker in an eight-file security diff scan</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Improvements</w:t>
            </w:r>
          </w:p>
        </w:tc>
        <w:tc>
          <w:tcPr>
            <w:tcW w:type="dxa" w:w="7128"/>
            <w:vAlign w:val="center"/>
            <w:tcMar>
              <w:top w:w="80" w:type="dxa"/>
              <w:start w:w="120" w:type="dxa"/>
              <w:bottom w:w="80" w:type="dxa"/>
              <w:end w:w="120" w:type="dxa"/>
            </w:tcMar>
          </w:tcPr>
          <w:p>
            <w:pPr>
              <w:spacing w:after="0"/>
            </w:pPr>
            <w:r>
              <w:rPr>
                <w:rFonts w:ascii="Calibri" w:hAnsi="Calibri"/>
                <w:sz w:val="18"/>
              </w:rPr>
              <w:t>No-change is informational; unchanged rows are not rewritten; unchanged assets create no custody event; missing licence fails closed; marker lifetime is limited to the guarded update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Tests</w:t>
            </w:r>
          </w:p>
        </w:tc>
        <w:tc>
          <w:tcPr>
            <w:tcW w:type="dxa" w:w="7128"/>
            <w:shd w:fill="F2F4F7"/>
            <w:vAlign w:val="center"/>
            <w:tcMar>
              <w:top w:w="80" w:type="dxa"/>
              <w:start w:w="120" w:type="dxa"/>
              <w:bottom w:w="80" w:type="dxa"/>
              <w:end w:w="120" w:type="dxa"/>
            </w:tcMar>
          </w:tcPr>
          <w:p>
            <w:pPr>
              <w:spacing w:after="0"/>
            </w:pPr>
            <w:r>
              <w:rPr>
                <w:rFonts w:ascii="Calibri" w:hAnsi="Calibri"/>
                <w:sz w:val="18"/>
              </w:rPr>
              <w:t>Typecheck passed; 14/14 focused Chrome Headless tests passed; 30 authorization, role, blocker, override, no-op, custody, direct-write, and leak assertions authored</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Visual evidence</w:t>
            </w:r>
          </w:p>
        </w:tc>
        <w:tc>
          <w:tcPr>
            <w:tcW w:type="dxa" w:w="7128"/>
            <w:vAlign w:val="center"/>
            <w:tcMar>
              <w:top w:w="80" w:type="dxa"/>
              <w:start w:w="120" w:type="dxa"/>
              <w:bottom w:w="80" w:type="dxa"/>
              <w:end w:w="120" w:type="dxa"/>
            </w:tcMar>
          </w:tcPr>
          <w:p>
            <w:pPr>
              <w:spacing w:after="0"/>
            </w:pPr>
            <w:r>
              <w:rPr>
                <w:rFonts w:ascii="Calibri" w:hAnsi="Calibri"/>
                <w:sz w:val="18"/>
              </w:rPr>
              <w:t>Existing responsive interfaces retain 44 px decision controls; full visual regression remains scheduled after Slice 3</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Result</w:t>
            </w:r>
          </w:p>
        </w:tc>
        <w:tc>
          <w:tcPr>
            <w:tcW w:type="dxa" w:w="7128"/>
            <w:shd w:fill="F2F4F7"/>
            <w:vAlign w:val="center"/>
            <w:tcMar>
              <w:top w:w="80" w:type="dxa"/>
              <w:start w:w="120" w:type="dxa"/>
              <w:bottom w:w="80" w:type="dxa"/>
              <w:end w:w="120" w:type="dxa"/>
            </w:tcMar>
          </w:tcPr>
          <w:p>
            <w:pPr>
              <w:spacing w:after="0"/>
            </w:pPr>
            <w:r>
              <w:rPr>
                <w:rFonts w:ascii="Calibri" w:hAnsi="Calibri"/>
                <w:sz w:val="18"/>
              </w:rPr>
              <w:t>Partial: implementation, browser tests, and hardened security remediation pass; database execution blocked because Docker Desktop Linux engine is not running</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Known gap</w:t>
            </w:r>
          </w:p>
        </w:tc>
        <w:tc>
          <w:tcPr>
            <w:tcW w:type="dxa" w:w="7128"/>
            <w:vAlign w:val="center"/>
            <w:tcMar>
              <w:top w:w="80" w:type="dxa"/>
              <w:start w:w="120" w:type="dxa"/>
              <w:bottom w:w="80" w:type="dxa"/>
              <w:end w:w="120" w:type="dxa"/>
            </w:tcMar>
          </w:tcPr>
          <w:p>
            <w:pPr>
              <w:spacing w:after="0"/>
            </w:pPr>
            <w:r>
              <w:rPr>
                <w:rFonts w:ascii="Calibri" w:hAnsi="Calibri"/>
                <w:sz w:val="18"/>
              </w:rPr>
              <w:t>Recent utilisation is excluded until an authoritative metric exists; remote deployment and five-user provisioning await a verified Senatla remote-dev target</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Next action</w:t>
            </w:r>
          </w:p>
        </w:tc>
        <w:tc>
          <w:tcPr>
            <w:tcW w:type="dxa" w:w="7128"/>
            <w:shd w:fill="F2F4F7"/>
            <w:vAlign w:val="center"/>
            <w:tcMar>
              <w:top w:w="80" w:type="dxa"/>
              <w:start w:w="120" w:type="dxa"/>
              <w:bottom w:w="80" w:type="dxa"/>
              <w:end w:w="120" w:type="dxa"/>
            </w:tcMar>
          </w:tcPr>
          <w:p>
            <w:pPr>
              <w:spacing w:after="0"/>
            </w:pPr>
            <w:r>
              <w:rPr>
                <w:rFonts w:ascii="Calibri" w:hAnsi="Calibri"/>
                <w:sz w:val="18"/>
              </w:rPr>
              <w:t>Commit the clean candidate; execute pgTAP and deploy only after remote target verification; then provision five real users and create the ignored credential handoff</w:t>
            </w:r>
          </w:p>
        </w:tc>
      </w:tr>
    </w:tbl>
    <w:p>
      <w:pPr>
        <w:spacing w:after="0"/>
      </w:pPr>
    </w:p>
    <w:p>
      <w:pPr>
        <w:pStyle w:val="Heading2"/>
      </w:pPr>
      <w:r>
        <w:t>24 August 2026 - OCR-0 native platform foundation</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implementation evidence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OCR-0 - production native backbone before OCR logic</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 / PR</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sankofa_xciv/authoritative-slices-0-2; PR #53 into dev</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Committed Android and iOS Capacitor projects under za.co.senatlatrading.ops, exact install-script approvals, unsigned native gates, and native privacy controls; no OCR SDK or replacement app</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Prove the native security and build boundary before scanning contracts or Android ML Kit and Apple Vision/VisionKit adapters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Browser-only capture or an immediate cross-platform OCR dependency that would weaken native quality, offline behavior, privacy control, and platform ownership</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Changed contracts</w:t>
            </w:r>
          </w:p>
        </w:tc>
        <w:tc>
          <w:tcPr>
            <w:tcW w:type="dxa" w:w="7128"/>
            <w:shd w:fill="F2F4F7"/>
            <w:vAlign w:val="center"/>
            <w:tcMar>
              <w:top w:w="80" w:type="dxa"/>
              <w:start w:w="120" w:type="dxa"/>
              <w:bottom w:w="80" w:type="dxa"/>
              <w:end w:w="120" w:type="dxa"/>
            </w:tcMar>
          </w:tcPr>
          <w:p>
            <w:pPr>
              <w:spacing w:after="0"/>
            </w:pPr>
            <w:r>
              <w:rPr>
                <w:rFonts w:ascii="Calibri" w:hAnsi="Calibri"/>
                <w:sz w:val="18"/>
              </w:rPr>
              <w:t>Capacitor identity/dependencies; android and ios projects; native CI; Swift path normalizer; browser baseline; signing exclusions; native guide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Security</w:t>
            </w:r>
          </w:p>
        </w:tc>
        <w:tc>
          <w:tcPr>
            <w:tcW w:type="dxa" w:w="7128"/>
            <w:vAlign w:val="center"/>
            <w:tcMar>
              <w:top w:w="80" w:type="dxa"/>
              <w:start w:w="120" w:type="dxa"/>
              <w:bottom w:w="80" w:type="dxa"/>
              <w:end w:w="120" w:type="dxa"/>
            </w:tcMar>
          </w:tcPr>
          <w:p>
            <w:pPr>
              <w:spacing w:after="0"/>
            </w:pPr>
            <w:r>
              <w:rPr>
                <w:rFonts w:ascii="Calibri" w:hAnsi="Calibri"/>
                <w:sz w:val="18"/>
              </w:rPr>
              <w:t>Android backup disabled; FileProvider restricted to a dedicated evidence cache; iOS purposes explicit; signing/API keys ignored; no secret stored in Git or this document</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Three-pass challenge</w:t>
            </w:r>
          </w:p>
        </w:tc>
        <w:tc>
          <w:tcPr>
            <w:tcW w:type="dxa" w:w="7128"/>
            <w:shd w:fill="F2F4F7"/>
            <w:vAlign w:val="center"/>
            <w:tcMar>
              <w:top w:w="80" w:type="dxa"/>
              <w:start w:w="120" w:type="dxa"/>
              <w:bottom w:w="80" w:type="dxa"/>
              <w:end w:w="120" w:type="dxa"/>
            </w:tcMar>
          </w:tcPr>
          <w:p>
            <w:pPr>
              <w:spacing w:after="0"/>
            </w:pPr>
            <w:r>
              <w:rPr>
                <w:rFonts w:ascii="Calibri" w:hAnsi="Calibri"/>
                <w:sz w:val="18"/>
              </w:rPr>
              <w:t>Pass 1 aligned IDs, versions, browsers, permissions, and sync; Pass 2 found backup/file-sharing leaks, stale test identities, secret exclusions, trigger gaps, and silent normalization; Pass 3 ran executable and remote gates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Improvements</w:t>
            </w:r>
          </w:p>
        </w:tc>
        <w:tc>
          <w:tcPr>
            <w:tcW w:type="dxa" w:w="7128"/>
            <w:vAlign w:val="center"/>
            <w:tcMar>
              <w:top w:w="80" w:type="dxa"/>
              <w:start w:w="120" w:type="dxa"/>
              <w:bottom w:w="80" w:type="dxa"/>
              <w:end w:w="120" w:type="dxa"/>
            </w:tcMar>
          </w:tcPr>
          <w:p>
            <w:pPr>
              <w:spacing w:after="0"/>
            </w:pPr>
            <w:r>
              <w:rPr>
                <w:rFonts w:ascii="Calibri" w:hAnsi="Calibri"/>
                <w:sz w:val="18"/>
              </w:rPr>
              <w:t>Disabled backups; narrowed sharing; corrected native test packages; compiled Android tests in CI; expanded triggers; made iOS normalization fail closed; documented install-script trust and release gates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Tests</w:t>
            </w:r>
          </w:p>
        </w:tc>
        <w:tc>
          <w:tcPr>
            <w:tcW w:type="dxa" w:w="7128"/>
            <w:shd w:fill="F2F4F7"/>
            <w:vAlign w:val="center"/>
            <w:tcMar>
              <w:top w:w="80" w:type="dxa"/>
              <w:start w:w="120" w:type="dxa"/>
              <w:bottom w:w="80" w:type="dxa"/>
              <w:end w:w="120" w:type="dxa"/>
            </w:tcMar>
          </w:tcPr>
          <w:p>
            <w:pPr>
              <w:spacing w:after="0"/>
            </w:pPr>
            <w:r>
              <w:rPr>
                <w:rFonts w:ascii="Calibri" w:hAnsi="Calibri"/>
                <w:sz w:val="18"/>
              </w:rPr>
              <w:t>Runtime-config 3/3, lint, typecheck, production build, and 80/80 browser tests passed; repeated Android/iOS sync passed; production dependency audit found zero vulnerabilities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Native evidence</w:t>
            </w:r>
          </w:p>
        </w:tc>
        <w:tc>
          <w:tcPr>
            <w:tcW w:type="dxa" w:w="7128"/>
            <w:vAlign w:val="center"/>
            <w:tcMar>
              <w:top w:w="80" w:type="dxa"/>
              <w:start w:w="120" w:type="dxa"/>
              <w:bottom w:w="80" w:type="dxa"/>
              <w:end w:w="120" w:type="dxa"/>
            </w:tcMar>
          </w:tcPr>
          <w:p>
            <w:pPr>
              <w:spacing w:after="0"/>
            </w:pPr>
            <w:r>
              <w:rPr>
                <w:rFonts w:ascii="Calibri" w:hAnsi="Calibri"/>
                <w:sz w:val="18"/>
              </w:rPr>
              <w:t>GitHub Actions run 32676423136 passed: Android app lint, unit tests, instrumentation-test APK compilation, and unsigned debug APK built on Linux in 3m54s; the unsigned iOS simulator app built on macOS in 2m14s. https://github.com/Sankofa-Digital-Studio/senatla-ops/actions/runs/32676423136</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Visual evidence</w:t>
            </w:r>
          </w:p>
        </w:tc>
        <w:tc>
          <w:tcPr>
            <w:tcW w:type="dxa" w:w="7128"/>
            <w:shd w:fill="F2F4F7"/>
            <w:vAlign w:val="center"/>
            <w:tcMar>
              <w:top w:w="80" w:type="dxa"/>
              <w:start w:w="120" w:type="dxa"/>
              <w:bottom w:w="80" w:type="dxa"/>
              <w:end w:w="120" w:type="dxa"/>
            </w:tcMar>
          </w:tcPr>
          <w:p>
            <w:pPr>
              <w:spacing w:after="0"/>
            </w:pPr>
            <w:r>
              <w:rPr>
                <w:rFonts w:ascii="Calibri" w:hAnsi="Calibri"/>
                <w:sz w:val="18"/>
              </w:rPr>
              <w:t>No rendered app UI changed; full regression remains after Slice 3 and scanner visual evidence begins with the first rendered OCR slice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Result</w:t>
            </w:r>
          </w:p>
        </w:tc>
        <w:tc>
          <w:tcPr>
            <w:tcW w:type="dxa" w:w="7128"/>
            <w:vAlign w:val="center"/>
            <w:tcMar>
              <w:top w:w="80" w:type="dxa"/>
              <w:start w:w="120" w:type="dxa"/>
              <w:bottom w:w="80" w:type="dxa"/>
              <w:end w:w="120" w:type="dxa"/>
            </w:tcMar>
          </w:tcPr>
          <w:p>
            <w:pPr>
              <w:spacing w:after="0"/>
            </w:pPr>
            <w:r>
              <w:rPr>
                <w:rFonts w:ascii="Calibri" w:hAnsi="Calibri"/>
                <w:sz w:val="18"/>
              </w:rPr>
              <w:t>Verified native foundation, subject to recorded release-stage gates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Known gaps</w:t>
            </w:r>
          </w:p>
        </w:tc>
        <w:tc>
          <w:tcPr>
            <w:tcW w:type="dxa" w:w="7128"/>
            <w:shd w:fill="F2F4F7"/>
            <w:vAlign w:val="center"/>
            <w:tcMar>
              <w:top w:w="80" w:type="dxa"/>
              <w:start w:w="120" w:type="dxa"/>
              <w:bottom w:w="80" w:type="dxa"/>
              <w:end w:w="120" w:type="dxa"/>
            </w:tcMar>
          </w:tcPr>
          <w:p>
            <w:pPr>
              <w:spacing w:after="0"/>
            </w:pPr>
            <w:r>
              <w:rPr>
                <w:rFonts w:ascii="Calibri" w:hAnsi="Calibri"/>
                <w:sz w:val="18"/>
              </w:rPr>
              <w:t>Local Android compile unavailable without JDK/SDK; iOS requires macOS; release signing, shrinking/version allocation, store identity, and Swift dependency lock remain release-stage work</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Next action</w:t>
            </w:r>
          </w:p>
        </w:tc>
        <w:tc>
          <w:tcPr>
            <w:tcW w:type="dxa" w:w="7128"/>
            <w:vAlign w:val="center"/>
            <w:tcMar>
              <w:top w:w="80" w:type="dxa"/>
              <w:start w:w="120" w:type="dxa"/>
              <w:bottom w:w="80" w:type="dxa"/>
              <w:end w:w="120" w:type="dxa"/>
            </w:tcMar>
          </w:tcPr>
          <w:p>
            <w:pPr>
              <w:spacing w:after="0"/>
            </w:pPr>
            <w:r>
              <w:rPr>
                <w:rFonts w:ascii="Calibri" w:hAnsi="Calibri"/>
                <w:sz w:val="18"/>
              </w:rPr>
              <w:t>OCR-1 adds the stable TypeScript scanning contract and privacy lifecycle before native OCR adapters</w:t>
            </w:r>
          </w:p>
        </w:tc>
      </w:tr>
    </w:tbl>
    <w:p>
      <w:pPr>
        <w:spacing w:after="0"/>
      </w:pPr>
    </w:p>
    <w:p>
      <w:pPr>
        <w:pStyle w:val="Heading2"/>
      </w:pPr>
      <w:r>
        <w:t>24 August 2026 - OCR-1 and OCR-2 production scanning bundle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implementation evidence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OCR-1 stable scan contract and OCR-2 Android/iOS native adapters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 / PR</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sankofa_xciv/ocr-1-2-native-scanning; PR #54 merged into dev as 05df90a</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Existing asset registration enhanced with native scanning, on-device OCR, evidence provenance, byte-integrity verification, and explicit human review</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Use a strict TypeScript/native contract; private JPEG artifacts only; validate dimensions, size, UUID and SHA-256; delete native artifacts after verified JavaScript ownership</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Base64 bridge payloads, public native files, default cloud OCR, automatic field application, and silent fallback after denial/cancellation</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Security</w:t>
            </w:r>
          </w:p>
        </w:tc>
        <w:tc>
          <w:tcPr>
            <w:tcW w:type="dxa" w:w="7128"/>
            <w:shd w:fill="F2F4F7"/>
            <w:vAlign w:val="center"/>
            <w:tcMar>
              <w:top w:w="80" w:type="dxa"/>
              <w:start w:w="120" w:type="dxa"/>
              <w:bottom w:w="80" w:type="dxa"/>
              <w:end w:w="120" w:type="dxa"/>
            </w:tcMar>
          </w:tcPr>
          <w:p>
            <w:pPr>
              <w:spacing w:after="0"/>
            </w:pPr>
            <w:r>
              <w:rPr>
                <w:rFonts w:ascii="Calibri" w:hAnsi="Calibri"/>
                <w:sz w:val="18"/>
              </w:rPr>
              <w:t>Bounded evidence and OCR text; no native paths or raw OCR in logs; private Storage/RLS authoritative; human apply-and-verify required</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Three-pass challenge</w:t>
            </w:r>
          </w:p>
        </w:tc>
        <w:tc>
          <w:tcPr>
            <w:tcW w:type="dxa" w:w="7128"/>
            <w:vAlign w:val="center"/>
            <w:tcMar>
              <w:top w:w="80" w:type="dxa"/>
              <w:start w:w="120" w:type="dxa"/>
              <w:bottom w:w="80" w:type="dxa"/>
              <w:end w:w="120" w:type="dxa"/>
            </w:tcMar>
          </w:tcPr>
          <w:p>
            <w:pPr>
              <w:spacing w:after="0"/>
            </w:pPr>
            <w:r>
              <w:rPr>
                <w:rFonts w:ascii="Calibri" w:hAnsi="Calibri"/>
                <w:sz w:val="18"/>
              </w:rPr>
              <w:t>Challenged contract/fallback/integrity, native lifecycle and cleanup, then all changed source and RLS/Storage controls; persistence findings were remediated before closure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Improvements</w:t>
            </w:r>
          </w:p>
        </w:tc>
        <w:tc>
          <w:tcPr>
            <w:tcW w:type="dxa" w:w="7128"/>
            <w:shd w:fill="F2F4F7"/>
            <w:vAlign w:val="center"/>
            <w:tcMar>
              <w:top w:w="80" w:type="dxa"/>
              <w:start w:w="120" w:type="dxa"/>
              <w:bottom w:w="80" w:type="dxa"/>
              <w:end w:w="120" w:type="dxa"/>
            </w:tcMar>
          </w:tcPr>
          <w:p>
            <w:pPr>
              <w:spacing w:after="0"/>
            </w:pPr>
            <w:r>
              <w:rPr>
                <w:rFonts w:ascii="Calibri" w:hAnsi="Calibri"/>
                <w:sz w:val="18"/>
              </w:rPr>
              <w:t>Held Android guard through finalisation; safe startup sweeps; symlink rejection; main-thread bridge resolution; whole-session cleanup; checked rollback; immutable ready evidence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Tests</w:t>
            </w:r>
          </w:p>
        </w:tc>
        <w:tc>
          <w:tcPr>
            <w:tcW w:type="dxa" w:w="7128"/>
            <w:vAlign w:val="center"/>
            <w:tcMar>
              <w:top w:w="80" w:type="dxa"/>
              <w:start w:w="120" w:type="dxa"/>
              <w:bottom w:w="80" w:type="dxa"/>
              <w:end w:w="120" w:type="dxa"/>
            </w:tcMar>
          </w:tcPr>
          <w:p>
            <w:pPr>
              <w:spacing w:after="0"/>
            </w:pPr>
            <w:r>
              <w:rPr>
                <w:rFonts w:ascii="Calibri" w:hAnsi="Calibri"/>
                <w:sz w:val="18"/>
              </w:rPr>
              <w:t>Local release gate and 93/93 browser tests passed; PR #54 passed app, 208 pgTAP tests, Android, iOS and Vercel checks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Result</w:t>
            </w:r>
          </w:p>
        </w:tc>
        <w:tc>
          <w:tcPr>
            <w:tcW w:type="dxa" w:w="7128"/>
            <w:shd w:fill="F2F4F7"/>
            <w:vAlign w:val="center"/>
            <w:tcMar>
              <w:top w:w="80" w:type="dxa"/>
              <w:start w:w="120" w:type="dxa"/>
              <w:bottom w:w="80" w:type="dxa"/>
              <w:end w:w="120" w:type="dxa"/>
            </w:tcMar>
          </w:tcPr>
          <w:p>
            <w:pPr>
              <w:spacing w:after="0"/>
            </w:pPr>
            <w:r>
              <w:rPr>
                <w:rFonts w:ascii="Calibri" w:hAnsi="Calibri"/>
                <w:sz w:val="18"/>
              </w:rPr>
              <w:t>Implementation, migrations, native CI and deployments passed; signed physical-device proof remains the store-release gate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Known gaps</w:t>
            </w:r>
          </w:p>
        </w:tc>
        <w:tc>
          <w:tcPr>
            <w:tcW w:type="dxa" w:w="7128"/>
            <w:vAlign w:val="center"/>
            <w:tcMar>
              <w:top w:w="80" w:type="dxa"/>
              <w:start w:w="120" w:type="dxa"/>
              <w:bottom w:w="80" w:type="dxa"/>
              <w:end w:w="120" w:type="dxa"/>
            </w:tcMar>
          </w:tcPr>
          <w:p>
            <w:pPr>
              <w:spacing w:after="0"/>
            </w:pPr>
            <w:r>
              <w:rPr>
                <w:rFonts w:ascii="Calibri" w:hAnsi="Calibri"/>
                <w:sz w:val="18"/>
              </w:rPr>
              <w:t>OCR accuracy and permission/lifecycle behavior on representative physical devices require the five-role signed-device UAT matrix</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Next action</w:t>
            </w:r>
          </w:p>
        </w:tc>
        <w:tc>
          <w:tcPr>
            <w:tcW w:type="dxa" w:w="7128"/>
            <w:shd w:fill="F2F4F7"/>
            <w:vAlign w:val="center"/>
            <w:tcMar>
              <w:top w:w="80" w:type="dxa"/>
              <w:start w:w="120" w:type="dxa"/>
              <w:bottom w:w="80" w:type="dxa"/>
              <w:end w:w="120" w:type="dxa"/>
            </w:tcMar>
          </w:tcPr>
          <w:p>
            <w:pPr>
              <w:spacing w:after="0"/>
            </w:pPr>
            <w:r>
              <w:rPr>
                <w:rFonts w:ascii="Calibri" w:hAnsi="Calibri"/>
                <w:sz w:val="18"/>
              </w:rPr>
              <w:t>Execute OCR-3 private signed-device UAT without placing credentials or direct identifiers in Git or this document</w:t>
            </w:r>
          </w:p>
        </w:tc>
      </w:tr>
    </w:tbl>
    <w:p>
      <w:pPr>
        <w:spacing w:after="0"/>
      </w:pPr>
    </w:p>
    <w:p>
      <w:pPr>
        <w:pStyle w:val="Heading2"/>
      </w:pPr>
      <w:r>
        <w:t>24 August 2026 - OCR-3 signed-device UAT gate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2232"/>
            <w:vAlign w:val="center"/>
            <w:tcMar>
              <w:top w:w="80" w:type="dxa"/>
              <w:start w:w="120" w:type="dxa"/>
              <w:bottom w:w="80" w:type="dxa"/>
              <w:end w:w="120" w:type="dxa"/>
            </w:tcMar>
            <w:shd w:fill="17365D"/>
          </w:tcPr>
          <w:p>
            <w:r>
              <w:rPr>
                <w:rFonts w:ascii="Calibri" w:hAnsi="Calibri"/>
                <w:b/>
                <w:color w:val="FFFFFF"/>
                <w:sz w:val="19"/>
              </w:rPr>
              <w:t>Field</w:t>
            </w:r>
          </w:p>
        </w:tc>
        <w:tc>
          <w:tcPr>
            <w:tcW w:type="dxa" w:w="7128"/>
            <w:vAlign w:val="center"/>
            <w:tcMar>
              <w:top w:w="80" w:type="dxa"/>
              <w:start w:w="120" w:type="dxa"/>
              <w:bottom w:w="80" w:type="dxa"/>
              <w:end w:w="120" w:type="dxa"/>
            </w:tcMar>
            <w:shd w:fill="17365D"/>
          </w:tcPr>
          <w:p>
            <w:r>
              <w:rPr>
                <w:rFonts w:ascii="Calibri" w:hAnsi="Calibri"/>
                <w:b/>
                <w:color w:val="FFFFFF"/>
                <w:sz w:val="19"/>
              </w:rPr>
              <w:t>Recorded implementation evidence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Slice</w:t>
            </w:r>
          </w:p>
        </w:tc>
        <w:tc>
          <w:tcPr>
            <w:tcW w:type="dxa" w:w="7128"/>
            <w:vAlign w:val="center"/>
            <w:tcMar>
              <w:top w:w="80" w:type="dxa"/>
              <w:start w:w="120" w:type="dxa"/>
              <w:bottom w:w="80" w:type="dxa"/>
              <w:end w:w="120" w:type="dxa"/>
            </w:tcMar>
          </w:tcPr>
          <w:p>
            <w:pPr>
              <w:spacing w:after="0"/>
            </w:pPr>
            <w:r>
              <w:rPr>
                <w:rFonts w:ascii="Calibri" w:hAnsi="Calibri"/>
                <w:sz w:val="18"/>
              </w:rPr>
              <w:t>OCR-3 - five-role signed-device release gate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Branch</w:t>
            </w:r>
          </w:p>
        </w:tc>
        <w:tc>
          <w:tcPr>
            <w:tcW w:type="dxa" w:w="7128"/>
            <w:shd w:fill="F2F4F7"/>
            <w:vAlign w:val="center"/>
            <w:tcMar>
              <w:top w:w="80" w:type="dxa"/>
              <w:start w:w="120" w:type="dxa"/>
              <w:bottom w:w="80" w:type="dxa"/>
              <w:end w:w="120" w:type="dxa"/>
            </w:tcMar>
          </w:tcPr>
          <w:p>
            <w:pPr>
              <w:spacing w:after="0"/>
            </w:pPr>
            <w:r>
              <w:rPr>
                <w:rFonts w:ascii="Calibri" w:hAnsi="Calibri"/>
                <w:sz w:val="18"/>
              </w:rPr>
              <w:t>sankofa_xciv/ocr-3-device-uat-gate</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Outcome</w:t>
            </w:r>
          </w:p>
        </w:tc>
        <w:tc>
          <w:tcPr>
            <w:tcW w:type="dxa" w:w="7128"/>
            <w:vAlign w:val="center"/>
            <w:tcMar>
              <w:top w:w="80" w:type="dxa"/>
              <w:start w:w="120" w:type="dxa"/>
              <w:bottom w:w="80" w:type="dxa"/>
              <w:end w:w="120" w:type="dxa"/>
            </w:tcMar>
          </w:tcPr>
          <w:p>
            <w:pPr>
              <w:spacing w:after="0"/>
            </w:pPr>
            <w:r>
              <w:rPr>
                <w:rFonts w:ascii="Calibri" w:hAnsi="Calibri"/>
                <w:sz w:val="18"/>
              </w:rPr>
              <w:t>Executable contract for five real access variants, signed Android/iOS devices, and 25 required results; private ignored evidence boundary and responsive guide</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Decision</w:t>
            </w:r>
          </w:p>
        </w:tc>
        <w:tc>
          <w:tcPr>
            <w:tcW w:type="dxa" w:w="7128"/>
            <w:shd w:fill="F2F4F7"/>
            <w:vAlign w:val="center"/>
            <w:tcMar>
              <w:top w:w="80" w:type="dxa"/>
              <w:start w:w="120" w:type="dxa"/>
              <w:bottom w:w="80" w:type="dxa"/>
              <w:end w:w="120" w:type="dxa"/>
            </w:tcMar>
          </w:tcPr>
          <w:p>
            <w:pPr>
              <w:spacing w:after="0"/>
            </w:pPr>
            <w:r>
              <w:rPr>
                <w:rFonts w:ascii="Calibri" w:hAnsi="Calibri"/>
                <w:sz w:val="18"/>
              </w:rPr>
              <w:t>Treat physical UAT as release evidence, not seed data; retain aliases and safe evidence references only; bind proof to exact remote target and deployed commit</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Rejected alternative</w:t>
            </w:r>
          </w:p>
        </w:tc>
        <w:tc>
          <w:tcPr>
            <w:tcW w:type="dxa" w:w="7128"/>
            <w:vAlign w:val="center"/>
            <w:tcMar>
              <w:top w:w="80" w:type="dxa"/>
              <w:start w:w="120" w:type="dxa"/>
              <w:bottom w:w="80" w:type="dxa"/>
              <w:end w:w="120" w:type="dxa"/>
            </w:tcMar>
          </w:tcPr>
          <w:p>
            <w:pPr>
              <w:spacing w:after="0"/>
            </w:pPr>
            <w:r>
              <w:rPr>
                <w:rFonts w:ascii="Calibri" w:hAnsi="Calibri"/>
                <w:sz w:val="18"/>
              </w:rPr>
              <w:t>Committed credentials/results, document-only attestation, synthetic users presented as UAT, or a single happy-path account</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Security</w:t>
            </w:r>
          </w:p>
        </w:tc>
        <w:tc>
          <w:tcPr>
            <w:tcW w:type="dxa" w:w="7128"/>
            <w:shd w:fill="F2F4F7"/>
            <w:vAlign w:val="center"/>
            <w:tcMar>
              <w:top w:w="80" w:type="dxa"/>
              <w:start w:w="120" w:type="dxa"/>
              <w:bottom w:w="80" w:type="dxa"/>
              <w:end w:w="120" w:type="dxa"/>
            </w:tcMar>
          </w:tcPr>
          <w:p>
            <w:pPr>
              <w:spacing w:after="0"/>
            </w:pPr>
            <w:r>
              <w:rPr>
                <w:rFonts w:ascii="Calibri" w:hAnsi="Calibri"/>
                <w:sz w:val="18"/>
              </w:rPr>
              <w:t>Reject credentials, direct identifiers, raw OCR, native/private paths and device identifiers recursively; output summary/issues only, never the submitted payload or caller path</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Three-pass challenge</w:t>
            </w:r>
          </w:p>
        </w:tc>
        <w:tc>
          <w:tcPr>
            <w:tcW w:type="dxa" w:w="7128"/>
            <w:vAlign w:val="center"/>
            <w:tcMar>
              <w:top w:w="80" w:type="dxa"/>
              <w:start w:w="120" w:type="dxa"/>
              <w:bottom w:w="80" w:type="dxa"/>
              <w:end w:w="120" w:type="dxa"/>
            </w:tcMar>
          </w:tcPr>
          <w:p>
            <w:pPr>
              <w:spacing w:after="0"/>
            </w:pPr>
            <w:r>
              <w:rPr>
                <w:rFonts w:ascii="Calibri" w:hAnsi="Calibri"/>
                <w:sz w:val="18"/>
              </w:rPr>
              <w:t>Pass 1 reconciled 16 scenarios to 25 results; Pass 2 challenged leakage, evidence traversal and unknown additions; Pass 3 challenged signed-build, commit and release semantics</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Improvements</w:t>
            </w:r>
          </w:p>
        </w:tc>
        <w:tc>
          <w:tcPr>
            <w:tcW w:type="dxa" w:w="7128"/>
            <w:shd w:fill="F2F4F7"/>
            <w:vAlign w:val="center"/>
            <w:tcMar>
              <w:top w:w="80" w:type="dxa"/>
              <w:start w:w="120" w:type="dxa"/>
              <w:bottom w:w="80" w:type="dxa"/>
              <w:end w:w="120" w:type="dxa"/>
            </w:tcMar>
          </w:tcPr>
          <w:p>
            <w:pPr>
              <w:spacing w:after="0"/>
            </w:pPr>
            <w:r>
              <w:rPr>
                <w:rFonts w:ascii="Calibri" w:hAnsi="Calibri"/>
                <w:sz w:val="18"/>
              </w:rPr>
              <w:t>Corrected result count; reject unknown platforms/cases; isolate private JSON; incomplete mode can validate structure but cannot mark release ready</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Tests</w:t>
            </w:r>
          </w:p>
        </w:tc>
        <w:tc>
          <w:tcPr>
            <w:tcW w:type="dxa" w:w="7128"/>
            <w:vAlign w:val="center"/>
            <w:tcMar>
              <w:top w:w="80" w:type="dxa"/>
              <w:start w:w="120" w:type="dxa"/>
              <w:bottom w:w="80" w:type="dxa"/>
              <w:end w:w="120" w:type="dxa"/>
            </w:tcMar>
          </w:tcPr>
          <w:p>
            <w:pPr>
              <w:spacing w:after="0"/>
            </w:pPr>
            <w:r>
              <w:rPr>
                <w:rFonts w:ascii="Calibri" w:hAnsi="Calibri"/>
                <w:sz w:val="18"/>
              </w:rPr>
              <w:t>6/6 contract tests pass: complete matrix, unknown additions, leakage, missing/failed evidence, and in-progress behavior</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Visual evidence</w:t>
            </w:r>
          </w:p>
        </w:tc>
        <w:tc>
          <w:tcPr>
            <w:tcW w:type="dxa" w:w="7128"/>
            <w:shd w:fill="F2F4F7"/>
            <w:vAlign w:val="center"/>
            <w:tcMar>
              <w:top w:w="80" w:type="dxa"/>
              <w:start w:w="120" w:type="dxa"/>
              <w:bottom w:w="80" w:type="dxa"/>
              <w:end w:w="120" w:type="dxa"/>
            </w:tcMar>
          </w:tcPr>
          <w:p>
            <w:pPr>
              <w:spacing w:after="0"/>
            </w:pPr>
            <w:r>
              <w:rPr>
                <w:rFonts w:ascii="Calibri" w:hAnsi="Calibri"/>
                <w:sz w:val="18"/>
              </w:rPr>
              <w:t>Responsive guide supports Android/iOS viewing; application UI is unchanged; physical scanner proof remains pending</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Result</w:t>
            </w:r>
          </w:p>
        </w:tc>
        <w:tc>
          <w:tcPr>
            <w:tcW w:type="dxa" w:w="7128"/>
            <w:vAlign w:val="center"/>
            <w:tcMar>
              <w:top w:w="80" w:type="dxa"/>
              <w:start w:w="120" w:type="dxa"/>
              <w:bottom w:w="80" w:type="dxa"/>
              <w:end w:w="120" w:type="dxa"/>
            </w:tcMar>
          </w:tcPr>
          <w:p>
            <w:pPr>
              <w:spacing w:after="0"/>
            </w:pPr>
            <w:r>
              <w:rPr>
                <w:rFonts w:ascii="Calibri" w:hAnsi="Calibri"/>
                <w:sz w:val="18"/>
              </w:rPr>
              <w:t>Gate verified locally; no UAT outcome fabricated and OCR is not yet device-certified</w:t>
            </w:r>
          </w:p>
        </w:tc>
      </w:tr>
      <w:tr>
        <w:trPr>
          <w:cantSplit/>
        </w:trPr>
        <w:tc>
          <w:tcPr>
            <w:tcW w:type="dxa" w:w="2232"/>
            <w:shd w:fill="F2F4F7"/>
            <w:vAlign w:val="center"/>
            <w:tcMar>
              <w:top w:w="80" w:type="dxa"/>
              <w:start w:w="120" w:type="dxa"/>
              <w:bottom w:w="80" w:type="dxa"/>
              <w:end w:w="120" w:type="dxa"/>
            </w:tcMar>
          </w:tcPr>
          <w:p>
            <w:pPr>
              <w:spacing w:after="0"/>
            </w:pPr>
            <w:r>
              <w:rPr>
                <w:rFonts w:ascii="Calibri" w:hAnsi="Calibri"/>
                <w:sz w:val="18"/>
              </w:rPr>
              <w:t>Known gaps</w:t>
            </w:r>
          </w:p>
        </w:tc>
        <w:tc>
          <w:tcPr>
            <w:tcW w:type="dxa" w:w="7128"/>
            <w:shd w:fill="F2F4F7"/>
            <w:vAlign w:val="center"/>
            <w:tcMar>
              <w:top w:w="80" w:type="dxa"/>
              <w:start w:w="120" w:type="dxa"/>
              <w:bottom w:w="80" w:type="dxa"/>
              <w:end w:w="120" w:type="dxa"/>
            </w:tcMar>
          </w:tcPr>
          <w:p>
            <w:pPr>
              <w:spacing w:after="0"/>
            </w:pPr>
            <w:r>
              <w:rPr>
                <w:rFonts w:ascii="Calibri" w:hAnsi="Calibri"/>
                <w:sz w:val="18"/>
              </w:rPr>
              <w:t>Signed builds, five real assignments, controlled credential handoff, and physical evidence require authorised operators</w:t>
            </w:r>
          </w:p>
        </w:tc>
      </w:tr>
      <w:tr>
        <w:trPr>
          <w:cantSplit/>
        </w:trPr>
        <w:tc>
          <w:tcPr>
            <w:tcW w:type="dxa" w:w="2232"/>
            <w:vAlign w:val="center"/>
            <w:tcMar>
              <w:top w:w="80" w:type="dxa"/>
              <w:start w:w="120" w:type="dxa"/>
              <w:bottom w:w="80" w:type="dxa"/>
              <w:end w:w="120" w:type="dxa"/>
            </w:tcMar>
          </w:tcPr>
          <w:p>
            <w:pPr>
              <w:spacing w:after="0"/>
            </w:pPr>
            <w:r>
              <w:rPr>
                <w:rFonts w:ascii="Calibri" w:hAnsi="Calibri"/>
                <w:sz w:val="18"/>
              </w:rPr>
              <w:t>Next action</w:t>
            </w:r>
          </w:p>
        </w:tc>
        <w:tc>
          <w:tcPr>
            <w:tcW w:type="dxa" w:w="7128"/>
            <w:vAlign w:val="center"/>
            <w:tcMar>
              <w:top w:w="80" w:type="dxa"/>
              <w:start w:w="120" w:type="dxa"/>
              <w:bottom w:w="80" w:type="dxa"/>
              <w:end w:w="120" w:type="dxa"/>
            </w:tcMar>
          </w:tcPr>
          <w:p>
            <w:pPr>
              <w:spacing w:after="0"/>
            </w:pPr>
            <w:r>
              <w:rPr>
                <w:rFonts w:ascii="Calibri" w:hAnsi="Calibri"/>
                <w:sz w:val="18"/>
              </w:rPr>
              <w:t>Deploy after full CI, execute controlled physical UAT, and validate the ignored private record</w:t>
            </w:r>
          </w:p>
        </w:tc>
      </w:tr>
    </w:tbl>
    <w:p>
      <w:pPr>
        <w:spacing w:after="0"/>
      </w:pPr>
    </w:p>
    <w:p>
      <w:pPr>
        <w:pStyle w:val="Heading1"/>
      </w:pPr>
      <w:r>
        <w:t>7. Decision log</w:t>
      </w:r>
    </w:p>
    <w:tbl>
      <w:tblPr>
        <w:tblStyle w:val="TableGrid"/>
        <w:tblW w:type="dxa" w:w="9360"/>
        <w:tblLayout w:type="fixed"/>
        <w:tblLook w:firstColumn="1" w:firstRow="1" w:lastColumn="0" w:lastRow="0" w:noHBand="0" w:noVBand="1" w:val="04A0"/>
        <w:jc w:val="left"/>
        <w:tblInd w:w="120" w:type="dxa"/>
      </w:tblPr>
      <w:tblGrid>
        <w:gridCol w:w="1872"/>
        <w:gridCol w:w="1872"/>
        <w:gridCol w:w="1872"/>
        <w:gridCol w:w="1872"/>
        <w:gridCol w:w="1872"/>
      </w:tblGrid>
      <w:tr>
        <w:trPr>
          <w:tblHeader w:val="true"/>
        </w:trPr>
        <w:tc>
          <w:tcPr>
            <w:tcW w:type="dxa" w:w="864"/>
            <w:vAlign w:val="center"/>
            <w:tcMar>
              <w:top w:w="80" w:type="dxa"/>
              <w:start w:w="120" w:type="dxa"/>
              <w:bottom w:w="80" w:type="dxa"/>
              <w:end w:w="120" w:type="dxa"/>
            </w:tcMar>
            <w:shd w:fill="17365D"/>
          </w:tcPr>
          <w:p>
            <w:r>
              <w:rPr>
                <w:rFonts w:ascii="Calibri" w:hAnsi="Calibri"/>
                <w:b/>
                <w:color w:val="FFFFFF"/>
                <w:sz w:val="19"/>
              </w:rPr>
              <w:t>ID</w:t>
            </w:r>
          </w:p>
        </w:tc>
        <w:tc>
          <w:tcPr>
            <w:tcW w:type="dxa" w:w="1296"/>
            <w:vAlign w:val="center"/>
            <w:tcMar>
              <w:top w:w="80" w:type="dxa"/>
              <w:start w:w="120" w:type="dxa"/>
              <w:bottom w:w="80" w:type="dxa"/>
              <w:end w:w="120" w:type="dxa"/>
            </w:tcMar>
            <w:shd w:fill="17365D"/>
          </w:tcPr>
          <w:p>
            <w:r>
              <w:rPr>
                <w:rFonts w:ascii="Calibri" w:hAnsi="Calibri"/>
                <w:b/>
                <w:color w:val="FFFFFF"/>
                <w:sz w:val="19"/>
              </w:rPr>
              <w:t>Date</w:t>
            </w:r>
          </w:p>
        </w:tc>
        <w:tc>
          <w:tcPr>
            <w:tcW w:type="dxa" w:w="2304"/>
            <w:vAlign w:val="center"/>
            <w:tcMar>
              <w:top w:w="80" w:type="dxa"/>
              <w:start w:w="120" w:type="dxa"/>
              <w:bottom w:w="80" w:type="dxa"/>
              <w:end w:w="120" w:type="dxa"/>
            </w:tcMar>
            <w:shd w:fill="17365D"/>
          </w:tcPr>
          <w:p>
            <w:r>
              <w:rPr>
                <w:rFonts w:ascii="Calibri" w:hAnsi="Calibri"/>
                <w:b/>
                <w:color w:val="FFFFFF"/>
                <w:sz w:val="19"/>
              </w:rPr>
              <w:t>Decision</w:t>
            </w:r>
          </w:p>
        </w:tc>
        <w:tc>
          <w:tcPr>
            <w:tcW w:type="dxa" w:w="3528"/>
            <w:vAlign w:val="center"/>
            <w:tcMar>
              <w:top w:w="80" w:type="dxa"/>
              <w:start w:w="120" w:type="dxa"/>
              <w:bottom w:w="80" w:type="dxa"/>
              <w:end w:w="120" w:type="dxa"/>
            </w:tcMar>
            <w:shd w:fill="17365D"/>
          </w:tcPr>
          <w:p>
            <w:r>
              <w:rPr>
                <w:rFonts w:ascii="Calibri" w:hAnsi="Calibri"/>
                <w:b/>
                <w:color w:val="FFFFFF"/>
                <w:sz w:val="19"/>
              </w:rPr>
              <w:t>Rationale</w:t>
            </w:r>
          </w:p>
        </w:tc>
        <w:tc>
          <w:tcPr>
            <w:tcW w:type="dxa" w:w="1368"/>
            <w:vAlign w:val="center"/>
            <w:tcMar>
              <w:top w:w="80" w:type="dxa"/>
              <w:start w:w="120" w:type="dxa"/>
              <w:bottom w:w="80" w:type="dxa"/>
              <w:end w:w="120" w:type="dxa"/>
            </w:tcMar>
            <w:shd w:fill="17365D"/>
          </w:tcPr>
          <w:p>
            <w:r>
              <w:rPr>
                <w:rFonts w:ascii="Calibri" w:hAnsi="Calibri"/>
                <w:b/>
                <w:color w:val="FFFFFF"/>
                <w:sz w:val="19"/>
              </w:rPr>
              <w:t>Status</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D-001</w:t>
            </w:r>
          </w:p>
        </w:tc>
        <w:tc>
          <w:tcPr>
            <w:tcW w:type="dxa" w:w="1296"/>
            <w:vAlign w:val="center"/>
            <w:tcMar>
              <w:top w:w="80" w:type="dxa"/>
              <w:start w:w="120" w:type="dxa"/>
              <w:bottom w:w="80" w:type="dxa"/>
              <w:end w:w="120" w:type="dxa"/>
            </w:tcMar>
          </w:tcPr>
          <w:p>
            <w:pPr>
              <w:spacing w:after="0"/>
            </w:pPr>
            <w:r>
              <w:rPr>
                <w:rFonts w:ascii="Calibri" w:hAnsi="Calibri"/>
                <w:sz w:val="18"/>
              </w:rPr>
              <w:t>23 Aug 2026</w:t>
            </w:r>
          </w:p>
        </w:tc>
        <w:tc>
          <w:tcPr>
            <w:tcW w:type="dxa" w:w="2304"/>
            <w:vAlign w:val="center"/>
            <w:tcMar>
              <w:top w:w="80" w:type="dxa"/>
              <w:start w:w="120" w:type="dxa"/>
              <w:bottom w:w="80" w:type="dxa"/>
              <w:end w:w="120" w:type="dxa"/>
            </w:tcMar>
          </w:tcPr>
          <w:p>
            <w:pPr>
              <w:spacing w:after="0"/>
            </w:pPr>
            <w:r>
              <w:rPr>
                <w:rFonts w:ascii="Calibri" w:hAnsi="Calibri"/>
                <w:sz w:val="18"/>
              </w:rPr>
              <w:t>Enhance existing app</w:t>
            </w:r>
          </w:p>
        </w:tc>
        <w:tc>
          <w:tcPr>
            <w:tcW w:type="dxa" w:w="3528"/>
            <w:vAlign w:val="center"/>
            <w:tcMar>
              <w:top w:w="80" w:type="dxa"/>
              <w:start w:w="120" w:type="dxa"/>
              <w:bottom w:w="80" w:type="dxa"/>
              <w:end w:w="120" w:type="dxa"/>
            </w:tcMar>
          </w:tcPr>
          <w:p>
            <w:pPr>
              <w:spacing w:after="0"/>
            </w:pPr>
            <w:r>
              <w:rPr>
                <w:rFonts w:ascii="Calibri" w:hAnsi="Calibri"/>
                <w:sz w:val="18"/>
              </w:rPr>
              <w:t>Foundation already exists</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D-002</w:t>
            </w:r>
          </w:p>
        </w:tc>
        <w:tc>
          <w:tcPr>
            <w:tcW w:type="dxa" w:w="1296"/>
            <w:shd w:fill="F2F4F7"/>
            <w:vAlign w:val="center"/>
            <w:tcMar>
              <w:top w:w="80" w:type="dxa"/>
              <w:start w:w="120" w:type="dxa"/>
              <w:bottom w:w="80" w:type="dxa"/>
              <w:end w:w="120" w:type="dxa"/>
            </w:tcMar>
          </w:tcPr>
          <w:p>
            <w:pPr>
              <w:spacing w:after="0"/>
            </w:pPr>
            <w:r>
              <w:rPr>
                <w:rFonts w:ascii="Calibri" w:hAnsi="Calibri"/>
                <w:sz w:val="18"/>
              </w:rPr>
              <w:t>23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Begin with readiness</w:t>
            </w:r>
          </w:p>
        </w:tc>
        <w:tc>
          <w:tcPr>
            <w:tcW w:type="dxa" w:w="3528"/>
            <w:shd w:fill="F2F4F7"/>
            <w:vAlign w:val="center"/>
            <w:tcMar>
              <w:top w:w="80" w:type="dxa"/>
              <w:start w:w="120" w:type="dxa"/>
              <w:bottom w:w="80" w:type="dxa"/>
              <w:end w:w="120" w:type="dxa"/>
            </w:tcMar>
          </w:tcPr>
          <w:p>
            <w:pPr>
              <w:spacing w:after="0"/>
            </w:pPr>
            <w:r>
              <w:rPr>
                <w:rFonts w:ascii="Calibri" w:hAnsi="Calibri"/>
                <w:sz w:val="18"/>
              </w:rPr>
              <w:t>Immediate safety and operational value</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D-003</w:t>
            </w:r>
          </w:p>
        </w:tc>
        <w:tc>
          <w:tcPr>
            <w:tcW w:type="dxa" w:w="1296"/>
            <w:vAlign w:val="center"/>
            <w:tcMar>
              <w:top w:w="80" w:type="dxa"/>
              <w:start w:w="120" w:type="dxa"/>
              <w:bottom w:w="80" w:type="dxa"/>
              <w:end w:w="120" w:type="dxa"/>
            </w:tcMar>
          </w:tcPr>
          <w:p>
            <w:pPr>
              <w:spacing w:after="0"/>
            </w:pPr>
            <w:r>
              <w:rPr>
                <w:rFonts w:ascii="Calibri" w:hAnsi="Calibri"/>
                <w:sz w:val="18"/>
              </w:rPr>
              <w:t>23 Aug 2026</w:t>
            </w:r>
          </w:p>
        </w:tc>
        <w:tc>
          <w:tcPr>
            <w:tcW w:type="dxa" w:w="2304"/>
            <w:vAlign w:val="center"/>
            <w:tcMar>
              <w:top w:w="80" w:type="dxa"/>
              <w:start w:w="120" w:type="dxa"/>
              <w:bottom w:w="80" w:type="dxa"/>
              <w:end w:w="120" w:type="dxa"/>
            </w:tcMar>
          </w:tcPr>
          <w:p>
            <w:pPr>
              <w:spacing w:after="0"/>
            </w:pPr>
            <w:r>
              <w:rPr>
                <w:rFonts w:ascii="Calibri" w:hAnsi="Calibri"/>
                <w:sz w:val="18"/>
              </w:rPr>
              <w:t>Human-reviewed recommendations</w:t>
            </w:r>
          </w:p>
        </w:tc>
        <w:tc>
          <w:tcPr>
            <w:tcW w:type="dxa" w:w="3528"/>
            <w:vAlign w:val="center"/>
            <w:tcMar>
              <w:top w:w="80" w:type="dxa"/>
              <w:start w:w="120" w:type="dxa"/>
              <w:bottom w:w="80" w:type="dxa"/>
              <w:end w:w="120" w:type="dxa"/>
            </w:tcMar>
          </w:tcPr>
          <w:p>
            <w:pPr>
              <w:spacing w:after="0"/>
            </w:pPr>
            <w:r>
              <w:rPr>
                <w:rFonts w:ascii="Calibri" w:hAnsi="Calibri"/>
                <w:sz w:val="18"/>
              </w:rPr>
              <w:t>Preserve accountability</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D-004</w:t>
            </w:r>
          </w:p>
        </w:tc>
        <w:tc>
          <w:tcPr>
            <w:tcW w:type="dxa" w:w="1296"/>
            <w:shd w:fill="F2F4F7"/>
            <w:vAlign w:val="center"/>
            <w:tcMar>
              <w:top w:w="80" w:type="dxa"/>
              <w:start w:w="120" w:type="dxa"/>
              <w:bottom w:w="80" w:type="dxa"/>
              <w:end w:w="120" w:type="dxa"/>
            </w:tcMar>
          </w:tcPr>
          <w:p>
            <w:pPr>
              <w:spacing w:after="0"/>
            </w:pPr>
            <w:r>
              <w:rPr>
                <w:rFonts w:ascii="Calibri" w:hAnsi="Calibri"/>
                <w:sz w:val="18"/>
              </w:rPr>
              <w:t>23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Defer solver</w:t>
            </w:r>
          </w:p>
        </w:tc>
        <w:tc>
          <w:tcPr>
            <w:tcW w:type="dxa" w:w="3528"/>
            <w:shd w:fill="F2F4F7"/>
            <w:vAlign w:val="center"/>
            <w:tcMar>
              <w:top w:w="80" w:type="dxa"/>
              <w:start w:w="120" w:type="dxa"/>
              <w:bottom w:w="80" w:type="dxa"/>
              <w:end w:w="120" w:type="dxa"/>
            </w:tcMar>
          </w:tcPr>
          <w:p>
            <w:pPr>
              <w:spacing w:after="0"/>
            </w:pPr>
            <w:r>
              <w:rPr>
                <w:rFonts w:ascii="Calibri" w:hAnsi="Calibri"/>
                <w:sz w:val="18"/>
              </w:rPr>
              <w:t>Measure complexity and benefit first</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D-005</w:t>
            </w:r>
          </w:p>
        </w:tc>
        <w:tc>
          <w:tcPr>
            <w:tcW w:type="dxa" w:w="1296"/>
            <w:vAlign w:val="center"/>
            <w:tcMar>
              <w:top w:w="80" w:type="dxa"/>
              <w:start w:w="120" w:type="dxa"/>
              <w:bottom w:w="80" w:type="dxa"/>
              <w:end w:w="120" w:type="dxa"/>
            </w:tcMar>
          </w:tcPr>
          <w:p>
            <w:pPr>
              <w:spacing w:after="0"/>
            </w:pPr>
            <w:r>
              <w:rPr>
                <w:rFonts w:ascii="Calibri" w:hAnsi="Calibri"/>
                <w:sz w:val="18"/>
              </w:rPr>
              <w:t>23 Aug 2026</w:t>
            </w:r>
          </w:p>
        </w:tc>
        <w:tc>
          <w:tcPr>
            <w:tcW w:type="dxa" w:w="2304"/>
            <w:vAlign w:val="center"/>
            <w:tcMar>
              <w:top w:w="80" w:type="dxa"/>
              <w:start w:w="120" w:type="dxa"/>
              <w:bottom w:w="80" w:type="dxa"/>
              <w:end w:w="120" w:type="dxa"/>
            </w:tcMar>
          </w:tcPr>
          <w:p>
            <w:pPr>
              <w:spacing w:after="0"/>
            </w:pPr>
            <w:r>
              <w:rPr>
                <w:rFonts w:ascii="Calibri" w:hAnsi="Calibri"/>
                <w:sz w:val="18"/>
              </w:rPr>
              <w:t>Sanitize readiness at database boundary</w:t>
            </w:r>
          </w:p>
        </w:tc>
        <w:tc>
          <w:tcPr>
            <w:tcW w:type="dxa" w:w="3528"/>
            <w:vAlign w:val="center"/>
            <w:tcMar>
              <w:top w:w="80" w:type="dxa"/>
              <w:start w:w="120" w:type="dxa"/>
              <w:bottom w:w="80" w:type="dxa"/>
              <w:end w:w="120" w:type="dxa"/>
            </w:tcMar>
          </w:tcPr>
          <w:p>
            <w:pPr>
              <w:spacing w:after="0"/>
            </w:pPr>
            <w:r>
              <w:rPr>
                <w:rFonts w:ascii="Calibri" w:hAnsi="Calibri"/>
                <w:sz w:val="18"/>
              </w:rPr>
              <w:t>Site users need outcomes, not confidential evidence</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D-006</w:t>
            </w:r>
          </w:p>
        </w:tc>
        <w:tc>
          <w:tcPr>
            <w:tcW w:type="dxa" w:w="1296"/>
            <w:shd w:fill="F2F4F7"/>
            <w:vAlign w:val="center"/>
            <w:tcMar>
              <w:top w:w="80" w:type="dxa"/>
              <w:start w:w="120" w:type="dxa"/>
              <w:bottom w:w="80" w:type="dxa"/>
              <w:end w:w="120" w:type="dxa"/>
            </w:tcMar>
          </w:tcPr>
          <w:p>
            <w:pPr>
              <w:spacing w:after="0"/>
            </w:pPr>
            <w:r>
              <w:rPr>
                <w:rFonts w:ascii="Calibri" w:hAnsi="Calibri"/>
                <w:sz w:val="18"/>
              </w:rPr>
              <w:t>23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Bundle Slices 0 and 1 for remote dev</w:t>
            </w:r>
          </w:p>
        </w:tc>
        <w:tc>
          <w:tcPr>
            <w:tcW w:type="dxa" w:w="3528"/>
            <w:shd w:fill="F2F4F7"/>
            <w:vAlign w:val="center"/>
            <w:tcMar>
              <w:top w:w="80" w:type="dxa"/>
              <w:start w:w="120" w:type="dxa"/>
              <w:bottom w:w="80" w:type="dxa"/>
              <w:end w:w="120" w:type="dxa"/>
            </w:tcMar>
          </w:tcPr>
          <w:p>
            <w:pPr>
              <w:spacing w:after="0"/>
            </w:pPr>
            <w:r>
              <w:rPr>
                <w:rFonts w:ascii="Calibri" w:hAnsi="Calibri"/>
                <w:sz w:val="18"/>
              </w:rPr>
              <w:t>Deploy the contract with its verified consumer</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D-007</w:t>
            </w:r>
          </w:p>
        </w:tc>
        <w:tc>
          <w:tcPr>
            <w:tcW w:type="dxa" w:w="1296"/>
            <w:vAlign w:val="center"/>
            <w:tcMar>
              <w:top w:w="80" w:type="dxa"/>
              <w:start w:w="120" w:type="dxa"/>
              <w:bottom w:w="80" w:type="dxa"/>
              <w:end w:w="120" w:type="dxa"/>
            </w:tcMar>
          </w:tcPr>
          <w:p>
            <w:pPr>
              <w:spacing w:after="0"/>
            </w:pPr>
            <w:r>
              <w:rPr>
                <w:rFonts w:ascii="Calibri" w:hAnsi="Calibri"/>
                <w:sz w:val="18"/>
              </w:rPr>
              <w:t>23 Aug 2026</w:t>
            </w:r>
          </w:p>
        </w:tc>
        <w:tc>
          <w:tcPr>
            <w:tcW w:type="dxa" w:w="2304"/>
            <w:vAlign w:val="center"/>
            <w:tcMar>
              <w:top w:w="80" w:type="dxa"/>
              <w:start w:w="120" w:type="dxa"/>
              <w:bottom w:w="80" w:type="dxa"/>
              <w:end w:w="120" w:type="dxa"/>
            </w:tcMar>
          </w:tcPr>
          <w:p>
            <w:pPr>
              <w:spacing w:after="0"/>
            </w:pPr>
            <w:r>
              <w:rPr>
                <w:rFonts w:ascii="Calibri" w:hAnsi="Calibri"/>
                <w:sz w:val="18"/>
              </w:rPr>
              <w:t>No remote demo fallback</w:t>
            </w:r>
          </w:p>
        </w:tc>
        <w:tc>
          <w:tcPr>
            <w:tcW w:type="dxa" w:w="3528"/>
            <w:vAlign w:val="center"/>
            <w:tcMar>
              <w:top w:w="80" w:type="dxa"/>
              <w:start w:w="120" w:type="dxa"/>
              <w:bottom w:w="80" w:type="dxa"/>
              <w:end w:w="120" w:type="dxa"/>
            </w:tcMar>
          </w:tcPr>
          <w:p>
            <w:pPr>
              <w:spacing w:after="0"/>
            </w:pPr>
            <w:r>
              <w:rPr>
                <w:rFonts w:ascii="Calibri" w:hAnsi="Calibri"/>
                <w:sz w:val="18"/>
              </w:rPr>
              <w:t>Missing reads cannot create operational records</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D-008</w:t>
            </w:r>
          </w:p>
        </w:tc>
        <w:tc>
          <w:tcPr>
            <w:tcW w:type="dxa" w:w="1296"/>
            <w:shd w:fill="F2F4F7"/>
            <w:vAlign w:val="center"/>
            <w:tcMar>
              <w:top w:w="80" w:type="dxa"/>
              <w:start w:w="120" w:type="dxa"/>
              <w:bottom w:w="80" w:type="dxa"/>
              <w:end w:w="120" w:type="dxa"/>
            </w:tcMar>
          </w:tcPr>
          <w:p>
            <w:pPr>
              <w:spacing w:after="0"/>
            </w:pPr>
            <w:r>
              <w:rPr>
                <w:rFonts w:ascii="Calibri" w:hAnsi="Calibri"/>
                <w:sz w:val="18"/>
              </w:rPr>
              <w:t>23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Atomic server confirmation</w:t>
            </w:r>
          </w:p>
        </w:tc>
        <w:tc>
          <w:tcPr>
            <w:tcW w:type="dxa" w:w="3528"/>
            <w:shd w:fill="F2F4F7"/>
            <w:vAlign w:val="center"/>
            <w:tcMar>
              <w:top w:w="80" w:type="dxa"/>
              <w:start w:w="120" w:type="dxa"/>
              <w:bottom w:w="80" w:type="dxa"/>
              <w:end w:w="120" w:type="dxa"/>
            </w:tcMar>
          </w:tcPr>
          <w:p>
            <w:pPr>
              <w:spacing w:after="0"/>
            </w:pPr>
            <w:r>
              <w:rPr>
                <w:rFonts w:ascii="Calibri" w:hAnsi="Calibri"/>
                <w:sz w:val="18"/>
              </w:rPr>
              <w:t>Prevent stale UI self-certification</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D-009</w:t>
            </w:r>
          </w:p>
        </w:tc>
        <w:tc>
          <w:tcPr>
            <w:tcW w:type="dxa" w:w="1296"/>
            <w:vAlign w:val="center"/>
            <w:tcMar>
              <w:top w:w="80" w:type="dxa"/>
              <w:start w:w="120" w:type="dxa"/>
              <w:bottom w:w="80" w:type="dxa"/>
              <w:end w:w="120" w:type="dxa"/>
            </w:tcMar>
          </w:tcPr>
          <w:p>
            <w:pPr>
              <w:spacing w:after="0"/>
            </w:pPr>
            <w:r>
              <w:rPr>
                <w:rFonts w:ascii="Calibri" w:hAnsi="Calibri"/>
                <w:sz w:val="18"/>
              </w:rPr>
              <w:t>23 Aug 2026</w:t>
            </w:r>
          </w:p>
        </w:tc>
        <w:tc>
          <w:tcPr>
            <w:tcW w:type="dxa" w:w="2304"/>
            <w:vAlign w:val="center"/>
            <w:tcMar>
              <w:top w:w="80" w:type="dxa"/>
              <w:start w:w="120" w:type="dxa"/>
              <w:bottom w:w="80" w:type="dxa"/>
              <w:end w:w="120" w:type="dxa"/>
            </w:tcMar>
          </w:tcPr>
          <w:p>
            <w:pPr>
              <w:spacing w:after="0"/>
            </w:pPr>
            <w:r>
              <w:rPr>
                <w:rFonts w:ascii="Calibri" w:hAnsi="Calibri"/>
                <w:sz w:val="18"/>
              </w:rPr>
              <w:t>Credentials outside Git and DOCX</w:t>
            </w:r>
          </w:p>
        </w:tc>
        <w:tc>
          <w:tcPr>
            <w:tcW w:type="dxa" w:w="3528"/>
            <w:vAlign w:val="center"/>
            <w:tcMar>
              <w:top w:w="80" w:type="dxa"/>
              <w:start w:w="120" w:type="dxa"/>
              <w:bottom w:w="80" w:type="dxa"/>
              <w:end w:w="120" w:type="dxa"/>
            </w:tcMar>
          </w:tcPr>
          <w:p>
            <w:pPr>
              <w:spacing w:after="0"/>
            </w:pPr>
            <w:r>
              <w:rPr>
                <w:rFonts w:ascii="Calibri" w:hAnsi="Calibri"/>
                <w:sz w:val="18"/>
              </w:rPr>
              <w:t>Controlled UAT handoff</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D-010</w:t>
            </w:r>
          </w:p>
        </w:tc>
        <w:tc>
          <w:tcPr>
            <w:tcW w:type="dxa" w:w="1296"/>
            <w:shd w:fill="F2F4F7"/>
            <w:vAlign w:val="center"/>
            <w:tcMar>
              <w:top w:w="80" w:type="dxa"/>
              <w:start w:w="120" w:type="dxa"/>
              <w:bottom w:w="80" w:type="dxa"/>
              <w:end w:w="120" w:type="dxa"/>
            </w:tcMar>
          </w:tcPr>
          <w:p>
            <w:pPr>
              <w:spacing w:after="0"/>
            </w:pPr>
            <w:r>
              <w:rPr>
                <w:rFonts w:ascii="Calibri" w:hAnsi="Calibri"/>
                <w:sz w:val="18"/>
              </w:rPr>
              <w:t>23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Atomic assignment re-evaluation and short-lived trigger marker</w:t>
            </w:r>
          </w:p>
        </w:tc>
        <w:tc>
          <w:tcPr>
            <w:tcW w:type="dxa" w:w="3528"/>
            <w:shd w:fill="F2F4F7"/>
            <w:vAlign w:val="center"/>
            <w:tcMar>
              <w:top w:w="80" w:type="dxa"/>
              <w:start w:w="120" w:type="dxa"/>
              <w:bottom w:w="80" w:type="dxa"/>
              <w:end w:w="120" w:type="dxa"/>
            </w:tcMar>
          </w:tcPr>
          <w:p>
            <w:pPr>
              <w:spacing w:after="0"/>
            </w:pPr>
            <w:r>
              <w:rPr>
                <w:rFonts w:ascii="Calibri" w:hAnsi="Calibri"/>
                <w:sz w:val="18"/>
              </w:rPr>
              <w:t>Prevent stale decisions and direct-write bypass</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D-011</w:t>
            </w:r>
          </w:p>
        </w:tc>
        <w:tc>
          <w:tcPr>
            <w:tcW w:type="dxa" w:w="1296"/>
            <w:vAlign w:val="center"/>
            <w:tcMar>
              <w:top w:w="80" w:type="dxa"/>
              <w:start w:w="120" w:type="dxa"/>
              <w:bottom w:w="80" w:type="dxa"/>
              <w:end w:w="120" w:type="dxa"/>
            </w:tcMar>
          </w:tcPr>
          <w:p>
            <w:pPr>
              <w:spacing w:after="0"/>
            </w:pPr>
            <w:r>
              <w:rPr>
                <w:rFonts w:ascii="Calibri" w:hAnsi="Calibri"/>
                <w:sz w:val="18"/>
              </w:rPr>
              <w:t>24 Aug 2026</w:t>
            </w:r>
          </w:p>
        </w:tc>
        <w:tc>
          <w:tcPr>
            <w:tcW w:type="dxa" w:w="2304"/>
            <w:vAlign w:val="center"/>
            <w:tcMar>
              <w:top w:w="80" w:type="dxa"/>
              <w:start w:w="120" w:type="dxa"/>
              <w:bottom w:w="80" w:type="dxa"/>
              <w:end w:w="120" w:type="dxa"/>
            </w:tcMar>
          </w:tcPr>
          <w:p>
            <w:pPr>
              <w:spacing w:after="0"/>
            </w:pPr>
            <w:r>
              <w:rPr>
                <w:rFonts w:ascii="Calibri" w:hAnsi="Calibri"/>
                <w:sz w:val="18"/>
              </w:rPr>
              <w:t>Native foundation before OCR logic</w:t>
            </w:r>
          </w:p>
        </w:tc>
        <w:tc>
          <w:tcPr>
            <w:tcW w:type="dxa" w:w="3528"/>
            <w:vAlign w:val="center"/>
            <w:tcMar>
              <w:top w:w="80" w:type="dxa"/>
              <w:start w:w="120" w:type="dxa"/>
              <w:bottom w:w="80" w:type="dxa"/>
              <w:end w:w="120" w:type="dxa"/>
            </w:tcMar>
          </w:tcPr>
          <w:p>
            <w:pPr>
              <w:spacing w:after="0"/>
            </w:pPr>
            <w:r>
              <w:rPr>
                <w:rFonts w:ascii="Calibri" w:hAnsi="Calibri"/>
                <w:sz w:val="18"/>
              </w:rPr>
              <w:t>Control identity, privacy, and build evidence first</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D-012</w:t>
            </w:r>
          </w:p>
        </w:tc>
        <w:tc>
          <w:tcPr>
            <w:tcW w:type="dxa" w:w="1296"/>
            <w:shd w:fill="F2F4F7"/>
            <w:vAlign w:val="center"/>
            <w:tcMar>
              <w:top w:w="80" w:type="dxa"/>
              <w:start w:w="120" w:type="dxa"/>
              <w:bottom w:w="80" w:type="dxa"/>
              <w:end w:w="120" w:type="dxa"/>
            </w:tcMar>
          </w:tcPr>
          <w:p>
            <w:pPr>
              <w:spacing w:after="0"/>
            </w:pPr>
            <w:r>
              <w:rPr>
                <w:rFonts w:ascii="Calibri" w:hAnsi="Calibri"/>
                <w:sz w:val="18"/>
              </w:rPr>
              <w:t>24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Native on-device OCR behind strict contract</w:t>
            </w:r>
          </w:p>
        </w:tc>
        <w:tc>
          <w:tcPr>
            <w:tcW w:type="dxa" w:w="3528"/>
            <w:shd w:fill="F2F4F7"/>
            <w:vAlign w:val="center"/>
            <w:tcMar>
              <w:top w:w="80" w:type="dxa"/>
              <w:start w:w="120" w:type="dxa"/>
              <w:bottom w:w="80" w:type="dxa"/>
              <w:end w:w="120" w:type="dxa"/>
            </w:tcMar>
          </w:tcPr>
          <w:p>
            <w:pPr>
              <w:spacing w:after="0"/>
            </w:pPr>
            <w:r>
              <w:rPr>
                <w:rFonts w:ascii="Calibri" w:hAnsi="Calibri"/>
                <w:sz w:val="18"/>
              </w:rPr>
              <w:t>Private bounded evidence and offline capability</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vAlign w:val="center"/>
            <w:tcMar>
              <w:top w:w="80" w:type="dxa"/>
              <w:start w:w="120" w:type="dxa"/>
              <w:bottom w:w="80" w:type="dxa"/>
              <w:end w:w="120" w:type="dxa"/>
            </w:tcMar>
          </w:tcPr>
          <w:p>
            <w:pPr>
              <w:spacing w:after="0"/>
            </w:pPr>
            <w:r>
              <w:rPr>
                <w:rFonts w:ascii="Calibri" w:hAnsi="Calibri"/>
                <w:sz w:val="18"/>
              </w:rPr>
              <w:t>D-013</w:t>
            </w:r>
          </w:p>
        </w:tc>
        <w:tc>
          <w:tcPr>
            <w:tcW w:type="dxa" w:w="1296"/>
            <w:vAlign w:val="center"/>
            <w:tcMar>
              <w:top w:w="80" w:type="dxa"/>
              <w:start w:w="120" w:type="dxa"/>
              <w:bottom w:w="80" w:type="dxa"/>
              <w:end w:w="120" w:type="dxa"/>
            </w:tcMar>
          </w:tcPr>
          <w:p>
            <w:pPr>
              <w:spacing w:after="0"/>
            </w:pPr>
            <w:r>
              <w:rPr>
                <w:rFonts w:ascii="Calibri" w:hAnsi="Calibri"/>
                <w:sz w:val="18"/>
              </w:rPr>
              <w:t>24 Aug 2026</w:t>
            </w:r>
          </w:p>
        </w:tc>
        <w:tc>
          <w:tcPr>
            <w:tcW w:type="dxa" w:w="2304"/>
            <w:vAlign w:val="center"/>
            <w:tcMar>
              <w:top w:w="80" w:type="dxa"/>
              <w:start w:w="120" w:type="dxa"/>
              <w:bottom w:w="80" w:type="dxa"/>
              <w:end w:w="120" w:type="dxa"/>
            </w:tcMar>
          </w:tcPr>
          <w:p>
            <w:pPr>
              <w:spacing w:after="0"/>
            </w:pPr>
            <w:r>
              <w:rPr>
                <w:rFonts w:ascii="Calibri" w:hAnsi="Calibri"/>
                <w:sz w:val="18"/>
              </w:rPr>
              <w:t>OCR remains human-reviewed evidence</w:t>
            </w:r>
          </w:p>
        </w:tc>
        <w:tc>
          <w:tcPr>
            <w:tcW w:type="dxa" w:w="3528"/>
            <w:vAlign w:val="center"/>
            <w:tcMar>
              <w:top w:w="80" w:type="dxa"/>
              <w:start w:w="120" w:type="dxa"/>
              <w:bottom w:w="80" w:type="dxa"/>
              <w:end w:w="120" w:type="dxa"/>
            </w:tcMar>
          </w:tcPr>
          <w:p>
            <w:pPr>
              <w:spacing w:after="0"/>
            </w:pPr>
            <w:r>
              <w:rPr>
                <w:rFonts w:ascii="Calibri" w:hAnsi="Calibri"/>
                <w:sz w:val="18"/>
              </w:rPr>
              <w:t>Prevent recognition errors becoming authoritative data</w:t>
            </w:r>
          </w:p>
        </w:tc>
        <w:tc>
          <w:tcPr>
            <w:tcW w:type="dxa" w:w="1368"/>
            <w:vAlign w:val="center"/>
            <w:tcMar>
              <w:top w:w="80" w:type="dxa"/>
              <w:start w:w="120" w:type="dxa"/>
              <w:bottom w:w="80" w:type="dxa"/>
              <w:end w:w="120" w:type="dxa"/>
            </w:tcMar>
          </w:tcPr>
          <w:p>
            <w:pPr>
              <w:spacing w:after="0"/>
            </w:pPr>
            <w:r>
              <w:rPr>
                <w:rFonts w:ascii="Calibri" w:hAnsi="Calibri"/>
                <w:sz w:val="18"/>
              </w:rPr>
              <w:t>Accepted</w:t>
            </w:r>
          </w:p>
        </w:tc>
      </w:tr>
      <w:tr>
        <w:trPr>
          <w:cantSplit/>
        </w:trPr>
        <w:tc>
          <w:tcPr>
            <w:tcW w:type="dxa" w:w="864"/>
            <w:shd w:fill="F2F4F7"/>
            <w:vAlign w:val="center"/>
            <w:tcMar>
              <w:top w:w="80" w:type="dxa"/>
              <w:start w:w="120" w:type="dxa"/>
              <w:bottom w:w="80" w:type="dxa"/>
              <w:end w:w="120" w:type="dxa"/>
            </w:tcMar>
          </w:tcPr>
          <w:p>
            <w:pPr>
              <w:spacing w:after="0"/>
            </w:pPr>
            <w:r>
              <w:rPr>
                <w:rFonts w:ascii="Calibri" w:hAnsi="Calibri"/>
                <w:sz w:val="18"/>
              </w:rPr>
              <w:t>D-014</w:t>
            </w:r>
          </w:p>
        </w:tc>
        <w:tc>
          <w:tcPr>
            <w:tcW w:type="dxa" w:w="1296"/>
            <w:shd w:fill="F2F4F7"/>
            <w:vAlign w:val="center"/>
            <w:tcMar>
              <w:top w:w="80" w:type="dxa"/>
              <w:start w:w="120" w:type="dxa"/>
              <w:bottom w:w="80" w:type="dxa"/>
              <w:end w:w="120" w:type="dxa"/>
            </w:tcMar>
          </w:tcPr>
          <w:p>
            <w:pPr>
              <w:spacing w:after="0"/>
            </w:pPr>
            <w:r>
              <w:rPr>
                <w:rFonts w:ascii="Calibri" w:hAnsi="Calibri"/>
                <w:sz w:val="18"/>
              </w:rPr>
              <w:t>24 Aug 2026</w:t>
            </w:r>
          </w:p>
        </w:tc>
        <w:tc>
          <w:tcPr>
            <w:tcW w:type="dxa" w:w="2304"/>
            <w:shd w:fill="F2F4F7"/>
            <w:vAlign w:val="center"/>
            <w:tcMar>
              <w:top w:w="80" w:type="dxa"/>
              <w:start w:w="120" w:type="dxa"/>
              <w:bottom w:w="80" w:type="dxa"/>
              <w:end w:w="120" w:type="dxa"/>
            </w:tcMar>
          </w:tcPr>
          <w:p>
            <w:pPr>
              <w:spacing w:after="0"/>
            </w:pPr>
            <w:r>
              <w:rPr>
                <w:rFonts w:ascii="Calibri" w:hAnsi="Calibri"/>
                <w:sz w:val="18"/>
              </w:rPr>
              <w:t>Private alias-only executable physical UAT</w:t>
            </w:r>
          </w:p>
        </w:tc>
        <w:tc>
          <w:tcPr>
            <w:tcW w:type="dxa" w:w="3528"/>
            <w:shd w:fill="F2F4F7"/>
            <w:vAlign w:val="center"/>
            <w:tcMar>
              <w:top w:w="80" w:type="dxa"/>
              <w:start w:w="120" w:type="dxa"/>
              <w:bottom w:w="80" w:type="dxa"/>
              <w:end w:w="120" w:type="dxa"/>
            </w:tcMar>
          </w:tcPr>
          <w:p>
            <w:pPr>
              <w:spacing w:after="0"/>
            </w:pPr>
            <w:r>
              <w:rPr>
                <w:rFonts w:ascii="Calibri" w:hAnsi="Calibri"/>
                <w:sz w:val="18"/>
              </w:rPr>
              <w:t>Prevent false certification and sensitive-data leakage</w:t>
            </w:r>
          </w:p>
        </w:tc>
        <w:tc>
          <w:tcPr>
            <w:tcW w:type="dxa" w:w="1368"/>
            <w:shd w:fill="F2F4F7"/>
            <w:vAlign w:val="center"/>
            <w:tcMar>
              <w:top w:w="80" w:type="dxa"/>
              <w:start w:w="120" w:type="dxa"/>
              <w:bottom w:w="80" w:type="dxa"/>
              <w:end w:w="120" w:type="dxa"/>
            </w:tcMar>
          </w:tcPr>
          <w:p>
            <w:pPr>
              <w:spacing w:after="0"/>
            </w:pPr>
            <w:r>
              <w:rPr>
                <w:rFonts w:ascii="Calibri" w:hAnsi="Calibri"/>
                <w:sz w:val="18"/>
              </w:rPr>
              <w:t>Accepted</w:t>
            </w:r>
          </w:p>
        </w:tc>
      </w:tr>
    </w:tbl>
    <w:p>
      <w:pPr>
        <w:spacing w:after="0"/>
      </w:pPr>
    </w:p>
    <w:p>
      <w:pPr>
        <w:pStyle w:val="Heading1"/>
      </w:pPr>
      <w:r>
        <w:t>8. Evidence register</w:t>
      </w:r>
    </w:p>
    <w:tbl>
      <w:tblPr>
        <w:tblStyle w:val="TableGrid"/>
        <w:tblW w:type="dxa" w:w="9360"/>
        <w:tblLayout w:type="fixed"/>
        <w:tblLook w:firstColumn="1" w:firstRow="1" w:lastColumn="0" w:lastRow="0" w:noHBand="0" w:noVBand="1" w:val="04A0"/>
        <w:jc w:val="left"/>
        <w:tblInd w:w="120" w:type="dxa"/>
      </w:tblPr>
      <w:tblGrid>
        <w:gridCol w:w="1872"/>
        <w:gridCol w:w="1872"/>
        <w:gridCol w:w="1872"/>
        <w:gridCol w:w="1872"/>
        <w:gridCol w:w="1872"/>
      </w:tblGrid>
      <w:tr>
        <w:trPr>
          <w:tblHeader w:val="true"/>
        </w:trPr>
        <w:tc>
          <w:tcPr>
            <w:tcW w:type="dxa" w:w="1008"/>
            <w:vAlign w:val="center"/>
            <w:tcMar>
              <w:top w:w="80" w:type="dxa"/>
              <w:start w:w="120" w:type="dxa"/>
              <w:bottom w:w="80" w:type="dxa"/>
              <w:end w:w="120" w:type="dxa"/>
            </w:tcMar>
            <w:shd w:fill="17365D"/>
          </w:tcPr>
          <w:p>
            <w:r>
              <w:rPr>
                <w:rFonts w:ascii="Calibri" w:hAnsi="Calibri"/>
                <w:b/>
                <w:color w:val="FFFFFF"/>
                <w:sz w:val="19"/>
              </w:rPr>
              <w:t>ID</w:t>
            </w:r>
          </w:p>
        </w:tc>
        <w:tc>
          <w:tcPr>
            <w:tcW w:type="dxa" w:w="792"/>
            <w:vAlign w:val="center"/>
            <w:tcMar>
              <w:top w:w="80" w:type="dxa"/>
              <w:start w:w="120" w:type="dxa"/>
              <w:bottom w:w="80" w:type="dxa"/>
              <w:end w:w="120" w:type="dxa"/>
            </w:tcMar>
            <w:shd w:fill="17365D"/>
          </w:tcPr>
          <w:p>
            <w:r>
              <w:rPr>
                <w:rFonts w:ascii="Calibri" w:hAnsi="Calibri"/>
                <w:b/>
                <w:color w:val="FFFFFF"/>
                <w:sz w:val="19"/>
              </w:rPr>
              <w:t>Slice</w:t>
            </w:r>
          </w:p>
        </w:tc>
        <w:tc>
          <w:tcPr>
            <w:tcW w:type="dxa" w:w="4320"/>
            <w:vAlign w:val="center"/>
            <w:tcMar>
              <w:top w:w="80" w:type="dxa"/>
              <w:start w:w="120" w:type="dxa"/>
              <w:bottom w:w="80" w:type="dxa"/>
              <w:end w:w="120" w:type="dxa"/>
            </w:tcMar>
            <w:shd w:fill="17365D"/>
          </w:tcPr>
          <w:p>
            <w:r>
              <w:rPr>
                <w:rFonts w:ascii="Calibri" w:hAnsi="Calibri"/>
                <w:b/>
                <w:color w:val="FFFFFF"/>
                <w:sz w:val="19"/>
              </w:rPr>
              <w:t>Evidence</w:t>
            </w:r>
          </w:p>
        </w:tc>
        <w:tc>
          <w:tcPr>
            <w:tcW w:type="dxa" w:w="1224"/>
            <w:vAlign w:val="center"/>
            <w:tcMar>
              <w:top w:w="80" w:type="dxa"/>
              <w:start w:w="120" w:type="dxa"/>
              <w:bottom w:w="80" w:type="dxa"/>
              <w:end w:w="120" w:type="dxa"/>
            </w:tcMar>
            <w:shd w:fill="17365D"/>
          </w:tcPr>
          <w:p>
            <w:r>
              <w:rPr>
                <w:rFonts w:ascii="Calibri" w:hAnsi="Calibri"/>
                <w:b/>
                <w:color w:val="FFFFFF"/>
                <w:sz w:val="19"/>
              </w:rPr>
              <w:t>Status</w:t>
            </w:r>
          </w:p>
        </w:tc>
        <w:tc>
          <w:tcPr>
            <w:tcW w:type="dxa" w:w="2016"/>
            <w:vAlign w:val="center"/>
            <w:tcMar>
              <w:top w:w="80" w:type="dxa"/>
              <w:start w:w="120" w:type="dxa"/>
              <w:bottom w:w="80" w:type="dxa"/>
              <w:end w:w="120" w:type="dxa"/>
            </w:tcMar>
            <w:shd w:fill="17365D"/>
          </w:tcPr>
          <w:p>
            <w:r>
              <w:rPr>
                <w:rFonts w:ascii="Calibri" w:hAnsi="Calibri"/>
                <w:b/>
                <w:color w:val="FFFFFF"/>
                <w:sz w:val="19"/>
              </w:rPr>
              <w:t>Reference</w:t>
            </w:r>
          </w:p>
        </w:tc>
      </w:tr>
      <w:tr>
        <w:trPr>
          <w:cantSplit/>
        </w:trPr>
        <w:tc>
          <w:tcPr>
            <w:tcW w:type="dxa" w:w="1008"/>
            <w:vAlign w:val="center"/>
            <w:tcMar>
              <w:top w:w="80" w:type="dxa"/>
              <w:start w:w="120" w:type="dxa"/>
              <w:bottom w:w="80" w:type="dxa"/>
              <w:end w:w="120" w:type="dxa"/>
            </w:tcMar>
          </w:tcPr>
          <w:p>
            <w:pPr>
              <w:spacing w:after="0"/>
            </w:pPr>
            <w:r>
              <w:rPr>
                <w:rFonts w:ascii="Calibri" w:hAnsi="Calibri"/>
                <w:sz w:val="18"/>
              </w:rPr>
              <w:t>E-001</w:t>
            </w:r>
          </w:p>
        </w:tc>
        <w:tc>
          <w:tcPr>
            <w:tcW w:type="dxa" w:w="792"/>
            <w:vAlign w:val="center"/>
            <w:tcMar>
              <w:top w:w="80" w:type="dxa"/>
              <w:start w:w="120" w:type="dxa"/>
              <w:bottom w:w="80" w:type="dxa"/>
              <w:end w:w="120" w:type="dxa"/>
            </w:tcMar>
          </w:tcPr>
          <w:p>
            <w:pPr>
              <w:spacing w:after="0"/>
            </w:pPr>
            <w:r>
              <w:rPr>
                <w:rFonts w:ascii="Calibri" w:hAnsi="Calibri"/>
                <w:sz w:val="18"/>
              </w:rPr>
              <w:t>0</w:t>
            </w:r>
          </w:p>
        </w:tc>
        <w:tc>
          <w:tcPr>
            <w:tcW w:type="dxa" w:w="4320"/>
            <w:vAlign w:val="center"/>
            <w:tcMar>
              <w:top w:w="80" w:type="dxa"/>
              <w:start w:w="120" w:type="dxa"/>
              <w:bottom w:w="80" w:type="dxa"/>
              <w:end w:w="120" w:type="dxa"/>
            </w:tcMar>
          </w:tcPr>
          <w:p>
            <w:pPr>
              <w:spacing w:after="0"/>
            </w:pPr>
            <w:r>
              <w:rPr>
                <w:rFonts w:ascii="Calibri" w:hAnsi="Calibri"/>
                <w:sz w:val="18"/>
              </w:rPr>
              <w:t>Readiness rule catalogue and evaluator tests</w:t>
            </w:r>
          </w:p>
        </w:tc>
        <w:tc>
          <w:tcPr>
            <w:tcW w:type="dxa" w:w="1224"/>
            <w:vAlign w:val="center"/>
            <w:tcMar>
              <w:top w:w="80" w:type="dxa"/>
              <w:start w:w="120" w:type="dxa"/>
              <w:bottom w:w="80" w:type="dxa"/>
              <w:end w:w="120" w:type="dxa"/>
            </w:tcMar>
          </w:tcPr>
          <w:p>
            <w:pPr>
              <w:spacing w:after="0"/>
            </w:pPr>
            <w:r>
              <w:rPr>
                <w:rFonts w:ascii="Calibri" w:hAnsi="Calibri"/>
                <w:sz w:val="18"/>
              </w:rPr>
              <w:t>Partial</w:t>
            </w:r>
          </w:p>
        </w:tc>
        <w:tc>
          <w:tcPr>
            <w:tcW w:type="dxa" w:w="2016"/>
            <w:vAlign w:val="center"/>
            <w:tcMar>
              <w:top w:w="80" w:type="dxa"/>
              <w:start w:w="120" w:type="dxa"/>
              <w:bottom w:w="80" w:type="dxa"/>
              <w:end w:w="120" w:type="dxa"/>
            </w:tcMar>
          </w:tcPr>
          <w:p>
            <w:pPr>
              <w:spacing w:after="0"/>
            </w:pPr>
            <w:r>
              <w:rPr>
                <w:rFonts w:ascii="Calibri" w:hAnsi="Calibri"/>
                <w:sz w:val="18"/>
              </w:rPr>
              <w:t>12/12 policy tests pass; 48 RPC assertions await database execution</w:t>
            </w:r>
          </w:p>
        </w:tc>
      </w:tr>
      <w:tr>
        <w:trPr>
          <w:cantSplit/>
        </w:trPr>
        <w:tc>
          <w:tcPr>
            <w:tcW w:type="dxa" w:w="1008"/>
            <w:shd w:fill="F2F4F7"/>
            <w:vAlign w:val="center"/>
            <w:tcMar>
              <w:top w:w="80" w:type="dxa"/>
              <w:start w:w="120" w:type="dxa"/>
              <w:bottom w:w="80" w:type="dxa"/>
              <w:end w:w="120" w:type="dxa"/>
            </w:tcMar>
          </w:tcPr>
          <w:p>
            <w:pPr>
              <w:spacing w:after="0"/>
            </w:pPr>
            <w:r>
              <w:rPr>
                <w:rFonts w:ascii="Calibri" w:hAnsi="Calibri"/>
                <w:sz w:val="18"/>
              </w:rPr>
              <w:t>E-002</w:t>
            </w:r>
          </w:p>
        </w:tc>
        <w:tc>
          <w:tcPr>
            <w:tcW w:type="dxa" w:w="792"/>
            <w:shd w:fill="F2F4F7"/>
            <w:vAlign w:val="center"/>
            <w:tcMar>
              <w:top w:w="80" w:type="dxa"/>
              <w:start w:w="120" w:type="dxa"/>
              <w:bottom w:w="80" w:type="dxa"/>
              <w:end w:w="120" w:type="dxa"/>
            </w:tcMar>
          </w:tcPr>
          <w:p>
            <w:pPr>
              <w:spacing w:after="0"/>
            </w:pPr>
            <w:r>
              <w:rPr>
                <w:rFonts w:ascii="Calibri" w:hAnsi="Calibri"/>
                <w:sz w:val="18"/>
              </w:rPr>
              <w:t>1</w:t>
            </w:r>
          </w:p>
        </w:tc>
        <w:tc>
          <w:tcPr>
            <w:tcW w:type="dxa" w:w="4320"/>
            <w:shd w:fill="F2F4F7"/>
            <w:vAlign w:val="center"/>
            <w:tcMar>
              <w:top w:w="80" w:type="dxa"/>
              <w:start w:w="120" w:type="dxa"/>
              <w:bottom w:w="80" w:type="dxa"/>
              <w:end w:w="120" w:type="dxa"/>
            </w:tcMar>
          </w:tcPr>
          <w:p>
            <w:pPr>
              <w:spacing w:after="0"/>
            </w:pPr>
            <w:r>
              <w:rPr>
                <w:rFonts w:ascii="Calibri" w:hAnsi="Calibri"/>
                <w:sz w:val="18"/>
              </w:rPr>
              <w:t>Site Manager privacy, offline, component, and browser proof</w:t>
            </w:r>
          </w:p>
        </w:tc>
        <w:tc>
          <w:tcPr>
            <w:tcW w:type="dxa" w:w="1224"/>
            <w:shd w:fill="F2F4F7"/>
            <w:vAlign w:val="center"/>
            <w:tcMar>
              <w:top w:w="80" w:type="dxa"/>
              <w:start w:w="120" w:type="dxa"/>
              <w:bottom w:w="80" w:type="dxa"/>
              <w:end w:w="120" w:type="dxa"/>
            </w:tcMar>
          </w:tcPr>
          <w:p>
            <w:pPr>
              <w:spacing w:after="0"/>
            </w:pPr>
            <w:r>
              <w:rPr>
                <w:rFonts w:ascii="Calibri" w:hAnsi="Calibri"/>
                <w:sz w:val="18"/>
              </w:rPr>
              <w:t>Partial</w:t>
            </w:r>
          </w:p>
        </w:tc>
        <w:tc>
          <w:tcPr>
            <w:tcW w:type="dxa" w:w="2016"/>
            <w:shd w:fill="F2F4F7"/>
            <w:vAlign w:val="center"/>
            <w:tcMar>
              <w:top w:w="80" w:type="dxa"/>
              <w:start w:w="120" w:type="dxa"/>
              <w:bottom w:w="80" w:type="dxa"/>
              <w:end w:w="120" w:type="dxa"/>
            </w:tcMar>
          </w:tcPr>
          <w:p>
            <w:pPr>
              <w:spacing w:after="0"/>
            </w:pPr>
            <w:r>
              <w:rPr>
                <w:rFonts w:ascii="Calibri" w:hAnsi="Calibri"/>
                <w:sz w:val="18"/>
              </w:rPr>
              <w:t>22/22 focused tests, build, lint, and desktop/390 px pass; remote proof pending</w:t>
            </w:r>
          </w:p>
        </w:tc>
      </w:tr>
      <w:tr>
        <w:trPr>
          <w:cantSplit/>
        </w:trPr>
        <w:tc>
          <w:tcPr>
            <w:tcW w:type="dxa" w:w="1008"/>
            <w:vAlign w:val="center"/>
            <w:tcMar>
              <w:top w:w="80" w:type="dxa"/>
              <w:start w:w="120" w:type="dxa"/>
              <w:bottom w:w="80" w:type="dxa"/>
              <w:end w:w="120" w:type="dxa"/>
            </w:tcMar>
          </w:tcPr>
          <w:p>
            <w:pPr>
              <w:spacing w:after="0"/>
            </w:pPr>
            <w:r>
              <w:rPr>
                <w:rFonts w:ascii="Calibri" w:hAnsi="Calibri"/>
                <w:sz w:val="18"/>
              </w:rPr>
              <w:t>E-003</w:t>
            </w:r>
          </w:p>
        </w:tc>
        <w:tc>
          <w:tcPr>
            <w:tcW w:type="dxa" w:w="792"/>
            <w:vAlign w:val="center"/>
            <w:tcMar>
              <w:top w:w="80" w:type="dxa"/>
              <w:start w:w="120" w:type="dxa"/>
              <w:bottom w:w="80" w:type="dxa"/>
              <w:end w:w="120" w:type="dxa"/>
            </w:tcMar>
          </w:tcPr>
          <w:p>
            <w:pPr>
              <w:spacing w:after="0"/>
            </w:pPr>
            <w:r>
              <w:rPr>
                <w:rFonts w:ascii="Calibri" w:hAnsi="Calibri"/>
                <w:sz w:val="18"/>
              </w:rPr>
              <w:t>2</w:t>
            </w:r>
          </w:p>
        </w:tc>
        <w:tc>
          <w:tcPr>
            <w:tcW w:type="dxa" w:w="4320"/>
            <w:vAlign w:val="center"/>
            <w:tcMar>
              <w:top w:w="80" w:type="dxa"/>
              <w:start w:w="120" w:type="dxa"/>
              <w:bottom w:w="80" w:type="dxa"/>
              <w:end w:w="120" w:type="dxa"/>
            </w:tcMar>
          </w:tcPr>
          <w:p>
            <w:pPr>
              <w:spacing w:after="0"/>
            </w:pPr>
            <w:r>
              <w:rPr>
                <w:rFonts w:ascii="Calibri" w:hAnsi="Calibri"/>
                <w:sz w:val="18"/>
              </w:rPr>
              <w:t>Conflict, ranking, blocker, and audit tests</w:t>
            </w:r>
          </w:p>
        </w:tc>
        <w:tc>
          <w:tcPr>
            <w:tcW w:type="dxa" w:w="1224"/>
            <w:vAlign w:val="center"/>
            <w:tcMar>
              <w:top w:w="80" w:type="dxa"/>
              <w:start w:w="120" w:type="dxa"/>
              <w:bottom w:w="80" w:type="dxa"/>
              <w:end w:w="120" w:type="dxa"/>
            </w:tcMar>
          </w:tcPr>
          <w:p>
            <w:pPr>
              <w:spacing w:after="0"/>
            </w:pPr>
            <w:r>
              <w:rPr>
                <w:rFonts w:ascii="Calibri" w:hAnsi="Calibri"/>
                <w:sz w:val="18"/>
              </w:rPr>
              <w:t>Partial</w:t>
            </w:r>
          </w:p>
        </w:tc>
        <w:tc>
          <w:tcPr>
            <w:tcW w:type="dxa" w:w="2016"/>
            <w:vAlign w:val="center"/>
            <w:tcMar>
              <w:top w:w="80" w:type="dxa"/>
              <w:start w:w="120" w:type="dxa"/>
              <w:bottom w:w="80" w:type="dxa"/>
              <w:end w:w="120" w:type="dxa"/>
            </w:tcMar>
          </w:tcPr>
          <w:p>
            <w:pPr>
              <w:spacing w:after="0"/>
            </w:pPr>
            <w:r>
              <w:rPr>
                <w:rFonts w:ascii="Calibri" w:hAnsi="Calibri"/>
                <w:sz w:val="18"/>
              </w:rPr>
              <w:t>14/14 focused tests and security remediation pass; 30 pgTAP assertions await execution</w:t>
            </w:r>
          </w:p>
        </w:tc>
      </w:tr>
      <w:tr>
        <w:trPr>
          <w:cantSplit/>
        </w:trPr>
        <w:tc>
          <w:tcPr>
            <w:tcW w:type="dxa" w:w="1008"/>
            <w:shd w:fill="F2F4F7"/>
            <w:vAlign w:val="center"/>
            <w:tcMar>
              <w:top w:w="80" w:type="dxa"/>
              <w:start w:w="120" w:type="dxa"/>
              <w:bottom w:w="80" w:type="dxa"/>
              <w:end w:w="120" w:type="dxa"/>
            </w:tcMar>
          </w:tcPr>
          <w:p>
            <w:pPr>
              <w:spacing w:after="0"/>
            </w:pPr>
            <w:r>
              <w:rPr>
                <w:rFonts w:ascii="Calibri" w:hAnsi="Calibri"/>
                <w:sz w:val="18"/>
              </w:rPr>
              <w:t>E-004</w:t>
            </w:r>
          </w:p>
        </w:tc>
        <w:tc>
          <w:tcPr>
            <w:tcW w:type="dxa" w:w="792"/>
            <w:shd w:fill="F2F4F7"/>
            <w:vAlign w:val="center"/>
            <w:tcMar>
              <w:top w:w="80" w:type="dxa"/>
              <w:start w:w="120" w:type="dxa"/>
              <w:bottom w:w="80" w:type="dxa"/>
              <w:end w:w="120" w:type="dxa"/>
            </w:tcMar>
          </w:tcPr>
          <w:p>
            <w:pPr>
              <w:spacing w:after="0"/>
            </w:pPr>
            <w:r>
              <w:rPr>
                <w:rFonts w:ascii="Calibri" w:hAnsi="Calibri"/>
                <w:sz w:val="18"/>
              </w:rPr>
              <w:t>3</w:t>
            </w:r>
          </w:p>
        </w:tc>
        <w:tc>
          <w:tcPr>
            <w:tcW w:type="dxa" w:w="4320"/>
            <w:shd w:fill="F2F4F7"/>
            <w:vAlign w:val="center"/>
            <w:tcMar>
              <w:top w:w="80" w:type="dxa"/>
              <w:start w:w="120" w:type="dxa"/>
              <w:bottom w:w="80" w:type="dxa"/>
              <w:end w:w="120" w:type="dxa"/>
            </w:tcMar>
          </w:tcPr>
          <w:p>
            <w:pPr>
              <w:spacing w:after="0"/>
            </w:pPr>
            <w:r>
              <w:rPr>
                <w:rFonts w:ascii="Calibri" w:hAnsi="Calibri"/>
                <w:sz w:val="18"/>
              </w:rPr>
              <w:t>Cost reconciliation and RLS tests</w:t>
            </w:r>
          </w:p>
        </w:tc>
        <w:tc>
          <w:tcPr>
            <w:tcW w:type="dxa" w:w="1224"/>
            <w:shd w:fill="F2F4F7"/>
            <w:vAlign w:val="center"/>
            <w:tcMar>
              <w:top w:w="80" w:type="dxa"/>
              <w:start w:w="120" w:type="dxa"/>
              <w:bottom w:w="80" w:type="dxa"/>
              <w:end w:w="120" w:type="dxa"/>
            </w:tcMar>
          </w:tcPr>
          <w:p>
            <w:pPr>
              <w:spacing w:after="0"/>
            </w:pPr>
            <w:r>
              <w:rPr>
                <w:rFonts w:ascii="Calibri" w:hAnsi="Calibri"/>
                <w:sz w:val="18"/>
              </w:rPr>
              <w:t>Pending</w:t>
            </w:r>
          </w:p>
        </w:tc>
        <w:tc>
          <w:tcPr>
            <w:tcW w:type="dxa" w:w="2016"/>
            <w:shd w:fill="F2F4F7"/>
            <w:vAlign w:val="center"/>
            <w:tcMar>
              <w:top w:w="80" w:type="dxa"/>
              <w:start w:w="120" w:type="dxa"/>
              <w:bottom w:w="80" w:type="dxa"/>
              <w:end w:w="120" w:type="dxa"/>
            </w:tcMar>
          </w:tcPr>
          <w:p>
            <w:pPr>
              <w:spacing w:after="0"/>
            </w:pPr>
            <w:r>
              <w:rPr>
                <w:rFonts w:ascii="Calibri" w:hAnsi="Calibri"/>
                <w:sz w:val="18"/>
              </w:rPr>
              <w:t>To be recorded</w:t>
            </w:r>
          </w:p>
        </w:tc>
      </w:tr>
      <w:tr>
        <w:trPr>
          <w:cantSplit/>
        </w:trPr>
        <w:tc>
          <w:tcPr>
            <w:tcW w:type="dxa" w:w="1008"/>
            <w:vAlign w:val="center"/>
            <w:tcMar>
              <w:top w:w="80" w:type="dxa"/>
              <w:start w:w="120" w:type="dxa"/>
              <w:bottom w:w="80" w:type="dxa"/>
              <w:end w:w="120" w:type="dxa"/>
            </w:tcMar>
          </w:tcPr>
          <w:p>
            <w:pPr>
              <w:spacing w:after="0"/>
            </w:pPr>
            <w:r>
              <w:rPr>
                <w:rFonts w:ascii="Calibri" w:hAnsi="Calibri"/>
                <w:sz w:val="18"/>
              </w:rPr>
              <w:t>E-005</w:t>
            </w:r>
          </w:p>
        </w:tc>
        <w:tc>
          <w:tcPr>
            <w:tcW w:type="dxa" w:w="792"/>
            <w:vAlign w:val="center"/>
            <w:tcMar>
              <w:top w:w="80" w:type="dxa"/>
              <w:start w:w="120" w:type="dxa"/>
              <w:bottom w:w="80" w:type="dxa"/>
              <w:end w:w="120" w:type="dxa"/>
            </w:tcMar>
          </w:tcPr>
          <w:p>
            <w:pPr>
              <w:spacing w:after="0"/>
            </w:pPr>
            <w:r>
              <w:rPr>
                <w:rFonts w:ascii="Calibri" w:hAnsi="Calibri"/>
                <w:sz w:val="18"/>
              </w:rPr>
              <w:t>4</w:t>
            </w:r>
          </w:p>
        </w:tc>
        <w:tc>
          <w:tcPr>
            <w:tcW w:type="dxa" w:w="4320"/>
            <w:vAlign w:val="center"/>
            <w:tcMar>
              <w:top w:w="80" w:type="dxa"/>
              <w:start w:w="120" w:type="dxa"/>
              <w:bottom w:w="80" w:type="dxa"/>
              <w:end w:w="120" w:type="dxa"/>
            </w:tcMar>
          </w:tcPr>
          <w:p>
            <w:pPr>
              <w:spacing w:after="0"/>
            </w:pPr>
            <w:r>
              <w:rPr>
                <w:rFonts w:ascii="Calibri" w:hAnsi="Calibri"/>
                <w:sz w:val="18"/>
              </w:rPr>
              <w:t>KPI reconciliation and responsive browser proof</w:t>
            </w:r>
          </w:p>
        </w:tc>
        <w:tc>
          <w:tcPr>
            <w:tcW w:type="dxa" w:w="1224"/>
            <w:vAlign w:val="center"/>
            <w:tcMar>
              <w:top w:w="80" w:type="dxa"/>
              <w:start w:w="120" w:type="dxa"/>
              <w:bottom w:w="80" w:type="dxa"/>
              <w:end w:w="120" w:type="dxa"/>
            </w:tcMar>
          </w:tcPr>
          <w:p>
            <w:pPr>
              <w:spacing w:after="0"/>
            </w:pPr>
            <w:r>
              <w:rPr>
                <w:rFonts w:ascii="Calibri" w:hAnsi="Calibri"/>
                <w:sz w:val="18"/>
              </w:rPr>
              <w:t>Pending</w:t>
            </w:r>
          </w:p>
        </w:tc>
        <w:tc>
          <w:tcPr>
            <w:tcW w:type="dxa" w:w="2016"/>
            <w:vAlign w:val="center"/>
            <w:tcMar>
              <w:top w:w="80" w:type="dxa"/>
              <w:start w:w="120" w:type="dxa"/>
              <w:bottom w:w="80" w:type="dxa"/>
              <w:end w:w="120" w:type="dxa"/>
            </w:tcMar>
          </w:tcPr>
          <w:p>
            <w:pPr>
              <w:spacing w:after="0"/>
            </w:pPr>
            <w:r>
              <w:rPr>
                <w:rFonts w:ascii="Calibri" w:hAnsi="Calibri"/>
                <w:sz w:val="18"/>
              </w:rPr>
              <w:t>To be recorded</w:t>
            </w:r>
          </w:p>
        </w:tc>
      </w:tr>
      <w:tr>
        <w:trPr>
          <w:cantSplit/>
        </w:trPr>
        <w:tc>
          <w:tcPr>
            <w:tcW w:type="dxa" w:w="1008"/>
            <w:shd w:fill="F2F4F7"/>
            <w:vAlign w:val="center"/>
            <w:tcMar>
              <w:top w:w="80" w:type="dxa"/>
              <w:start w:w="120" w:type="dxa"/>
              <w:bottom w:w="80" w:type="dxa"/>
              <w:end w:w="120" w:type="dxa"/>
            </w:tcMar>
          </w:tcPr>
          <w:p>
            <w:pPr>
              <w:spacing w:after="0"/>
            </w:pPr>
            <w:r>
              <w:rPr>
                <w:rFonts w:ascii="Calibri" w:hAnsi="Calibri"/>
                <w:sz w:val="18"/>
              </w:rPr>
              <w:t>E-006</w:t>
            </w:r>
          </w:p>
        </w:tc>
        <w:tc>
          <w:tcPr>
            <w:tcW w:type="dxa" w:w="792"/>
            <w:shd w:fill="F2F4F7"/>
            <w:vAlign w:val="center"/>
            <w:tcMar>
              <w:top w:w="80" w:type="dxa"/>
              <w:start w:w="120" w:type="dxa"/>
              <w:bottom w:w="80" w:type="dxa"/>
              <w:end w:w="120" w:type="dxa"/>
            </w:tcMar>
          </w:tcPr>
          <w:p>
            <w:pPr>
              <w:spacing w:after="0"/>
            </w:pPr>
            <w:r>
              <w:rPr>
                <w:rFonts w:ascii="Calibri" w:hAnsi="Calibri"/>
                <w:sz w:val="18"/>
              </w:rPr>
              <w:t>5</w:t>
            </w:r>
          </w:p>
        </w:tc>
        <w:tc>
          <w:tcPr>
            <w:tcW w:type="dxa" w:w="4320"/>
            <w:shd w:fill="F2F4F7"/>
            <w:vAlign w:val="center"/>
            <w:tcMar>
              <w:top w:w="80" w:type="dxa"/>
              <w:start w:w="120" w:type="dxa"/>
              <w:bottom w:w="80" w:type="dxa"/>
              <w:end w:w="120" w:type="dxa"/>
            </w:tcMar>
          </w:tcPr>
          <w:p>
            <w:pPr>
              <w:spacing w:after="0"/>
            </w:pPr>
            <w:r>
              <w:rPr>
                <w:rFonts w:ascii="Calibri" w:hAnsi="Calibri"/>
                <w:sz w:val="18"/>
              </w:rPr>
              <w:t>Trip heuristic, offline, audit, and field proof</w:t>
            </w:r>
          </w:p>
        </w:tc>
        <w:tc>
          <w:tcPr>
            <w:tcW w:type="dxa" w:w="1224"/>
            <w:shd w:fill="F2F4F7"/>
            <w:vAlign w:val="center"/>
            <w:tcMar>
              <w:top w:w="80" w:type="dxa"/>
              <w:start w:w="120" w:type="dxa"/>
              <w:bottom w:w="80" w:type="dxa"/>
              <w:end w:w="120" w:type="dxa"/>
            </w:tcMar>
          </w:tcPr>
          <w:p>
            <w:pPr>
              <w:spacing w:after="0"/>
            </w:pPr>
            <w:r>
              <w:rPr>
                <w:rFonts w:ascii="Calibri" w:hAnsi="Calibri"/>
                <w:sz w:val="18"/>
              </w:rPr>
              <w:t>Pending</w:t>
            </w:r>
          </w:p>
        </w:tc>
        <w:tc>
          <w:tcPr>
            <w:tcW w:type="dxa" w:w="2016"/>
            <w:shd w:fill="F2F4F7"/>
            <w:vAlign w:val="center"/>
            <w:tcMar>
              <w:top w:w="80" w:type="dxa"/>
              <w:start w:w="120" w:type="dxa"/>
              <w:bottom w:w="80" w:type="dxa"/>
              <w:end w:w="120" w:type="dxa"/>
            </w:tcMar>
          </w:tcPr>
          <w:p>
            <w:pPr>
              <w:spacing w:after="0"/>
            </w:pPr>
            <w:r>
              <w:rPr>
                <w:rFonts w:ascii="Calibri" w:hAnsi="Calibri"/>
                <w:sz w:val="18"/>
              </w:rPr>
              <w:t>To be recorded</w:t>
            </w:r>
          </w:p>
        </w:tc>
      </w:tr>
      <w:tr>
        <w:trPr>
          <w:cantSplit/>
        </w:trPr>
        <w:tc>
          <w:tcPr>
            <w:tcW w:type="dxa" w:w="1008"/>
            <w:vAlign w:val="center"/>
            <w:tcMar>
              <w:top w:w="80" w:type="dxa"/>
              <w:start w:w="120" w:type="dxa"/>
              <w:bottom w:w="80" w:type="dxa"/>
              <w:end w:w="120" w:type="dxa"/>
            </w:tcMar>
          </w:tcPr>
          <w:p>
            <w:pPr>
              <w:spacing w:after="0"/>
            </w:pPr>
            <w:r>
              <w:rPr>
                <w:rFonts w:ascii="Calibri" w:hAnsi="Calibri"/>
                <w:sz w:val="18"/>
              </w:rPr>
              <w:t>E-007</w:t>
            </w:r>
          </w:p>
        </w:tc>
        <w:tc>
          <w:tcPr>
            <w:tcW w:type="dxa" w:w="792"/>
            <w:vAlign w:val="center"/>
            <w:tcMar>
              <w:top w:w="80" w:type="dxa"/>
              <w:start w:w="120" w:type="dxa"/>
              <w:bottom w:w="80" w:type="dxa"/>
              <w:end w:w="120" w:type="dxa"/>
            </w:tcMar>
          </w:tcPr>
          <w:p>
            <w:pPr>
              <w:spacing w:after="0"/>
            </w:pPr>
            <w:r>
              <w:rPr>
                <w:rFonts w:ascii="Calibri" w:hAnsi="Calibri"/>
                <w:sz w:val="18"/>
              </w:rPr>
              <w:t>6</w:t>
            </w:r>
          </w:p>
        </w:tc>
        <w:tc>
          <w:tcPr>
            <w:tcW w:type="dxa" w:w="4320"/>
            <w:vAlign w:val="center"/>
            <w:tcMar>
              <w:top w:w="80" w:type="dxa"/>
              <w:start w:w="120" w:type="dxa"/>
              <w:bottom w:w="80" w:type="dxa"/>
              <w:end w:w="120" w:type="dxa"/>
            </w:tcMar>
          </w:tcPr>
          <w:p>
            <w:pPr>
              <w:spacing w:after="0"/>
            </w:pPr>
            <w:r>
              <w:rPr>
                <w:rFonts w:ascii="Calibri" w:hAnsi="Calibri"/>
                <w:sz w:val="18"/>
              </w:rPr>
              <w:t>Pilot measures and solver decision</w:t>
            </w:r>
          </w:p>
        </w:tc>
        <w:tc>
          <w:tcPr>
            <w:tcW w:type="dxa" w:w="1224"/>
            <w:vAlign w:val="center"/>
            <w:tcMar>
              <w:top w:w="80" w:type="dxa"/>
              <w:start w:w="120" w:type="dxa"/>
              <w:bottom w:w="80" w:type="dxa"/>
              <w:end w:w="120" w:type="dxa"/>
            </w:tcMar>
          </w:tcPr>
          <w:p>
            <w:pPr>
              <w:spacing w:after="0"/>
            </w:pPr>
            <w:r>
              <w:rPr>
                <w:rFonts w:ascii="Calibri" w:hAnsi="Calibri"/>
                <w:sz w:val="18"/>
              </w:rPr>
              <w:t>Pending</w:t>
            </w:r>
          </w:p>
        </w:tc>
        <w:tc>
          <w:tcPr>
            <w:tcW w:type="dxa" w:w="2016"/>
            <w:vAlign w:val="center"/>
            <w:tcMar>
              <w:top w:w="80" w:type="dxa"/>
              <w:start w:w="120" w:type="dxa"/>
              <w:bottom w:w="80" w:type="dxa"/>
              <w:end w:w="120" w:type="dxa"/>
            </w:tcMar>
          </w:tcPr>
          <w:p>
            <w:pPr>
              <w:spacing w:after="0"/>
            </w:pPr>
            <w:r>
              <w:rPr>
                <w:rFonts w:ascii="Calibri" w:hAnsi="Calibri"/>
                <w:sz w:val="18"/>
              </w:rPr>
              <w:t>To be recorded</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1872"/>
        <w:gridCol w:w="1872"/>
        <w:gridCol w:w="1872"/>
        <w:gridCol w:w="1872"/>
        <w:gridCol w:w="1872"/>
      </w:tblGrid>
      <w:tr>
        <w:trPr>
          <w:tblHeader w:val="true"/>
        </w:trPr>
        <w:tc>
          <w:tcPr>
            <w:tcW w:type="dxa" w:w="1008"/>
            <w:vAlign w:val="center"/>
            <w:tcMar>
              <w:top w:w="80" w:type="dxa"/>
              <w:start w:w="120" w:type="dxa"/>
              <w:bottom w:w="80" w:type="dxa"/>
              <w:end w:w="120" w:type="dxa"/>
            </w:tcMar>
            <w:shd w:fill="17365D"/>
          </w:tcPr>
          <w:p>
            <w:r>
              <w:rPr>
                <w:rFonts w:ascii="Calibri" w:hAnsi="Calibri"/>
                <w:b/>
                <w:color w:val="FFFFFF"/>
                <w:sz w:val="19"/>
              </w:rPr>
              <w:t>ID</w:t>
            </w:r>
          </w:p>
        </w:tc>
        <w:tc>
          <w:tcPr>
            <w:tcW w:type="dxa" w:w="1080"/>
            <w:vAlign w:val="center"/>
            <w:tcMar>
              <w:top w:w="80" w:type="dxa"/>
              <w:start w:w="120" w:type="dxa"/>
              <w:bottom w:w="80" w:type="dxa"/>
              <w:end w:w="120" w:type="dxa"/>
            </w:tcMar>
            <w:shd w:fill="17365D"/>
          </w:tcPr>
          <w:p>
            <w:r>
              <w:rPr>
                <w:rFonts w:ascii="Calibri" w:hAnsi="Calibri"/>
                <w:b/>
                <w:color w:val="FFFFFF"/>
                <w:sz w:val="19"/>
              </w:rPr>
              <w:t>Slice</w:t>
            </w:r>
          </w:p>
        </w:tc>
        <w:tc>
          <w:tcPr>
            <w:tcW w:type="dxa" w:w="3960"/>
            <w:vAlign w:val="center"/>
            <w:tcMar>
              <w:top w:w="80" w:type="dxa"/>
              <w:start w:w="120" w:type="dxa"/>
              <w:bottom w:w="80" w:type="dxa"/>
              <w:end w:w="120" w:type="dxa"/>
            </w:tcMar>
            <w:shd w:fill="17365D"/>
          </w:tcPr>
          <w:p>
            <w:r>
              <w:rPr>
                <w:rFonts w:ascii="Calibri" w:hAnsi="Calibri"/>
                <w:b/>
                <w:color w:val="FFFFFF"/>
                <w:sz w:val="19"/>
              </w:rPr>
              <w:t>Evidence</w:t>
            </w:r>
          </w:p>
        </w:tc>
        <w:tc>
          <w:tcPr>
            <w:tcW w:type="dxa" w:w="1224"/>
            <w:vAlign w:val="center"/>
            <w:tcMar>
              <w:top w:w="80" w:type="dxa"/>
              <w:start w:w="120" w:type="dxa"/>
              <w:bottom w:w="80" w:type="dxa"/>
              <w:end w:w="120" w:type="dxa"/>
            </w:tcMar>
            <w:shd w:fill="17365D"/>
          </w:tcPr>
          <w:p>
            <w:r>
              <w:rPr>
                <w:rFonts w:ascii="Calibri" w:hAnsi="Calibri"/>
                <w:b/>
                <w:color w:val="FFFFFF"/>
                <w:sz w:val="19"/>
              </w:rPr>
              <w:t>Status</w:t>
            </w:r>
          </w:p>
        </w:tc>
        <w:tc>
          <w:tcPr>
            <w:tcW w:type="dxa" w:w="2088"/>
            <w:vAlign w:val="center"/>
            <w:tcMar>
              <w:top w:w="80" w:type="dxa"/>
              <w:start w:w="120" w:type="dxa"/>
              <w:bottom w:w="80" w:type="dxa"/>
              <w:end w:w="120" w:type="dxa"/>
            </w:tcMar>
            <w:shd w:fill="17365D"/>
          </w:tcPr>
          <w:p>
            <w:r>
              <w:rPr>
                <w:rFonts w:ascii="Calibri" w:hAnsi="Calibri"/>
                <w:b/>
                <w:color w:val="FFFFFF"/>
                <w:sz w:val="19"/>
              </w:rPr>
              <w:t>Reference</w:t>
            </w:r>
          </w:p>
        </w:tc>
      </w:tr>
      <w:tr>
        <w:trPr>
          <w:cantSplit/>
        </w:trPr>
        <w:tc>
          <w:tcPr>
            <w:tcW w:type="dxa" w:w="1008"/>
            <w:vAlign w:val="center"/>
            <w:tcMar>
              <w:top w:w="80" w:type="dxa"/>
              <w:start w:w="120" w:type="dxa"/>
              <w:bottom w:w="80" w:type="dxa"/>
              <w:end w:w="120" w:type="dxa"/>
            </w:tcMar>
          </w:tcPr>
          <w:p>
            <w:pPr>
              <w:spacing w:after="0"/>
            </w:pPr>
            <w:r>
              <w:rPr>
                <w:rFonts w:ascii="Calibri" w:hAnsi="Calibri"/>
                <w:sz w:val="18"/>
              </w:rPr>
              <w:t>E-008</w:t>
            </w:r>
          </w:p>
        </w:tc>
        <w:tc>
          <w:tcPr>
            <w:tcW w:type="dxa" w:w="1080"/>
            <w:vAlign w:val="center"/>
            <w:tcMar>
              <w:top w:w="80" w:type="dxa"/>
              <w:start w:w="120" w:type="dxa"/>
              <w:bottom w:w="80" w:type="dxa"/>
              <w:end w:w="120" w:type="dxa"/>
            </w:tcMar>
          </w:tcPr>
          <w:p>
            <w:pPr>
              <w:spacing w:after="0"/>
            </w:pPr>
            <w:r>
              <w:rPr>
                <w:rFonts w:ascii="Calibri" w:hAnsi="Calibri"/>
                <w:sz w:val="18"/>
              </w:rPr>
              <w:t>OCR-0</w:t>
            </w:r>
          </w:p>
        </w:tc>
        <w:tc>
          <w:tcPr>
            <w:tcW w:type="dxa" w:w="3960"/>
            <w:vAlign w:val="center"/>
            <w:tcMar>
              <w:top w:w="80" w:type="dxa"/>
              <w:start w:w="120" w:type="dxa"/>
              <w:bottom w:w="80" w:type="dxa"/>
              <w:end w:w="120" w:type="dxa"/>
            </w:tcMar>
          </w:tcPr>
          <w:p>
            <w:pPr>
              <w:spacing w:after="0"/>
            </w:pPr>
            <w:r>
              <w:rPr>
                <w:rFonts w:ascii="Calibri" w:hAnsi="Calibri"/>
                <w:sz w:val="18"/>
              </w:rPr>
              <w:t>Android/iOS identity, sync, security, and unsigned build proof</w:t>
            </w:r>
          </w:p>
        </w:tc>
        <w:tc>
          <w:tcPr>
            <w:tcW w:type="dxa" w:w="1224"/>
            <w:vAlign w:val="center"/>
            <w:tcMar>
              <w:top w:w="80" w:type="dxa"/>
              <w:start w:w="120" w:type="dxa"/>
              <w:bottom w:w="80" w:type="dxa"/>
              <w:end w:w="120" w:type="dxa"/>
            </w:tcMar>
          </w:tcPr>
          <w:p>
            <w:pPr>
              <w:spacing w:after="0"/>
            </w:pPr>
            <w:r>
              <w:rPr>
                <w:rFonts w:ascii="Calibri" w:hAnsi="Calibri"/>
                <w:sz w:val="18"/>
              </w:rPr>
              <w:t>Verified</w:t>
            </w:r>
          </w:p>
        </w:tc>
        <w:tc>
          <w:tcPr>
            <w:tcW w:type="dxa" w:w="2088"/>
            <w:vAlign w:val="center"/>
            <w:tcMar>
              <w:top w:w="80" w:type="dxa"/>
              <w:start w:w="120" w:type="dxa"/>
              <w:bottom w:w="80" w:type="dxa"/>
              <w:end w:w="120" w:type="dxa"/>
            </w:tcMar>
          </w:tcPr>
          <w:p>
            <w:pPr>
              <w:spacing w:after="0"/>
            </w:pPr>
            <w:r>
              <w:rPr>
                <w:rFonts w:ascii="Calibri" w:hAnsi="Calibri"/>
                <w:sz w:val="18"/>
              </w:rPr>
              <w:t>PR #53 native CI recorded in journey log</w:t>
            </w:r>
          </w:p>
        </w:tc>
      </w:tr>
      <w:tr>
        <w:trPr>
          <w:cantSplit/>
        </w:trPr>
        <w:tc>
          <w:tcPr>
            <w:tcW w:type="dxa" w:w="1008"/>
            <w:shd w:fill="F2F4F7"/>
            <w:vAlign w:val="center"/>
            <w:tcMar>
              <w:top w:w="80" w:type="dxa"/>
              <w:start w:w="120" w:type="dxa"/>
              <w:bottom w:w="80" w:type="dxa"/>
              <w:end w:w="120" w:type="dxa"/>
            </w:tcMar>
          </w:tcPr>
          <w:p>
            <w:pPr>
              <w:spacing w:after="0"/>
            </w:pPr>
            <w:r>
              <w:rPr>
                <w:rFonts w:ascii="Calibri" w:hAnsi="Calibri"/>
                <w:sz w:val="18"/>
              </w:rPr>
              <w:t>E-009</w:t>
            </w:r>
          </w:p>
        </w:tc>
        <w:tc>
          <w:tcPr>
            <w:tcW w:type="dxa" w:w="1080"/>
            <w:shd w:fill="F2F4F7"/>
            <w:vAlign w:val="center"/>
            <w:tcMar>
              <w:top w:w="80" w:type="dxa"/>
              <w:start w:w="120" w:type="dxa"/>
              <w:bottom w:w="80" w:type="dxa"/>
              <w:end w:w="120" w:type="dxa"/>
            </w:tcMar>
          </w:tcPr>
          <w:p>
            <w:pPr>
              <w:spacing w:after="0"/>
            </w:pPr>
            <w:r>
              <w:rPr>
                <w:rFonts w:ascii="Calibri" w:hAnsi="Calibri"/>
                <w:sz w:val="18"/>
              </w:rPr>
              <w:t>OCR-1</w:t>
            </w:r>
          </w:p>
        </w:tc>
        <w:tc>
          <w:tcPr>
            <w:tcW w:type="dxa" w:w="3960"/>
            <w:shd w:fill="F2F4F7"/>
            <w:vAlign w:val="center"/>
            <w:tcMar>
              <w:top w:w="80" w:type="dxa"/>
              <w:start w:w="120" w:type="dxa"/>
              <w:bottom w:w="80" w:type="dxa"/>
              <w:end w:w="120" w:type="dxa"/>
            </w:tcMar>
          </w:tcPr>
          <w:p>
            <w:pPr>
              <w:spacing w:after="0"/>
            </w:pPr>
            <w:r>
              <w:rPr>
                <w:rFonts w:ascii="Calibri" w:hAnsi="Calibri"/>
                <w:sz w:val="18"/>
              </w:rPr>
              <w:t>Contract, integrity, cleanup, fallback, and review proof</w:t>
            </w:r>
          </w:p>
        </w:tc>
        <w:tc>
          <w:tcPr>
            <w:tcW w:type="dxa" w:w="1224"/>
            <w:shd w:fill="F2F4F7"/>
            <w:vAlign w:val="center"/>
            <w:tcMar>
              <w:top w:w="80" w:type="dxa"/>
              <w:start w:w="120" w:type="dxa"/>
              <w:bottom w:w="80" w:type="dxa"/>
              <w:end w:w="120" w:type="dxa"/>
            </w:tcMar>
          </w:tcPr>
          <w:p>
            <w:pPr>
              <w:spacing w:after="0"/>
            </w:pPr>
            <w:r>
              <w:rPr>
                <w:rFonts w:ascii="Calibri" w:hAnsi="Calibri"/>
                <w:sz w:val="18"/>
              </w:rPr>
              <w:t>Verified</w:t>
            </w:r>
          </w:p>
        </w:tc>
        <w:tc>
          <w:tcPr>
            <w:tcW w:type="dxa" w:w="2088"/>
            <w:shd w:fill="F2F4F7"/>
            <w:vAlign w:val="center"/>
            <w:tcMar>
              <w:top w:w="80" w:type="dxa"/>
              <w:start w:w="120" w:type="dxa"/>
              <w:bottom w:w="80" w:type="dxa"/>
              <w:end w:w="120" w:type="dxa"/>
            </w:tcMar>
          </w:tcPr>
          <w:p>
            <w:pPr>
              <w:spacing w:after="0"/>
            </w:pPr>
            <w:r>
              <w:rPr>
                <w:rFonts w:ascii="Calibri" w:hAnsi="Calibri"/>
                <w:sz w:val="18"/>
              </w:rPr>
              <w:t>Release gate, security scan, and browser tests passed</w:t>
            </w:r>
          </w:p>
        </w:tc>
      </w:tr>
      <w:tr>
        <w:trPr>
          <w:cantSplit/>
        </w:trPr>
        <w:tc>
          <w:tcPr>
            <w:tcW w:type="dxa" w:w="1008"/>
            <w:vAlign w:val="center"/>
            <w:tcMar>
              <w:top w:w="80" w:type="dxa"/>
              <w:start w:w="120" w:type="dxa"/>
              <w:bottom w:w="80" w:type="dxa"/>
              <w:end w:w="120" w:type="dxa"/>
            </w:tcMar>
          </w:tcPr>
          <w:p>
            <w:pPr>
              <w:spacing w:after="0"/>
            </w:pPr>
            <w:r>
              <w:rPr>
                <w:rFonts w:ascii="Calibri" w:hAnsi="Calibri"/>
                <w:sz w:val="18"/>
              </w:rPr>
              <w:t>E-010</w:t>
            </w:r>
          </w:p>
        </w:tc>
        <w:tc>
          <w:tcPr>
            <w:tcW w:type="dxa" w:w="1080"/>
            <w:vAlign w:val="center"/>
            <w:tcMar>
              <w:top w:w="80" w:type="dxa"/>
              <w:start w:w="120" w:type="dxa"/>
              <w:bottom w:w="80" w:type="dxa"/>
              <w:end w:w="120" w:type="dxa"/>
            </w:tcMar>
          </w:tcPr>
          <w:p>
            <w:pPr>
              <w:spacing w:after="0"/>
            </w:pPr>
            <w:r>
              <w:rPr>
                <w:rFonts w:ascii="Calibri" w:hAnsi="Calibri"/>
                <w:sz w:val="18"/>
              </w:rPr>
              <w:t>OCR-2</w:t>
            </w:r>
          </w:p>
        </w:tc>
        <w:tc>
          <w:tcPr>
            <w:tcW w:type="dxa" w:w="3960"/>
            <w:vAlign w:val="center"/>
            <w:tcMar>
              <w:top w:w="80" w:type="dxa"/>
              <w:start w:w="120" w:type="dxa"/>
              <w:bottom w:w="80" w:type="dxa"/>
              <w:end w:w="120" w:type="dxa"/>
            </w:tcMar>
          </w:tcPr>
          <w:p>
            <w:pPr>
              <w:spacing w:after="0"/>
            </w:pPr>
            <w:r>
              <w:rPr>
                <w:rFonts w:ascii="Calibri" w:hAnsi="Calibri"/>
                <w:sz w:val="18"/>
              </w:rPr>
              <w:t>Android ML Kit and iOS VisionKit/Vision compile and device proof</w:t>
            </w:r>
          </w:p>
        </w:tc>
        <w:tc>
          <w:tcPr>
            <w:tcW w:type="dxa" w:w="1224"/>
            <w:vAlign w:val="center"/>
            <w:tcMar>
              <w:top w:w="80" w:type="dxa"/>
              <w:start w:w="120" w:type="dxa"/>
              <w:bottom w:w="80" w:type="dxa"/>
              <w:end w:w="120" w:type="dxa"/>
            </w:tcMar>
          </w:tcPr>
          <w:p>
            <w:pPr>
              <w:spacing w:after="0"/>
            </w:pPr>
            <w:r>
              <w:rPr>
                <w:rFonts w:ascii="Calibri" w:hAnsi="Calibri"/>
                <w:sz w:val="18"/>
              </w:rPr>
              <w:t>Partial</w:t>
            </w:r>
          </w:p>
        </w:tc>
        <w:tc>
          <w:tcPr>
            <w:tcW w:type="dxa" w:w="2088"/>
            <w:vAlign w:val="center"/>
            <w:tcMar>
              <w:top w:w="80" w:type="dxa"/>
              <w:start w:w="120" w:type="dxa"/>
              <w:bottom w:w="80" w:type="dxa"/>
              <w:end w:w="120" w:type="dxa"/>
            </w:tcMar>
          </w:tcPr>
          <w:p>
            <w:pPr>
              <w:spacing w:after="0"/>
            </w:pPr>
            <w:r>
              <w:rPr>
                <w:rFonts w:ascii="Calibri" w:hAnsi="Calibri"/>
                <w:sz w:val="18"/>
              </w:rPr>
              <w:t>Remote native CI passed; signed physical-device UAT pending</w:t>
            </w:r>
          </w:p>
        </w:tc>
      </w:tr>
      <w:tr>
        <w:trPr>
          <w:cantSplit/>
        </w:trPr>
        <w:tc>
          <w:tcPr>
            <w:tcW w:type="dxa" w:w="1008"/>
            <w:shd w:fill="F2F4F7"/>
            <w:vAlign w:val="center"/>
            <w:tcMar>
              <w:top w:w="80" w:type="dxa"/>
              <w:start w:w="120" w:type="dxa"/>
              <w:bottom w:w="80" w:type="dxa"/>
              <w:end w:w="120" w:type="dxa"/>
            </w:tcMar>
          </w:tcPr>
          <w:p>
            <w:pPr>
              <w:spacing w:after="0"/>
            </w:pPr>
            <w:r>
              <w:rPr>
                <w:rFonts w:ascii="Calibri" w:hAnsi="Calibri"/>
                <w:sz w:val="18"/>
              </w:rPr>
              <w:t>E-011</w:t>
            </w:r>
          </w:p>
        </w:tc>
        <w:tc>
          <w:tcPr>
            <w:tcW w:type="dxa" w:w="1080"/>
            <w:shd w:fill="F2F4F7"/>
            <w:vAlign w:val="center"/>
            <w:tcMar>
              <w:top w:w="80" w:type="dxa"/>
              <w:start w:w="120" w:type="dxa"/>
              <w:bottom w:w="80" w:type="dxa"/>
              <w:end w:w="120" w:type="dxa"/>
            </w:tcMar>
          </w:tcPr>
          <w:p>
            <w:pPr>
              <w:spacing w:after="0"/>
            </w:pPr>
            <w:r>
              <w:rPr>
                <w:rFonts w:ascii="Calibri" w:hAnsi="Calibri"/>
                <w:sz w:val="18"/>
              </w:rPr>
              <w:t>OCR-3</w:t>
            </w:r>
          </w:p>
        </w:tc>
        <w:tc>
          <w:tcPr>
            <w:tcW w:type="dxa" w:w="3960"/>
            <w:shd w:fill="F2F4F7"/>
            <w:vAlign w:val="center"/>
            <w:tcMar>
              <w:top w:w="80" w:type="dxa"/>
              <w:start w:w="120" w:type="dxa"/>
              <w:bottom w:w="80" w:type="dxa"/>
              <w:end w:w="120" w:type="dxa"/>
            </w:tcMar>
          </w:tcPr>
          <w:p>
            <w:pPr>
              <w:spacing w:after="0"/>
            </w:pPr>
            <w:r>
              <w:rPr>
                <w:rFonts w:ascii="Calibri" w:hAnsi="Calibri"/>
                <w:sz w:val="18"/>
              </w:rPr>
              <w:t>Five-role UAT contract, privacy gate, and execution guide</w:t>
            </w:r>
          </w:p>
        </w:tc>
        <w:tc>
          <w:tcPr>
            <w:tcW w:type="dxa" w:w="1224"/>
            <w:shd w:fill="F2F4F7"/>
            <w:vAlign w:val="center"/>
            <w:tcMar>
              <w:top w:w="80" w:type="dxa"/>
              <w:start w:w="120" w:type="dxa"/>
              <w:bottom w:w="80" w:type="dxa"/>
              <w:end w:w="120" w:type="dxa"/>
            </w:tcMar>
          </w:tcPr>
          <w:p>
            <w:pPr>
              <w:spacing w:after="0"/>
            </w:pPr>
            <w:r>
              <w:rPr>
                <w:rFonts w:ascii="Calibri" w:hAnsi="Calibri"/>
                <w:sz w:val="18"/>
              </w:rPr>
              <w:t>Verified locally</w:t>
            </w:r>
          </w:p>
        </w:tc>
        <w:tc>
          <w:tcPr>
            <w:tcW w:type="dxa" w:w="2088"/>
            <w:shd w:fill="F2F4F7"/>
            <w:vAlign w:val="center"/>
            <w:tcMar>
              <w:top w:w="80" w:type="dxa"/>
              <w:start w:w="120" w:type="dxa"/>
              <w:bottom w:w="80" w:type="dxa"/>
              <w:end w:w="120" w:type="dxa"/>
            </w:tcMar>
          </w:tcPr>
          <w:p>
            <w:pPr>
              <w:spacing w:after="0"/>
            </w:pPr>
            <w:r>
              <w:rPr>
                <w:rFonts w:ascii="Calibri" w:hAnsi="Calibri"/>
                <w:sz w:val="18"/>
              </w:rPr>
              <w:t>6/6 contract tests pass; physical results pending</w:t>
            </w:r>
          </w:p>
        </w:tc>
      </w:tr>
    </w:tbl>
    <w:p>
      <w:pPr>
        <w:spacing w:after="0"/>
      </w:pPr>
    </w:p>
    <w:p>
      <w:pPr>
        <w:pStyle w:val="Heading1"/>
      </w:pPr>
      <w:r>
        <w:t>9. Risk register</w:t>
      </w:r>
    </w:p>
    <w:tbl>
      <w:tblPr>
        <w:tblStyle w:val="TableGrid"/>
        <w:tblW w:type="dxa" w:w="9360"/>
        <w:tblLayout w:type="fixed"/>
        <w:tblLook w:firstColumn="1" w:firstRow="1" w:lastColumn="0" w:lastRow="0" w:noHBand="0" w:noVBand="1" w:val="04A0"/>
        <w:jc w:val="left"/>
        <w:tblInd w:w="120" w:type="dxa"/>
      </w:tblPr>
      <w:tblGrid>
        <w:gridCol w:w="2340"/>
        <w:gridCol w:w="2340"/>
        <w:gridCol w:w="2340"/>
        <w:gridCol w:w="2340"/>
      </w:tblGrid>
      <w:tr>
        <w:trPr>
          <w:tblHeader w:val="true"/>
        </w:trPr>
        <w:tc>
          <w:tcPr>
            <w:tcW w:type="dxa" w:w="2376"/>
            <w:vAlign w:val="center"/>
            <w:tcMar>
              <w:top w:w="80" w:type="dxa"/>
              <w:start w:w="120" w:type="dxa"/>
              <w:bottom w:w="80" w:type="dxa"/>
              <w:end w:w="120" w:type="dxa"/>
            </w:tcMar>
            <w:shd w:fill="17365D"/>
          </w:tcPr>
          <w:p>
            <w:r>
              <w:rPr>
                <w:rFonts w:ascii="Calibri" w:hAnsi="Calibri"/>
                <w:b/>
                <w:color w:val="FFFFFF"/>
                <w:sz w:val="19"/>
              </w:rPr>
              <w:t>Risk</w:t>
            </w:r>
          </w:p>
        </w:tc>
        <w:tc>
          <w:tcPr>
            <w:tcW w:type="dxa" w:w="2088"/>
            <w:vAlign w:val="center"/>
            <w:tcMar>
              <w:top w:w="80" w:type="dxa"/>
              <w:start w:w="120" w:type="dxa"/>
              <w:bottom w:w="80" w:type="dxa"/>
              <w:end w:w="120" w:type="dxa"/>
            </w:tcMar>
            <w:shd w:fill="17365D"/>
          </w:tcPr>
          <w:p>
            <w:r>
              <w:rPr>
                <w:rFonts w:ascii="Calibri" w:hAnsi="Calibri"/>
                <w:b/>
                <w:color w:val="FFFFFF"/>
                <w:sz w:val="19"/>
              </w:rPr>
              <w:t>Consequence</w:t>
            </w:r>
          </w:p>
        </w:tc>
        <w:tc>
          <w:tcPr>
            <w:tcW w:type="dxa" w:w="3528"/>
            <w:vAlign w:val="center"/>
            <w:tcMar>
              <w:top w:w="80" w:type="dxa"/>
              <w:start w:w="120" w:type="dxa"/>
              <w:bottom w:w="80" w:type="dxa"/>
              <w:end w:w="120" w:type="dxa"/>
            </w:tcMar>
            <w:shd w:fill="17365D"/>
          </w:tcPr>
          <w:p>
            <w:r>
              <w:rPr>
                <w:rFonts w:ascii="Calibri" w:hAnsi="Calibri"/>
                <w:b/>
                <w:color w:val="FFFFFF"/>
                <w:sz w:val="19"/>
              </w:rPr>
              <w:t>Control</w:t>
            </w:r>
          </w:p>
        </w:tc>
        <w:tc>
          <w:tcPr>
            <w:tcW w:type="dxa" w:w="1368"/>
            <w:vAlign w:val="center"/>
            <w:tcMar>
              <w:top w:w="80" w:type="dxa"/>
              <w:start w:w="120" w:type="dxa"/>
              <w:bottom w:w="80" w:type="dxa"/>
              <w:end w:w="120" w:type="dxa"/>
            </w:tcMar>
            <w:shd w:fill="17365D"/>
          </w:tcPr>
          <w:p>
            <w:r>
              <w:rPr>
                <w:rFonts w:ascii="Calibri" w:hAnsi="Calibri"/>
                <w:b/>
                <w:color w:val="FFFFFF"/>
                <w:sz w:val="19"/>
              </w:rPr>
              <w:t>State</w:t>
            </w:r>
          </w:p>
        </w:tc>
      </w:tr>
      <w:tr>
        <w:trPr>
          <w:cantSplit/>
        </w:trPr>
        <w:tc>
          <w:tcPr>
            <w:tcW w:type="dxa" w:w="2376"/>
            <w:vAlign w:val="center"/>
            <w:tcMar>
              <w:top w:w="80" w:type="dxa"/>
              <w:start w:w="120" w:type="dxa"/>
              <w:bottom w:w="80" w:type="dxa"/>
              <w:end w:w="120" w:type="dxa"/>
            </w:tcMar>
          </w:tcPr>
          <w:p>
            <w:pPr>
              <w:spacing w:after="0"/>
            </w:pPr>
            <w:r>
              <w:rPr>
                <w:rFonts w:ascii="Calibri" w:hAnsi="Calibri"/>
                <w:sz w:val="18"/>
              </w:rPr>
              <w:t>Illustrative contract assumptions treated as fact</w:t>
            </w:r>
          </w:p>
        </w:tc>
        <w:tc>
          <w:tcPr>
            <w:tcW w:type="dxa" w:w="2088"/>
            <w:vAlign w:val="center"/>
            <w:tcMar>
              <w:top w:w="80" w:type="dxa"/>
              <w:start w:w="120" w:type="dxa"/>
              <w:bottom w:w="80" w:type="dxa"/>
              <w:end w:w="120" w:type="dxa"/>
            </w:tcMar>
          </w:tcPr>
          <w:p>
            <w:pPr>
              <w:spacing w:after="0"/>
            </w:pPr>
            <w:r>
              <w:rPr>
                <w:rFonts w:ascii="Calibri" w:hAnsi="Calibri"/>
                <w:sz w:val="18"/>
              </w:rPr>
              <w:t>Contractual or reputational harm</w:t>
            </w:r>
          </w:p>
        </w:tc>
        <w:tc>
          <w:tcPr>
            <w:tcW w:type="dxa" w:w="3528"/>
            <w:vAlign w:val="center"/>
            <w:tcMar>
              <w:top w:w="80" w:type="dxa"/>
              <w:start w:w="120" w:type="dxa"/>
              <w:bottom w:w="80" w:type="dxa"/>
              <w:end w:w="120" w:type="dxa"/>
            </w:tcMar>
          </w:tcPr>
          <w:p>
            <w:pPr>
              <w:spacing w:after="0"/>
            </w:pPr>
            <w:r>
              <w:rPr>
                <w:rFonts w:ascii="Calibri" w:hAnsi="Calibri"/>
                <w:sz w:val="18"/>
              </w:rPr>
              <w:t>Validate customer-specific requirements</w:t>
            </w:r>
          </w:p>
        </w:tc>
        <w:tc>
          <w:tcPr>
            <w:tcW w:type="dxa" w:w="1368"/>
            <w:vAlign w:val="center"/>
            <w:tcMar>
              <w:top w:w="80" w:type="dxa"/>
              <w:start w:w="120" w:type="dxa"/>
              <w:bottom w:w="80" w:type="dxa"/>
              <w:end w:w="120" w:type="dxa"/>
            </w:tcMar>
          </w:tcPr>
          <w:p>
            <w:pPr>
              <w:spacing w:after="0"/>
            </w:pPr>
            <w:r>
              <w:rPr>
                <w:rFonts w:ascii="Calibri" w:hAnsi="Calibri"/>
                <w:sz w:val="18"/>
              </w:rPr>
              <w:t>Open</w:t>
            </w:r>
          </w:p>
        </w:tc>
      </w:tr>
      <w:tr>
        <w:trPr>
          <w:cantSplit/>
        </w:trPr>
        <w:tc>
          <w:tcPr>
            <w:tcW w:type="dxa" w:w="2376"/>
            <w:shd w:fill="F2F4F7"/>
            <w:vAlign w:val="center"/>
            <w:tcMar>
              <w:top w:w="80" w:type="dxa"/>
              <w:start w:w="120" w:type="dxa"/>
              <w:bottom w:w="80" w:type="dxa"/>
              <w:end w:w="120" w:type="dxa"/>
            </w:tcMar>
          </w:tcPr>
          <w:p>
            <w:pPr>
              <w:spacing w:after="0"/>
            </w:pPr>
            <w:r>
              <w:rPr>
                <w:rFonts w:ascii="Calibri" w:hAnsi="Calibri"/>
                <w:sz w:val="18"/>
              </w:rPr>
              <w:t>Sensitive screening detail exposed</w:t>
            </w:r>
          </w:p>
        </w:tc>
        <w:tc>
          <w:tcPr>
            <w:tcW w:type="dxa" w:w="2088"/>
            <w:shd w:fill="F2F4F7"/>
            <w:vAlign w:val="center"/>
            <w:tcMar>
              <w:top w:w="80" w:type="dxa"/>
              <w:start w:w="120" w:type="dxa"/>
              <w:bottom w:w="80" w:type="dxa"/>
              <w:end w:w="120" w:type="dxa"/>
            </w:tcMar>
          </w:tcPr>
          <w:p>
            <w:pPr>
              <w:spacing w:after="0"/>
            </w:pPr>
            <w:r>
              <w:rPr>
                <w:rFonts w:ascii="Calibri" w:hAnsi="Calibri"/>
                <w:sz w:val="18"/>
              </w:rPr>
              <w:t>Privacy breach</w:t>
            </w:r>
          </w:p>
        </w:tc>
        <w:tc>
          <w:tcPr>
            <w:tcW w:type="dxa" w:w="3528"/>
            <w:shd w:fill="F2F4F7"/>
            <w:vAlign w:val="center"/>
            <w:tcMar>
              <w:top w:w="80" w:type="dxa"/>
              <w:start w:w="120" w:type="dxa"/>
              <w:bottom w:w="80" w:type="dxa"/>
              <w:end w:w="120" w:type="dxa"/>
            </w:tcMar>
          </w:tcPr>
          <w:p>
            <w:pPr>
              <w:spacing w:after="0"/>
            </w:pPr>
            <w:r>
              <w:rPr>
                <w:rFonts w:ascii="Calibri" w:hAnsi="Calibri"/>
                <w:sz w:val="18"/>
              </w:rPr>
              <w:t>Least-detail, role-filtered reasons</w:t>
            </w:r>
          </w:p>
        </w:tc>
        <w:tc>
          <w:tcPr>
            <w:tcW w:type="dxa" w:w="1368"/>
            <w:shd w:fill="F2F4F7"/>
            <w:vAlign w:val="center"/>
            <w:tcMar>
              <w:top w:w="80" w:type="dxa"/>
              <w:start w:w="120" w:type="dxa"/>
              <w:bottom w:w="80" w:type="dxa"/>
              <w:end w:w="120" w:type="dxa"/>
            </w:tcMar>
          </w:tcPr>
          <w:p>
            <w:pPr>
              <w:spacing w:after="0"/>
            </w:pPr>
            <w:r>
              <w:rPr>
                <w:rFonts w:ascii="Calibri" w:hAnsi="Calibri"/>
                <w:sz w:val="18"/>
              </w:rPr>
              <w:t>Open</w:t>
            </w:r>
          </w:p>
        </w:tc>
      </w:tr>
      <w:tr>
        <w:trPr>
          <w:cantSplit/>
        </w:trPr>
        <w:tc>
          <w:tcPr>
            <w:tcW w:type="dxa" w:w="2376"/>
            <w:vAlign w:val="center"/>
            <w:tcMar>
              <w:top w:w="80" w:type="dxa"/>
              <w:start w:w="120" w:type="dxa"/>
              <w:bottom w:w="80" w:type="dxa"/>
              <w:end w:w="120" w:type="dxa"/>
            </w:tcMar>
          </w:tcPr>
          <w:p>
            <w:pPr>
              <w:spacing w:after="0"/>
            </w:pPr>
            <w:r>
              <w:rPr>
                <w:rFonts w:ascii="Calibri" w:hAnsi="Calibri"/>
                <w:sz w:val="18"/>
              </w:rPr>
              <w:t>UI-only safety checks</w:t>
            </w:r>
          </w:p>
        </w:tc>
        <w:tc>
          <w:tcPr>
            <w:tcW w:type="dxa" w:w="2088"/>
            <w:vAlign w:val="center"/>
            <w:tcMar>
              <w:top w:w="80" w:type="dxa"/>
              <w:start w:w="120" w:type="dxa"/>
              <w:bottom w:w="80" w:type="dxa"/>
              <w:end w:w="120" w:type="dxa"/>
            </w:tcMar>
          </w:tcPr>
          <w:p>
            <w:pPr>
              <w:spacing w:after="0"/>
            </w:pPr>
            <w:r>
              <w:rPr>
                <w:rFonts w:ascii="Calibri" w:hAnsi="Calibri"/>
                <w:sz w:val="18"/>
              </w:rPr>
              <w:t>Unsafe allocation</w:t>
            </w:r>
          </w:p>
        </w:tc>
        <w:tc>
          <w:tcPr>
            <w:tcW w:type="dxa" w:w="3528"/>
            <w:vAlign w:val="center"/>
            <w:tcMar>
              <w:top w:w="80" w:type="dxa"/>
              <w:start w:w="120" w:type="dxa"/>
              <w:bottom w:w="80" w:type="dxa"/>
              <w:end w:w="120" w:type="dxa"/>
            </w:tcMar>
          </w:tcPr>
          <w:p>
            <w:pPr>
              <w:spacing w:after="0"/>
            </w:pPr>
            <w:r>
              <w:rPr>
                <w:rFonts w:ascii="Calibri" w:hAnsi="Calibri"/>
                <w:sz w:val="18"/>
              </w:rPr>
              <w:t>Authoritative server/database rules</w:t>
            </w:r>
          </w:p>
        </w:tc>
        <w:tc>
          <w:tcPr>
            <w:tcW w:type="dxa" w:w="1368"/>
            <w:vAlign w:val="center"/>
            <w:tcMar>
              <w:top w:w="80" w:type="dxa"/>
              <w:start w:w="120" w:type="dxa"/>
              <w:bottom w:w="80" w:type="dxa"/>
              <w:end w:w="120" w:type="dxa"/>
            </w:tcMar>
          </w:tcPr>
          <w:p>
            <w:pPr>
              <w:spacing w:after="0"/>
            </w:pPr>
            <w:r>
              <w:rPr>
                <w:rFonts w:ascii="Calibri" w:hAnsi="Calibri"/>
                <w:sz w:val="18"/>
              </w:rPr>
              <w:t>Open</w:t>
            </w:r>
          </w:p>
        </w:tc>
      </w:tr>
      <w:tr>
        <w:trPr>
          <w:cantSplit/>
        </w:trPr>
        <w:tc>
          <w:tcPr>
            <w:tcW w:type="dxa" w:w="2376"/>
            <w:shd w:fill="F2F4F7"/>
            <w:vAlign w:val="center"/>
            <w:tcMar>
              <w:top w:w="80" w:type="dxa"/>
              <w:start w:w="120" w:type="dxa"/>
              <w:bottom w:w="80" w:type="dxa"/>
              <w:end w:w="120" w:type="dxa"/>
            </w:tcMar>
          </w:tcPr>
          <w:p>
            <w:pPr>
              <w:spacing w:after="0"/>
            </w:pPr>
            <w:r>
              <w:rPr>
                <w:rFonts w:ascii="Calibri" w:hAnsi="Calibri"/>
                <w:sz w:val="18"/>
              </w:rPr>
              <w:t>Duplicate operational structures</w:t>
            </w:r>
          </w:p>
        </w:tc>
        <w:tc>
          <w:tcPr>
            <w:tcW w:type="dxa" w:w="2088"/>
            <w:shd w:fill="F2F4F7"/>
            <w:vAlign w:val="center"/>
            <w:tcMar>
              <w:top w:w="80" w:type="dxa"/>
              <w:start w:w="120" w:type="dxa"/>
              <w:bottom w:w="80" w:type="dxa"/>
              <w:end w:w="120" w:type="dxa"/>
            </w:tcMar>
          </w:tcPr>
          <w:p>
            <w:pPr>
              <w:spacing w:after="0"/>
            </w:pPr>
            <w:r>
              <w:rPr>
                <w:rFonts w:ascii="Calibri" w:hAnsi="Calibri"/>
                <w:sz w:val="18"/>
              </w:rPr>
              <w:t>Divergent truth</w:t>
            </w:r>
          </w:p>
        </w:tc>
        <w:tc>
          <w:tcPr>
            <w:tcW w:type="dxa" w:w="3528"/>
            <w:shd w:fill="F2F4F7"/>
            <w:vAlign w:val="center"/>
            <w:tcMar>
              <w:top w:w="80" w:type="dxa"/>
              <w:start w:w="120" w:type="dxa"/>
              <w:bottom w:w="80" w:type="dxa"/>
              <w:end w:w="120" w:type="dxa"/>
            </w:tcMar>
          </w:tcPr>
          <w:p>
            <w:pPr>
              <w:spacing w:after="0"/>
            </w:pPr>
            <w:r>
              <w:rPr>
                <w:rFonts w:ascii="Calibri" w:hAnsi="Calibri"/>
                <w:sz w:val="18"/>
              </w:rPr>
              <w:t>Extend existing entities and gateways</w:t>
            </w:r>
          </w:p>
        </w:tc>
        <w:tc>
          <w:tcPr>
            <w:tcW w:type="dxa" w:w="1368"/>
            <w:shd w:fill="F2F4F7"/>
            <w:vAlign w:val="center"/>
            <w:tcMar>
              <w:top w:w="80" w:type="dxa"/>
              <w:start w:w="120" w:type="dxa"/>
              <w:bottom w:w="80" w:type="dxa"/>
              <w:end w:w="120" w:type="dxa"/>
            </w:tcMar>
          </w:tcPr>
          <w:p>
            <w:pPr>
              <w:spacing w:after="0"/>
            </w:pPr>
            <w:r>
              <w:rPr>
                <w:rFonts w:ascii="Calibri" w:hAnsi="Calibri"/>
                <w:sz w:val="18"/>
              </w:rPr>
              <w:t>Controlled</w:t>
            </w:r>
          </w:p>
        </w:tc>
      </w:tr>
      <w:tr>
        <w:trPr>
          <w:cantSplit/>
        </w:trPr>
        <w:tc>
          <w:tcPr>
            <w:tcW w:type="dxa" w:w="2376"/>
            <w:vAlign w:val="center"/>
            <w:tcMar>
              <w:top w:w="80" w:type="dxa"/>
              <w:start w:w="120" w:type="dxa"/>
              <w:bottom w:w="80" w:type="dxa"/>
              <w:end w:w="120" w:type="dxa"/>
            </w:tcMar>
          </w:tcPr>
          <w:p>
            <w:pPr>
              <w:spacing w:after="0"/>
            </w:pPr>
            <w:r>
              <w:rPr>
                <w:rFonts w:ascii="Calibri" w:hAnsi="Calibri"/>
                <w:sz w:val="18"/>
              </w:rPr>
              <w:t>Dashboard drift</w:t>
            </w:r>
          </w:p>
        </w:tc>
        <w:tc>
          <w:tcPr>
            <w:tcW w:type="dxa" w:w="2088"/>
            <w:vAlign w:val="center"/>
            <w:tcMar>
              <w:top w:w="80" w:type="dxa"/>
              <w:start w:w="120" w:type="dxa"/>
              <w:bottom w:w="80" w:type="dxa"/>
              <w:end w:w="120" w:type="dxa"/>
            </w:tcMar>
          </w:tcPr>
          <w:p>
            <w:pPr>
              <w:spacing w:after="0"/>
            </w:pPr>
            <w:r>
              <w:rPr>
                <w:rFonts w:ascii="Calibri" w:hAnsi="Calibri"/>
                <w:sz w:val="18"/>
              </w:rPr>
              <w:t>Incorrect decisions</w:t>
            </w:r>
          </w:p>
        </w:tc>
        <w:tc>
          <w:tcPr>
            <w:tcW w:type="dxa" w:w="3528"/>
            <w:vAlign w:val="center"/>
            <w:tcMar>
              <w:top w:w="80" w:type="dxa"/>
              <w:start w:w="120" w:type="dxa"/>
              <w:bottom w:w="80" w:type="dxa"/>
              <w:end w:w="120" w:type="dxa"/>
            </w:tcMar>
          </w:tcPr>
          <w:p>
            <w:pPr>
              <w:spacing w:after="0"/>
            </w:pPr>
            <w:r>
              <w:rPr>
                <w:rFonts w:ascii="Calibri" w:hAnsi="Calibri"/>
                <w:sz w:val="18"/>
              </w:rPr>
              <w:t>Drill-down and reconciliation tests</w:t>
            </w:r>
          </w:p>
        </w:tc>
        <w:tc>
          <w:tcPr>
            <w:tcW w:type="dxa" w:w="1368"/>
            <w:vAlign w:val="center"/>
            <w:tcMar>
              <w:top w:w="80" w:type="dxa"/>
              <w:start w:w="120" w:type="dxa"/>
              <w:bottom w:w="80" w:type="dxa"/>
              <w:end w:w="120" w:type="dxa"/>
            </w:tcMar>
          </w:tcPr>
          <w:p>
            <w:pPr>
              <w:spacing w:after="0"/>
            </w:pPr>
            <w:r>
              <w:rPr>
                <w:rFonts w:ascii="Calibri" w:hAnsi="Calibri"/>
                <w:sz w:val="18"/>
              </w:rPr>
              <w:t>Open</w:t>
            </w:r>
          </w:p>
        </w:tc>
      </w:tr>
      <w:tr>
        <w:trPr>
          <w:cantSplit/>
        </w:trPr>
        <w:tc>
          <w:tcPr>
            <w:tcW w:type="dxa" w:w="2376"/>
            <w:shd w:fill="F2F4F7"/>
            <w:vAlign w:val="center"/>
            <w:tcMar>
              <w:top w:w="80" w:type="dxa"/>
              <w:start w:w="120" w:type="dxa"/>
              <w:bottom w:w="80" w:type="dxa"/>
              <w:end w:w="120" w:type="dxa"/>
            </w:tcMar>
          </w:tcPr>
          <w:p>
            <w:pPr>
              <w:spacing w:after="0"/>
            </w:pPr>
            <w:r>
              <w:rPr>
                <w:rFonts w:ascii="Calibri" w:hAnsi="Calibri"/>
                <w:sz w:val="18"/>
              </w:rPr>
              <w:t>Recommendation mistaken for instruction</w:t>
            </w:r>
          </w:p>
        </w:tc>
        <w:tc>
          <w:tcPr>
            <w:tcW w:type="dxa" w:w="2088"/>
            <w:shd w:fill="F2F4F7"/>
            <w:vAlign w:val="center"/>
            <w:tcMar>
              <w:top w:w="80" w:type="dxa"/>
              <w:start w:w="120" w:type="dxa"/>
              <w:bottom w:w="80" w:type="dxa"/>
              <w:end w:w="120" w:type="dxa"/>
            </w:tcMar>
          </w:tcPr>
          <w:p>
            <w:pPr>
              <w:spacing w:after="0"/>
            </w:pPr>
            <w:r>
              <w:rPr>
                <w:rFonts w:ascii="Calibri" w:hAnsi="Calibri"/>
                <w:sz w:val="18"/>
              </w:rPr>
              <w:t>Safety/accountability risk</w:t>
            </w:r>
          </w:p>
        </w:tc>
        <w:tc>
          <w:tcPr>
            <w:tcW w:type="dxa" w:w="3528"/>
            <w:shd w:fill="F2F4F7"/>
            <w:vAlign w:val="center"/>
            <w:tcMar>
              <w:top w:w="80" w:type="dxa"/>
              <w:start w:w="120" w:type="dxa"/>
              <w:bottom w:w="80" w:type="dxa"/>
              <w:end w:w="120" w:type="dxa"/>
            </w:tcMar>
          </w:tcPr>
          <w:p>
            <w:pPr>
              <w:spacing w:after="0"/>
            </w:pPr>
            <w:r>
              <w:rPr>
                <w:rFonts w:ascii="Calibri" w:hAnsi="Calibri"/>
                <w:sz w:val="18"/>
              </w:rPr>
              <w:t>Human decision and override audit</w:t>
            </w:r>
          </w:p>
        </w:tc>
        <w:tc>
          <w:tcPr>
            <w:tcW w:type="dxa" w:w="1368"/>
            <w:shd w:fill="F2F4F7"/>
            <w:vAlign w:val="center"/>
            <w:tcMar>
              <w:top w:w="80" w:type="dxa"/>
              <w:start w:w="120" w:type="dxa"/>
              <w:bottom w:w="80" w:type="dxa"/>
              <w:end w:w="120" w:type="dxa"/>
            </w:tcMar>
          </w:tcPr>
          <w:p>
            <w:pPr>
              <w:spacing w:after="0"/>
            </w:pPr>
            <w:r>
              <w:rPr>
                <w:rFonts w:ascii="Calibri" w:hAnsi="Calibri"/>
                <w:sz w:val="18"/>
              </w:rPr>
              <w:t>Controlled</w:t>
            </w:r>
          </w:p>
        </w:tc>
      </w:tr>
      <w:tr>
        <w:trPr>
          <w:cantSplit/>
        </w:trPr>
        <w:tc>
          <w:tcPr>
            <w:tcW w:type="dxa" w:w="2376"/>
            <w:vAlign w:val="center"/>
            <w:tcMar>
              <w:top w:w="80" w:type="dxa"/>
              <w:start w:w="120" w:type="dxa"/>
              <w:bottom w:w="80" w:type="dxa"/>
              <w:end w:w="120" w:type="dxa"/>
            </w:tcMar>
          </w:tcPr>
          <w:p>
            <w:pPr>
              <w:spacing w:after="0"/>
            </w:pPr>
            <w:r>
              <w:rPr>
                <w:rFonts w:ascii="Calibri" w:hAnsi="Calibri"/>
                <w:sz w:val="18"/>
              </w:rPr>
              <w:t>Premature solver</w:t>
            </w:r>
          </w:p>
        </w:tc>
        <w:tc>
          <w:tcPr>
            <w:tcW w:type="dxa" w:w="2088"/>
            <w:vAlign w:val="center"/>
            <w:tcMar>
              <w:top w:w="80" w:type="dxa"/>
              <w:start w:w="120" w:type="dxa"/>
              <w:bottom w:w="80" w:type="dxa"/>
              <w:end w:w="120" w:type="dxa"/>
            </w:tcMar>
          </w:tcPr>
          <w:p>
            <w:pPr>
              <w:spacing w:after="0"/>
            </w:pPr>
            <w:r>
              <w:rPr>
                <w:rFonts w:ascii="Calibri" w:hAnsi="Calibri"/>
                <w:sz w:val="18"/>
              </w:rPr>
              <w:t>Cost without value</w:t>
            </w:r>
          </w:p>
        </w:tc>
        <w:tc>
          <w:tcPr>
            <w:tcW w:type="dxa" w:w="3528"/>
            <w:vAlign w:val="center"/>
            <w:tcMar>
              <w:top w:w="80" w:type="dxa"/>
              <w:start w:w="120" w:type="dxa"/>
              <w:bottom w:w="80" w:type="dxa"/>
              <w:end w:w="120" w:type="dxa"/>
            </w:tcMar>
          </w:tcPr>
          <w:p>
            <w:pPr>
              <w:spacing w:after="0"/>
            </w:pPr>
            <w:r>
              <w:rPr>
                <w:rFonts w:ascii="Calibri" w:hAnsi="Calibri"/>
                <w:sz w:val="18"/>
              </w:rPr>
              <w:t>Production evidence gate</w:t>
            </w:r>
          </w:p>
        </w:tc>
        <w:tc>
          <w:tcPr>
            <w:tcW w:type="dxa" w:w="1368"/>
            <w:vAlign w:val="center"/>
            <w:tcMar>
              <w:top w:w="80" w:type="dxa"/>
              <w:start w:w="120" w:type="dxa"/>
              <w:bottom w:w="80" w:type="dxa"/>
              <w:end w:w="120" w:type="dxa"/>
            </w:tcMar>
          </w:tcPr>
          <w:p>
            <w:pPr>
              <w:spacing w:after="0"/>
            </w:pPr>
            <w:r>
              <w:rPr>
                <w:rFonts w:ascii="Calibri" w:hAnsi="Calibri"/>
                <w:sz w:val="18"/>
              </w:rPr>
              <w:t>Controlled</w:t>
            </w:r>
          </w:p>
        </w:tc>
      </w:tr>
      <w:tr>
        <w:trPr>
          <w:cantSplit/>
        </w:trPr>
        <w:tc>
          <w:tcPr>
            <w:tcW w:type="dxa" w:w="2376"/>
            <w:shd w:fill="F2F4F7"/>
            <w:vAlign w:val="center"/>
            <w:tcMar>
              <w:top w:w="80" w:type="dxa"/>
              <w:start w:w="120" w:type="dxa"/>
              <w:bottom w:w="80" w:type="dxa"/>
              <w:end w:w="120" w:type="dxa"/>
            </w:tcMar>
          </w:tcPr>
          <w:p>
            <w:pPr>
              <w:spacing w:after="0"/>
            </w:pPr>
            <w:r>
              <w:rPr>
                <w:rFonts w:ascii="Calibri" w:hAnsi="Calibri"/>
                <w:sz w:val="18"/>
              </w:rPr>
              <w:t>Interrupted scan leaves cache residue</w:t>
            </w:r>
          </w:p>
        </w:tc>
        <w:tc>
          <w:tcPr>
            <w:tcW w:type="dxa" w:w="2088"/>
            <w:shd w:fill="F2F4F7"/>
            <w:vAlign w:val="center"/>
            <w:tcMar>
              <w:top w:w="80" w:type="dxa"/>
              <w:start w:w="120" w:type="dxa"/>
              <w:bottom w:w="80" w:type="dxa"/>
              <w:end w:w="120" w:type="dxa"/>
            </w:tcMar>
          </w:tcPr>
          <w:p>
            <w:pPr>
              <w:spacing w:after="0"/>
            </w:pPr>
            <w:r>
              <w:rPr>
                <w:rFonts w:ascii="Calibri" w:hAnsi="Calibri"/>
                <w:sz w:val="18"/>
              </w:rPr>
              <w:t>Private evidence persists</w:t>
            </w:r>
          </w:p>
        </w:tc>
        <w:tc>
          <w:tcPr>
            <w:tcW w:type="dxa" w:w="3528"/>
            <w:shd w:fill="F2F4F7"/>
            <w:vAlign w:val="center"/>
            <w:tcMar>
              <w:top w:w="80" w:type="dxa"/>
              <w:start w:w="120" w:type="dxa"/>
              <w:bottom w:w="80" w:type="dxa"/>
              <w:end w:w="120" w:type="dxa"/>
            </w:tcMar>
          </w:tcPr>
          <w:p>
            <w:pPr>
              <w:spacing w:after="0"/>
            </w:pPr>
            <w:r>
              <w:rPr>
                <w:rFonts w:ascii="Calibri" w:hAnsi="Calibri"/>
                <w:sz w:val="18"/>
              </w:rPr>
              <w:t>Private cache, cleanup and startup sweep</w:t>
            </w:r>
          </w:p>
        </w:tc>
        <w:tc>
          <w:tcPr>
            <w:tcW w:type="dxa" w:w="1368"/>
            <w:shd w:fill="F2F4F7"/>
            <w:vAlign w:val="center"/>
            <w:tcMar>
              <w:top w:w="80" w:type="dxa"/>
              <w:start w:w="120" w:type="dxa"/>
              <w:bottom w:w="80" w:type="dxa"/>
              <w:end w:w="120" w:type="dxa"/>
            </w:tcMar>
          </w:tcPr>
          <w:p>
            <w:pPr>
              <w:spacing w:after="0"/>
            </w:pPr>
            <w:r>
              <w:rPr>
                <w:rFonts w:ascii="Calibri" w:hAnsi="Calibri"/>
                <w:sz w:val="18"/>
              </w:rPr>
              <w:t>Code controlled; device test pending</w:t>
            </w:r>
          </w:p>
        </w:tc>
      </w:tr>
      <w:tr>
        <w:trPr>
          <w:cantSplit/>
        </w:trPr>
        <w:tc>
          <w:tcPr>
            <w:tcW w:type="dxa" w:w="2376"/>
            <w:vAlign w:val="center"/>
            <w:tcMar>
              <w:top w:w="80" w:type="dxa"/>
              <w:start w:w="120" w:type="dxa"/>
              <w:bottom w:w="80" w:type="dxa"/>
              <w:end w:w="120" w:type="dxa"/>
            </w:tcMar>
          </w:tcPr>
          <w:p>
            <w:pPr>
              <w:spacing w:after="0"/>
            </w:pPr>
            <w:r>
              <w:rPr>
                <w:rFonts w:ascii="Calibri" w:hAnsi="Calibri"/>
                <w:sz w:val="18"/>
              </w:rPr>
              <w:t>OCR suggestion treated as truth</w:t>
            </w:r>
          </w:p>
        </w:tc>
        <w:tc>
          <w:tcPr>
            <w:tcW w:type="dxa" w:w="2088"/>
            <w:vAlign w:val="center"/>
            <w:tcMar>
              <w:top w:w="80" w:type="dxa"/>
              <w:start w:w="120" w:type="dxa"/>
              <w:bottom w:w="80" w:type="dxa"/>
              <w:end w:w="120" w:type="dxa"/>
            </w:tcMar>
          </w:tcPr>
          <w:p>
            <w:pPr>
              <w:spacing w:after="0"/>
            </w:pPr>
            <w:r>
              <w:rPr>
                <w:rFonts w:ascii="Calibri" w:hAnsi="Calibri"/>
                <w:sz w:val="18"/>
              </w:rPr>
              <w:t>Incorrect asset data</w:t>
            </w:r>
          </w:p>
        </w:tc>
        <w:tc>
          <w:tcPr>
            <w:tcW w:type="dxa" w:w="3528"/>
            <w:vAlign w:val="center"/>
            <w:tcMar>
              <w:top w:w="80" w:type="dxa"/>
              <w:start w:w="120" w:type="dxa"/>
              <w:bottom w:w="80" w:type="dxa"/>
              <w:end w:w="120" w:type="dxa"/>
            </w:tcMar>
          </w:tcPr>
          <w:p>
            <w:pPr>
              <w:spacing w:after="0"/>
            </w:pPr>
            <w:r>
              <w:rPr>
                <w:rFonts w:ascii="Calibri" w:hAnsi="Calibri"/>
                <w:sz w:val="18"/>
              </w:rPr>
              <w:t>Human apply/verify and immutable provenance</w:t>
            </w:r>
          </w:p>
        </w:tc>
        <w:tc>
          <w:tcPr>
            <w:tcW w:type="dxa" w:w="1368"/>
            <w:vAlign w:val="center"/>
            <w:tcMar>
              <w:top w:w="80" w:type="dxa"/>
              <w:start w:w="120" w:type="dxa"/>
              <w:bottom w:w="80" w:type="dxa"/>
              <w:end w:w="120" w:type="dxa"/>
            </w:tcMar>
          </w:tcPr>
          <w:p>
            <w:pPr>
              <w:spacing w:after="0"/>
            </w:pPr>
            <w:r>
              <w:rPr>
                <w:rFonts w:ascii="Calibri" w:hAnsi="Calibri"/>
                <w:sz w:val="18"/>
              </w:rPr>
              <w:t>Code controlled; UAT pending</w:t>
            </w:r>
          </w:p>
        </w:tc>
      </w:tr>
    </w:tbl>
    <w:p>
      <w:pPr>
        <w:spacing w:after="0"/>
      </w:pPr>
    </w:p>
    <w:p>
      <w:pPr>
        <w:pStyle w:val="Heading1"/>
      </w:pPr>
      <w:r>
        <w:t>10. Definition of done</w:t>
      </w:r>
    </w:p>
    <w:p>
      <w:pPr>
        <w:pStyle w:val="ListBullet"/>
      </w:pPr>
      <w:r>
        <w:t>The existing workflow is enhanced rather than duplicated.</w:t>
      </w:r>
    </w:p>
    <w:p>
      <w:pPr>
        <w:pStyle w:val="ListBullet"/>
      </w:pPr>
      <w:r>
        <w:t>Acceptance criteria are demonstrated, not only described.</w:t>
      </w:r>
    </w:p>
    <w:p>
      <w:pPr>
        <w:pStyle w:val="ListBullet"/>
      </w:pPr>
      <w:r>
        <w:t>New mutations leave immutable audit evidence.</w:t>
      </w:r>
    </w:p>
    <w:p>
      <w:pPr>
        <w:pStyle w:val="ListBullet"/>
      </w:pPr>
      <w:r>
        <w:t>Authorization changes include role-negative tests.</w:t>
      </w:r>
    </w:p>
    <w:p>
      <w:pPr>
        <w:pStyle w:val="ListBullet"/>
      </w:pPr>
      <w:r>
        <w:t>Schema changes include migration/reset and rollback evidence.</w:t>
      </w:r>
    </w:p>
    <w:p>
      <w:pPr>
        <w:pStyle w:val="ListBullet"/>
      </w:pPr>
      <w:r>
        <w:t>Rendered changes have desktop and 390 px proof.</w:t>
      </w:r>
    </w:p>
    <w:p>
      <w:pPr>
        <w:pStyle w:val="ListBullet"/>
      </w:pPr>
      <w:r>
        <w:t>Metrics reconcile to persisted records.</w:t>
      </w:r>
    </w:p>
    <w:p>
      <w:pPr>
        <w:pStyle w:val="ListBullet"/>
      </w:pPr>
      <w:r>
        <w:t>The journey, decision, evidence, and risk registers are updated.</w:t>
      </w:r>
    </w:p>
    <w:p>
      <w:pPr>
        <w:pStyle w:val="ListBullet"/>
      </w:pPr>
      <w:r>
        <w:t>Verified completion is separated from partial proof and external blockers.</w:t>
      </w:r>
    </w:p>
    <w:p>
      <w:r>
        <w:br w:type="page"/>
      </w:r>
    </w:p>
    <w:p>
      <w:pPr>
        <w:pStyle w:val="Heading1"/>
      </w:pPr>
      <w:r>
        <w:t>11. Source material</w:t>
      </w:r>
    </w:p>
    <w:p>
      <w:r>
        <w:t>Senatla Trading - Harmony Mine Operations: Saaiplass #3 Rehabilitation &amp; Demolition - Discrete Programming + Operations Research Business Ecosystem. Thirteen-page illustrative strategy document supplied August 2026.</w:t>
      </w:r>
    </w:p>
    <w:p>
      <w:r>
        <w:t>Current Senatla Ops architecture, delivery backlog, migrations, models, routes, role experiences, and tests inspected during the planning pass.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7"/>
      </w:rPr>
      <w:t xml:space="preserve">Page </w:t>
    </w:r>
    <w:r>
      <w:rPr>
        <w:rFonts w:ascii="Calibri" w:hAnsi="Calibri"/>
        <w:color w:val="59636E"/>
        <w:sz w:val="17"/>
      </w:rPr>
      <w:fldChar w:fldCharType="begin"/>
      <w:instrText xml:space="preserve">PAGE</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9636E"/>
        <w:sz w:val="17"/>
      </w:rPr>
      <w:t>SENATLA OPS  |  IMPLEMENTATION JOURNEY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Senatla Ops Implementation Journey</dc:title>
  <dc:subject>Living record for evidence-led enhancement of the existing Senatla Ops application</dc:subject>
  <dc:creator>Senatla Trading / Sankofa Digital</dc:creator>
  <cp:keywords>Senatla Ops, implementation journey, readiness, operational control</cp:keywords>
  <dc:description>Living working document - update after every implementation slice.</dc:description>
  <cp:lastModifiedBy/>
  <cp:revision>1</cp:revision>
  <dcterms:created xsi:type="dcterms:W3CDTF">2013-12-23T23:15:00Z</dcterms:created>
  <dcterms:modified xsi:type="dcterms:W3CDTF">2013-12-23T23:15:00Z</dcterms:modified>
  <cp:category/>
</cp:coreProperties>
</file>