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I – GROWTH &amp; ACTIVATION ENGINE</w:t>
      </w:r>
    </w:p>
    <w:p>
      <w:pPr>
        <w:pStyle w:val="Heading2"/>
      </w:pPr>
      <w:r>
        <w:t>I.1 Strategic Purpose</w:t>
      </w:r>
    </w:p>
    <w:p>
      <w:pPr>
        <w:spacing w:after="200"/>
      </w:pPr>
      <w:r>
        <w:t>Produce product-specific, geo-precise, high-intent leads.</w:t>
      </w:r>
    </w:p>
    <w:p>
      <w:pPr>
        <w:pStyle w:val="Heading2"/>
      </w:pPr>
      <w:r>
        <w:t>I.2 Supply-First Growth Model</w:t>
      </w:r>
    </w:p>
    <w:p>
      <w:pPr>
        <w:spacing w:after="200"/>
      </w:pPr>
      <w:r>
        <w:t>Growth starts with verified supply.</w:t>
      </w:r>
    </w:p>
    <w:p>
      <w:pPr>
        <w:pStyle w:val="Heading2"/>
      </w:pPr>
      <w:r>
        <w:t>I.3 Geo-Precision Targeting</w:t>
      </w:r>
    </w:p>
    <w:p>
      <w:pPr>
        <w:spacing w:after="200"/>
      </w:pPr>
      <w:r>
        <w:t>20–50 meter address-level targeting.</w:t>
      </w:r>
    </w:p>
    <w:p>
      <w:pPr>
        <w:pStyle w:val="Heading2"/>
      </w:pPr>
      <w:r>
        <w:t>I.4 Zero-Point Activation</w:t>
      </w:r>
    </w:p>
    <w:p>
      <w:pPr>
        <w:spacing w:after="200"/>
      </w:pPr>
      <w:r>
        <w:t>Activation at need-point, not search.</w:t>
      </w:r>
    </w:p>
    <w:p>
      <w:pPr>
        <w:pStyle w:val="Heading2"/>
      </w:pPr>
      <w:r>
        <w:t>I.5 Product-Centric Lead Definition</w:t>
      </w:r>
    </w:p>
    <w:p>
      <w:pPr>
        <w:spacing w:after="200"/>
      </w:pPr>
      <w:r>
        <w:t>No generic leads allowed.</w:t>
      </w:r>
    </w:p>
    <w:p>
      <w:pPr>
        <w:pStyle w:val="Heading2"/>
      </w:pPr>
      <w:r>
        <w:t>I.6 Finder_OS ↔ FINDIAG Boundary</w:t>
      </w:r>
    </w:p>
    <w:p>
      <w:pPr>
        <w:spacing w:after="200"/>
      </w:pPr>
      <w:r>
        <w:t>Clear operational separation.</w:t>
      </w:r>
    </w:p>
    <w:p>
      <w:pPr>
        <w:pStyle w:val="Heading2"/>
      </w:pPr>
      <w:r>
        <w:t>I.7 Monetization Neutrality</w:t>
      </w:r>
    </w:p>
    <w:p>
      <w:pPr>
        <w:spacing w:after="200"/>
      </w:pPr>
      <w:r>
        <w:t>Growth engine is monetization-agnostic.</w:t>
      </w:r>
    </w:p>
    <w:p>
      <w:pPr>
        <w:pStyle w:val="Heading2"/>
      </w:pPr>
      <w:r>
        <w:t>I.8 Data as Strategic Asset</w:t>
      </w:r>
    </w:p>
    <w:p>
      <w:pPr>
        <w:spacing w:after="200"/>
      </w:pPr>
      <w:r>
        <w:t>Data compounds long-term value.</w:t>
      </w:r>
    </w:p>
    <w:p>
      <w:pPr>
        <w:pStyle w:val="Heading2"/>
      </w:pPr>
      <w:r>
        <w:t>I.9 Minimum Compliance Rules</w:t>
      </w:r>
    </w:p>
    <w:p>
      <w:pPr>
        <w:spacing w:after="200"/>
      </w:pPr>
      <w:r>
        <w:t>Standards are non-optional.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