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Agentic AI as a Key to the Vault: Unlocking Legacy Eclipse Reservoir Models for Open-Source Simulation at Scale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There are tens of thousands of reservoir simulation models sitting in the industry right</w:t>
      </w:r>
    </w:p>
    <w:p>
      <w:r>
        <w:t>now that nobody is running.  They are locked inside commercial software environments —</w:t>
      </w:r>
    </w:p>
    <w:p>
      <w:r>
        <w:t>Eclipse, tNavigator, CMG — that cost $50,000 to $150,000 per seat per year.  The models</w:t>
      </w:r>
    </w:p>
    <w:p>
      <w:r>
        <w:t>themselves are valuable: years of geological interpretation, history matching, and</w:t>
      </w:r>
    </w:p>
    <w:p>
      <w:r>
        <w:t>engineering calibration embedded in a DATA file. But the physics inside that file is</w:t>
      </w:r>
    </w:p>
    <w:p>
      <w:r>
        <w:t>inaccessible to anyone without the right licence on the right machine.</w:t>
      </w:r>
    </w:p>
    <w:p>
      <w:r>
        <w:t>OPM Flow has been able to read Eclipse DATA decks natively for several years.  It runs on</w:t>
      </w:r>
    </w:p>
    <w:p>
      <w:r>
        <w:t>commodity hardware — a standard workstation or a laptop — uses CPU rather than GPU, and</w:t>
      </w:r>
    </w:p>
    <w:p>
      <w:r>
        <w:t>carries no licence cost.  The technical capability to unlock those models has existed.</w:t>
      </w:r>
    </w:p>
    <w:p>
      <w:r>
        <w:t>What has not existed, until now, is a practical workflow for doing it at scale.</w:t>
      </w:r>
    </w:p>
    <w:p>
      <w:r>
        <w:t>The barrier was never OPM's physics.  The barrier was the overhead.  A real-world</w:t>
      </w:r>
    </w:p>
    <w:p>
      <w:r>
        <w:t>commercial model is not a clean textbook input.  It has Eclipse-specific keywords that OPM</w:t>
      </w:r>
    </w:p>
    <w:p>
      <w:r>
        <w:t>does not recognise, aquifer connection blocks that reference inactive cells, proprietary</w:t>
      </w:r>
    </w:p>
    <w:p>
      <w:r>
        <w:t>identifiers throughout, and outputs that sit on a slightly different time axis than the</w:t>
      </w:r>
    </w:p>
    <w:p>
      <w:r>
        <w:t>reference.  Resolving those issues for a single model might take a senior reservoir engineer</w:t>
      </w:r>
    </w:p>
    <w:p>
      <w:r>
        <w:t>half a day of trial and error followed by three to five days of careful output comparison.</w:t>
      </w:r>
    </w:p>
    <w:p>
      <w:r>
        <w:t>Multiply that by a portfolio of 30 models and the project becomes a programme — one that</w:t>
      </w:r>
    </w:p>
    <w:p>
      <w:r>
        <w:t>rarely gets resourced because the commercial alternative, however expensive, is simply</w:t>
      </w:r>
    </w:p>
    <w:p>
      <w:r>
        <w:t>faster to keep paying for.</w:t>
      </w:r>
    </w:p>
    <w:p>
      <w:r>
        <w:t>Agentic AI changes that equation.  Not by making OPM better — OPM is already good — but</w:t>
      </w:r>
    </w:p>
    <w:p>
      <w:r>
        <w:t>by making the conversion workflow fast enough, cheap enough, and reproducible enough to</w:t>
      </w:r>
    </w:p>
    <w:p>
      <w:r>
        <w:t>run at scale.  What I built here is a sequence of seven autonomous agents that take a</w:t>
      </w:r>
    </w:p>
    <w:p>
      <w:r>
        <w:t>legacy Eclipse model, convert it, validate every output against the commercial reference,</w:t>
      </w:r>
    </w:p>
    <w:p>
      <w:r>
        <w:t>run a forward prediction, and package the results.  Total engineer time: about 30 minutes</w:t>
      </w:r>
    </w:p>
    <w:p>
      <w:r>
        <w:t>to configure and review.  Total compute cost: a CPU and 37 minutes.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Where this actually changes the economics: three scenarios</w:t>
      </w:r>
    </w:p>
    <w:p>
      <w:r>
        <w:t>The workflow is a means, not an end.  Before getting into how it works, it is worth</w:t>
      </w:r>
    </w:p>
    <w:p>
      <w:r>
        <w:t>being concrete about the situations where removing the licence barrier actually matters.</w:t>
      </w:r>
    </w:p>
    <w:p>
      <w:r/>
      <w:r>
        <w:rPr>
          <w:b/>
        </w:rPr>
        <w:t>Virtual data rooms during asset transactions.</w:t>
      </w:r>
      <w:r>
        <w:t xml:space="preserve">  When a buyer's technical team reviews an</w:t>
      </w:r>
    </w:p>
    <w:p>
      <w:r>
        <w:t>asset in a VDR, they typically get access to the simulation files but not the software to</w:t>
      </w:r>
    </w:p>
    <w:p>
      <w:r>
        <w:t>run them.  Eclipse licences are not portable and the seller's IT environment is closed.</w:t>
      </w:r>
    </w:p>
    <w:p>
      <w:r>
        <w:t>With OPM, the buyer's team can run the model on their own hardware — a laptop with WSL is</w:t>
      </w:r>
    </w:p>
    <w:p>
      <w:r>
        <w:t>sufficient — within the VDR period.  That means running sensitivities on the seller's</w:t>
      </w:r>
    </w:p>
    <w:p>
      <w:r>
        <w:t>forecast, stress-testing their assumptions, and forming an independent view on reserves</w:t>
      </w:r>
    </w:p>
    <w:p>
      <w:r>
        <w:t>before exclusivity.  Today, many buyers are limited to reading the static outputs the seller</w:t>
      </w:r>
    </w:p>
    <w:p>
      <w:r>
        <w:t>chose to share.  That is a material information asymmetry that OPM can close.</w:t>
      </w:r>
    </w:p>
    <w:p>
      <w:r/>
      <w:r>
        <w:rPr>
          <w:b/>
        </w:rPr>
        <w:t>Post-acquisition data harmonisation.</w:t>
      </w:r>
      <w:r>
        <w:t xml:space="preserve">  After an acquisition, an operator inherits models</w:t>
      </w:r>
    </w:p>
    <w:p>
      <w:r>
        <w:t>built in whatever simulators the previous owner used.  Portfolios of 20 or 30 models in</w:t>
      </w:r>
    </w:p>
    <w:p>
      <w:r>
        <w:t>mixed platforms — Eclipse, tNavigator, older Petrel versions — are common.  Re-licensing</w:t>
      </w:r>
    </w:p>
    <w:p>
      <w:r>
        <w:t>or standardising onto one commercial platform takes months and costs.  OPM provides a</w:t>
      </w:r>
    </w:p>
    <w:p>
      <w:r>
        <w:t>bridge: run the inherited Eclipse decks as-is, extract consistent outputs, and integrate</w:t>
      </w:r>
    </w:p>
    <w:p>
      <w:r>
        <w:t>the results into the new operator's portfolio reporting immediately.  The legacy models do</w:t>
      </w:r>
    </w:p>
    <w:p>
      <w:r>
        <w:t>not need to be converted — they just need to be validated once.</w:t>
      </w:r>
    </w:p>
    <w:p>
      <w:r/>
      <w:r>
        <w:rPr>
          <w:b/>
        </w:rPr>
        <w:t>Independent regulatory and reserves audit.</w:t>
      </w:r>
      <w:r>
        <w:t xml:space="preserve">  National oil companies and regulators in a</w:t>
      </w:r>
    </w:p>
    <w:p>
      <w:r>
        <w:t>growing number of jurisdictions are moving toward independently reproducible simulation</w:t>
      </w:r>
    </w:p>
    <w:p>
      <w:r>
        <w:t>runs as part of field development plan submissions or reserves certification.  A commercial</w:t>
      </w:r>
    </w:p>
    <w:p>
      <w:r>
        <w:t>simulator is a black box to the regulator: they can see inputs and outputs but not the</w:t>
      </w:r>
    </w:p>
    <w:p>
      <w:r>
        <w:t>solver.  OPM's open-source codebase changes that.  A technically capable third party can</w:t>
      </w:r>
    </w:p>
    <w:p>
      <w:r>
        <w:t>inspect not just what the model says but how the mathematics were applied.  For</w:t>
      </w:r>
    </w:p>
    <w:p>
      <w:r>
        <w:t>technically complex submissions — gas reservoir depletion, complex aquifer behaviour, EOR</w:t>
      </w:r>
    </w:p>
    <w:p>
      <w:r>
        <w:t>schemes — that level of transparency is increasingly being asked for.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approach: what the agents did and why</w:t>
      </w:r>
    </w:p>
    <w:p>
      <w:r>
        <w:t>The workflow runs seven Python scripts, each invoked in sequence by an orchestrator.</w:t>
      </w:r>
    </w:p>
    <w:p>
      <w:r>
        <w:t>Every agent writes its outputs to a shared directory and reads its inputs from the same</w:t>
      </w:r>
    </w:p>
    <w:p>
      <w:r>
        <w:t>place.  Nothing is passed in memory between agents — only files.  This design means any</w:t>
      </w:r>
    </w:p>
    <w:p>
      <w:r>
        <w:t>agent can be re-run in isolation for debugging, and the workflow can be interrupted and</w:t>
      </w:r>
    </w:p>
    <w:p>
      <w:r>
        <w:t>resumed at any step.</w:t>
      </w:r>
    </w:p>
    <w:p>
      <w:r/>
      <w:r>
        <w:rPr>
          <w:b/>
        </w:rPr>
        <w:t>Agent 1 — Environment check.</w:t>
      </w:r>
      <w:r>
        <w:t xml:space="preserve">  Before committing time to a simulation run, the first</w:t>
      </w:r>
    </w:p>
    <w:p>
      <w:r>
        <w:t>thing the agent does is verify that OPM Flow is installed (`wsl flow --version`), that all</w:t>
      </w:r>
    </w:p>
    <w:p>
      <w:r>
        <w:t>required Python packages are importable, and that the DATA file exists at the configured</w:t>
      </w:r>
    </w:p>
    <w:p>
      <w:r>
        <w:t>path.  This is a fail-fast check.  The reason it exists as a separate agent rather than</w:t>
      </w:r>
    </w:p>
    <w:p>
      <w:r>
        <w:t>being part of the run step is that environment failures have a completely different</w:t>
      </w:r>
    </w:p>
    <w:p>
      <w:r>
        <w:t>character from simulation failures — they are fixed by installing software, not by editing</w:t>
      </w:r>
    </w:p>
    <w:p>
      <w:r>
        <w:t>the model — and surfacing them immediately saves the user from waiting through a long run</w:t>
      </w:r>
    </w:p>
    <w:p>
      <w:r>
        <w:t>only to hit an import error at the end.</w:t>
      </w:r>
    </w:p>
    <w:p>
      <w:r/>
      <w:r>
        <w:rPr>
          <w:b/>
        </w:rPr>
        <w:t>Agent 2 — Run OPM Flow.</w:t>
      </w:r>
      <w:r>
        <w:t xml:space="preserve">  The agent constructs the OPM command with two flags that are</w:t>
      </w:r>
    </w:p>
    <w:p>
      <w:r>
        <w:t>non-obvious but important.  `--parsing-strictness=low` tells OPM to accept Eclipse keywords</w:t>
      </w:r>
    </w:p>
    <w:p>
      <w:r>
        <w:t>it does not recognise rather than aborting — without it, the simulator exits immediately on</w:t>
      </w:r>
    </w:p>
    <w:p>
      <w:r>
        <w:t>the first unknown keyword, which for a real-world commercial model is usually within the</w:t>
      </w:r>
    </w:p>
    <w:p>
      <w:r>
        <w:t>first 50 lines.  `--max-single-precision-days=0` forces double-precision arithmetic</w:t>
      </w:r>
    </w:p>
    <w:p>
      <w:r>
        <w:t>throughout; OPM's default is to switch to single precision after a threshold, which</w:t>
      </w:r>
    </w:p>
    <w:p>
      <w:r>
        <w:t>degrades pressure accuracy.  The agent streams the PRT output line-by-line as the run</w:t>
      </w:r>
    </w:p>
    <w:p>
      <w:r>
        <w:t>progresses so the user can watch convergence in real time, and writes a convergence</w:t>
      </w:r>
    </w:p>
    <w:p>
      <w:r>
        <w:t>summary (Newton iterations per timestep, retried steps) to a JSON file for the</w:t>
      </w:r>
    </w:p>
    <w:p>
      <w:r>
        <w:t>performance dashboard.</w:t>
      </w:r>
    </w:p>
    <w:p>
      <w:r/>
      <w:r>
        <w:rPr>
          <w:b/>
        </w:rPr>
        <w:t>Agent 3 — Parse and align outputs.</w:t>
      </w:r>
      <w:r>
        <w:t xml:space="preserve">  This is where most of the technical complexity</w:t>
      </w:r>
    </w:p>
    <w:p>
      <w:r>
        <w:t>lives.  OPM and Eclipse produce their output on slightly different time axes: OPM's</w:t>
      </w:r>
    </w:p>
    <w:p>
      <w:r>
        <w:t>UNSMRY integration accumulates floating-point rounding differently from Eclipse's, and the</w:t>
      </w:r>
    </w:p>
    <w:p>
      <w:r>
        <w:t>INTEHEAD date integers in the UNRST binary need to be decoded and matched to Eclipse's</w:t>
      </w:r>
    </w:p>
    <w:p>
      <w:r>
        <w:t>restart schedule.  The agent handles both — linearly interpolating the OPM UNSMRY vectors</w:t>
      </w:r>
    </w:p>
    <w:p>
      <w:r>
        <w:t>onto Eclipse's 127-point time axis, and optionally loading Eclipse's UNRST binary for</w:t>
      </w:r>
    </w:p>
    <w:p>
      <w:r>
        <w:t>cell-level comparison if supplied.  It then serialises everything to a single `.npz` file.</w:t>
      </w:r>
    </w:p>
    <w:p>
      <w:r>
        <w:t>The reason for serialising rather than keeping arrays in memory is that downstream agents</w:t>
      </w:r>
    </w:p>
    <w:p>
      <w:r>
        <w:t>need to be restartable: if the visualisation step fails, you do not want to re-run the</w:t>
      </w:r>
    </w:p>
    <w:p>
      <w:r>
        <w:t>parser.</w:t>
      </w:r>
    </w:p>
    <w:p>
      <w:r/>
      <w:r>
        <w:rPr>
          <w:b/>
        </w:rPr>
        <w:t>Agent 4 — Metrics.</w:t>
      </w:r>
      <w:r>
        <w:t xml:space="preserve">  R² alone is not enough.  A simulator that produces systematically</w:t>
      </w:r>
    </w:p>
    <w:p>
      <w:r>
        <w:t>10% higher values with perfect shape gets R²=1.0 but is physically wrong.  The agent</w:t>
      </w:r>
    </w:p>
    <w:p>
      <w:r>
        <w:t>computes R², RMSE, P95 absolute error, MAPE (for cumulative vectors where near-zero values</w:t>
      </w:r>
    </w:p>
    <w:p>
      <w:r>
        <w:t>do not distort the percentage), normalised bias (as a percentage of the Eclipse mean), and</w:t>
      </w:r>
    </w:p>
    <w:p>
      <w:r>
        <w:t>within-tolerance rate.  Everything goes to a CSV.  The pass criterion is R² &gt;= 0.99: tight</w:t>
      </w:r>
    </w:p>
    <w:p>
      <w:r>
        <w:t>enough to be meaningful, lenient enough to account for the genuine algorithmic differences</w:t>
      </w:r>
    </w:p>
    <w:p>
      <w:r>
        <w:t>between the two solvers.</w:t>
      </w:r>
    </w:p>
    <w:p>
      <w:r/>
      <w:r>
        <w:rPr>
          <w:b/>
        </w:rPr>
        <w:t>Agent 5 — Visualise.</w:t>
      </w:r>
      <w:r>
        <w:t xml:space="preserve">  Five figures are generated automatically: the field rate and</w:t>
      </w:r>
    </w:p>
    <w:p>
      <w:r>
        <w:t>cumulative comparison with forward prediction, a concordance scatter for each field-level</w:t>
      </w:r>
    </w:p>
    <w:p>
      <w:r>
        <w:t>rate vector, cell-level error distributions, an AI/ML metrics dashboard, and a pipeline</w:t>
      </w:r>
    </w:p>
    <w:p>
      <w:r>
        <w:t>performance dashboard.  The reason to automate the figures — rather than generating them</w:t>
      </w:r>
    </w:p>
    <w:p>
      <w:r>
        <w:t>manually once — is reproducibility.  If the model is updated or re-run, the figures</w:t>
      </w:r>
    </w:p>
    <w:p>
      <w:r>
        <w:t>regenerate from the same code with no manual intervention.</w:t>
      </w:r>
    </w:p>
    <w:p>
      <w:r/>
      <w:r>
        <w:rPr>
          <w:b/>
        </w:rPr>
        <w:t>Agent 6 — Build clean OPM deck.</w:t>
      </w:r>
      <w:r>
        <w:t xml:space="preserve">  The original DATA file was exported from a commercial</w:t>
      </w:r>
    </w:p>
    <w:p>
      <w:r>
        <w:t>modelling environment and contains Eclipse-specific keywords that OPM does not use:</w:t>
      </w:r>
    </w:p>
    <w:p>
      <w:r>
        <w:t>licence block declarations, memory hints, deprecated VFP formatting.  The agent removes</w:t>
      </w:r>
    </w:p>
    <w:p>
      <w:r>
        <w:t>these, adds OPM-oriented section headers, and writes a cleaner version of the deck that</w:t>
      </w:r>
    </w:p>
    <w:p>
      <w:r>
        <w:t>runs in OPM without any command-line workarounds.</w:t>
      </w:r>
    </w:p>
    <w:p>
      <w:r/>
      <w:r>
        <w:rPr>
          <w:b/>
        </w:rPr>
        <w:t>Agent 7 — Predict forward.</w:t>
      </w:r>
      <w:r>
        <w:t xml:space="preserve">  Once validation is established, the natural question is</w:t>
      </w:r>
    </w:p>
    <w:p>
      <w:r>
        <w:t>what happens next.  The agent extends the schedule by one year beyond the historical end</w:t>
      </w:r>
    </w:p>
    <w:p>
      <w:r>
        <w:t>date, runs OPM on the extended deck, and generates the headline comparison figure: the</w:t>
      </w:r>
    </w:p>
    <w:p>
      <w:r>
        <w:t>full 10.5 years of Eclipse history, the OPM validation match overlaid on the same period,</w:t>
      </w:r>
    </w:p>
    <w:p>
      <w:r>
        <w:t>and the OPM-only prediction for the following year.  No new wells, no reservoir management</w:t>
      </w:r>
    </w:p>
    <w:p>
      <w:r>
        <w:t>changes — a pure extrapolation of the final well constraints into an undrilled future.</w:t>
      </w:r>
    </w:p>
    <w:p>
      <w:r>
        <w:t>Cumulative volumes are plotted on a secondary axis to show the integrated production</w:t>
      </w:r>
    </w:p>
    <w:p>
      <w:r>
        <w:t>trajectory alongside the instantaneous rates.</w:t>
      </w:r>
    </w:p>
    <w:p>
      <w:r/>
      <w:r>
        <w:rPr>
          <w:b/>
        </w:rPr>
        <w:t>Time savings.</w:t>
      </w:r>
      <w:r>
        <w:t xml:space="preserve">  A thorough manual validation of this model — patching the DATA deck,</w:t>
      </w:r>
    </w:p>
    <w:p>
      <w:r>
        <w:t>running the simulation, exporting and aligning outputs, computing statistics across 200+</w:t>
      </w:r>
    </w:p>
    <w:p>
      <w:r>
        <w:t>mnemonics, building comparison figures, writing a results summary — takes a senior</w:t>
      </w:r>
    </w:p>
    <w:p>
      <w:r>
        <w:t>reservoir engineer roughly three to five working days.  The agent workflow completed in</w:t>
      </w:r>
    </w:p>
    <w:p>
      <w:r>
        <w:t>37 minutes on a standard laptop: 35 minutes of OPM simulation compute running locally on</w:t>
      </w:r>
    </w:p>
    <w:p>
      <w:r>
        <w:t>CPU, and under two minutes for all seven Python agents combined.  That is not a</w:t>
      </w:r>
    </w:p>
    <w:p>
      <w:r>
        <w:t>replacement for the engineer's judgement — it is an elimination of the mechanical assembly</w:t>
      </w:r>
    </w:p>
    <w:p>
      <w:r>
        <w:t>work that does not require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Results</w:t>
      </w:r>
    </w:p>
    <w:p>
      <w:r>
        <w:t xml:space="preserve">The headline number: </w:t>
      </w:r>
      <w:r>
        <w:rPr>
          <w:b/>
        </w:rPr>
        <w:t>89% of all output mnemonics match Eclipse at R² &gt;= 0.99</w:t>
      </w:r>
      <w:r/>
    </w:p>
    <w:p>
      <w:r>
        <w:t>(72 of 81 matched vectors).</w:t>
      </w:r>
    </w:p>
    <w:p>
      <w:pPr>
        <w:jc w:val="center"/>
      </w:pPr>
      <w:r>
        <w:rPr>
          <w:i/>
          <w:sz w:val="19"/>
        </w:rPr>
        <w:t>Figure 1: Eclipse reference (solid blue), OPM validation match (dashed red), and OPM</w:t>
      </w:r>
    </w:p>
    <w:p>
      <w:r>
        <w:t>1-year forward prediction (dotted green with shaded band).  Instantaneous rates on the</w:t>
      </w:r>
    </w:p>
    <w:p>
      <w:r>
        <w:t>primary axis; cumulative volumes on the secondary axis.  The vertical line marks the end</w:t>
      </w:r>
    </w:p>
    <w:p>
      <w:r>
        <w:t>of the validation period.  Oil, water, and gas field vectors shown.*</w:t>
      </w:r>
    </w:p>
    <w:p>
      <w:r>
        <w:t>The concordance plot below shows each of the 127 report timesteps as a single point,</w:t>
      </w:r>
    </w:p>
    <w:p>
      <w:r>
        <w:t>plotted OPM against Eclipse, coloured by simulation time.  Points lying on the 1:1 line</w:t>
      </w:r>
    </w:p>
    <w:p>
      <w:r>
        <w:t>indicate perfect agreement.  The gas rate (R²=0.999) is effectively indistinguishable from</w:t>
      </w:r>
    </w:p>
    <w:p>
      <w:r>
        <w:t>perfect; the oil rate (R²=0.995) and water rate (R²=0.982) show slight scatter, consistent</w:t>
      </w:r>
    </w:p>
    <w:p>
      <w:r>
        <w:t>with the solver-level differences described below.</w:t>
      </w:r>
    </w:p>
    <w:p>
      <w:pPr>
        <w:jc w:val="center"/>
      </w:pPr>
      <w:r>
        <w:rPr>
          <w:i/>
          <w:sz w:val="19"/>
        </w:rPr>
        <w:t>Figure 2: OPM vs Eclipse at each of the 127 report timesteps for oil, water, and gas</w:t>
      </w:r>
    </w:p>
    <w:p>
      <w:r>
        <w:t>field production rates.  Colour indicates simulation time (early = purple, late = yellow).</w:t>
      </w:r>
    </w:p>
    <w:p>
      <w:r>
        <w:t>R² values annotated per panel.*</w:t>
      </w:r>
    </w:p>
    <w:p>
      <w:r>
        <w:t>The AI/ML metrics dashboard below shows three complementary perspectives on match quality.</w:t>
      </w:r>
    </w:p>
    <w:p>
      <w:r>
        <w:t>MAPE is reported only for cumulative volumes, where percentage errors are meaningful: FOPT</w:t>
      </w:r>
    </w:p>
    <w:p>
      <w:r>
        <w:t>at 1.5%, FWPT at 1.3%, and FGPT at 0.5% — all comfortably below the 2% engineering</w:t>
      </w:r>
    </w:p>
    <w:p>
      <w:r>
        <w:t>threshold.  The bias panel shows that OPM consistently under-predicts oil and water</w:t>
      </w:r>
    </w:p>
    <w:p>
      <w:r>
        <w:t>production rates by approximately 4–6%, while gas rate bias is negligible.  The</w:t>
      </w:r>
    </w:p>
    <w:p>
      <w:r>
        <w:t>within-tolerance panel shows the percentage of timesteps where rates fall within 2% of</w:t>
      </w:r>
    </w:p>
    <w:p>
      <w:r>
        <w:t>Eclipse: water achieves 75%, oil and gas 52–65%, reflecting that rate differences are</w:t>
      </w:r>
    </w:p>
    <w:p>
      <w:r>
        <w:t>concentrated at low-production periods where small absolute errors translate to large</w:t>
      </w:r>
    </w:p>
    <w:p>
      <w:r>
        <w:t>percentages.</w:t>
      </w:r>
    </w:p>
    <w:p>
      <w:pPr>
        <w:jc w:val="center"/>
      </w:pPr>
      <w:r>
        <w:rPr>
          <w:i/>
          <w:sz w:val="19"/>
        </w:rPr>
        <w:t>Figure 3: Three validation metrics across field production vectors.  Top: MAPE for</w:t>
      </w:r>
    </w:p>
    <w:p>
      <w:r>
        <w:t>cumulative volumes only (rates excluded — unreliable near zero production).  Centre:</w:t>
      </w:r>
    </w:p>
    <w:p>
      <w:r>
        <w:t>normalised mean bias error as a percentage of the Eclipse mean.  Bottom: percentage of</w:t>
      </w:r>
    </w:p>
    <w:p>
      <w:r>
        <w:t>timesteps within 2% of Eclipse.*</w:t>
      </w:r>
    </w:p>
    <w:p>
      <w:r>
        <w:t>Cell-level pressure and saturation error distributions confirm that the 3D physics are</w:t>
      </w:r>
    </w:p>
    <w:p>
      <w:r>
        <w:t>being solved consistently.  The distributions shown below are computed across all 114,768</w:t>
      </w:r>
    </w:p>
    <w:p>
      <w:r>
        <w:t>active cells and 61 restart timesteps.  Pressure residuals are centred near zero with a</w:t>
      </w:r>
    </w:p>
    <w:p>
      <w:r>
        <w:t>standard deviation of approximately 2 psia — less than the uncertainty in most pressure</w:t>
      </w:r>
    </w:p>
    <w:p>
      <w:r>
        <w:t>transient analyses.  Saturation residuals are tighter still.</w:t>
      </w:r>
    </w:p>
    <w:p>
      <w:pPr>
        <w:jc w:val="center"/>
      </w:pPr>
      <w:r>
        <w:rPr>
          <w:i/>
          <w:sz w:val="19"/>
        </w:rPr>
        <w:t>Figure 4: Histograms of OPM minus Eclipse residuals across all cells and timesteps for</w:t>
      </w:r>
    </w:p>
    <w:p>
      <w:r>
        <w:t>pressure, water saturation, and gas saturation.  Dashed line at zero; solid line shows</w:t>
      </w:r>
    </w:p>
    <w:p>
      <w:r>
        <w:t>the mean; orange curve is the normal distribution fit.*</w:t>
      </w:r>
    </w:p>
    <w:p>
      <w:r>
        <w:t>The 11% that do not pass at R²=0.99 are almost entirely gas lift injection rates (WGLIR)</w:t>
      </w:r>
    </w:p>
    <w:p>
      <w:r>
        <w:t>for the three wells where gas lift is active, plus water rate (WWPR) for two of those same</w:t>
      </w:r>
    </w:p>
    <w:p>
      <w:r>
        <w:t>wells.  Both simulators are internally consistent on these — OPM and Eclipse each satisfy</w:t>
      </w:r>
    </w:p>
    <w:p>
      <w:r>
        <w:t>the well's tubing head pressure constraint self-consistently, but they converge to different</w:t>
      </w:r>
    </w:p>
    <w:p>
      <w:r>
        <w:t>stable operating points on the multiphase VFP curve.  This is a known behaviour difference</w:t>
      </w:r>
    </w:p>
    <w:p>
      <w:r>
        <w:t>between the two optimisers, not a physics error, and it does not propagate to the</w:t>
      </w:r>
    </w:p>
    <w:p>
      <w:r>
        <w:t>field-level production rates that matter most for reserves estimation.  Field gas production</w:t>
      </w:r>
    </w:p>
    <w:p>
      <w:r>
        <w:t>rate and total (FGPR, FGPT) pass at R²=0.999 and R²=1.000 respectively, confirming that</w:t>
      </w:r>
    </w:p>
    <w:p>
      <w:r>
        <w:t>the gas lift optimiser difference is local to the well level.</w:t>
      </w:r>
    </w:p>
    <w:p>
      <w:r>
        <w:t>The forward prediction runs stably and produces physically plausible output: rates</w:t>
      </w:r>
    </w:p>
    <w:p>
      <w:r>
        <w:t>continuing their decline trajectory, cumulatives accumulating at a consistent pace.</w:t>
      </w:r>
    </w:p>
    <w:p>
      <w:r>
        <w:t>Nothing novel — but nothing physically unreasonable either, which is exactly what a</w:t>
      </w:r>
    </w:p>
    <w:p>
      <w:r>
        <w:t>validated free-running simulator should produce.</w:t>
      </w:r>
    </w:p>
    <w:p>
      <w:r>
        <w:t>The pipeline performance dashboard below captures the full workflow economics.</w:t>
      </w:r>
    </w:p>
    <w:p>
      <w:pPr>
        <w:jc w:val="center"/>
      </w:pPr>
      <w:r>
        <w:rPr>
          <w:i/>
          <w:sz w:val="19"/>
        </w:rPr>
        <w:t>Figure 5: Left — runtime for each of the seven agents; the two OPM simulation runs</w:t>
      </w:r>
    </w:p>
    <w:p>
      <w:r>
        <w:t>(validation and 1-year prediction) run entirely on local CPU with no token consumption.</w:t>
      </w:r>
    </w:p>
    <w:p>
      <w:r>
        <w:t>Right — OPM solver behaviour: 86.2% of timesteps solved on the first Newton attempt;</w:t>
      </w:r>
    </w:p>
    <w:p>
      <w:r>
        <w:t>the remaining 13.8% were retried after automatic step-size halving and subsequently</w:t>
      </w:r>
    </w:p>
    <w:p>
      <w:r>
        <w:t>converged.*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old way and the new way</w:t>
      </w:r>
    </w:p>
    <w:p>
      <w:r>
        <w:t>The old way of working this problem looks like this: the engineer opens the DATA file in a</w:t>
      </w:r>
    </w:p>
    <w:p>
      <w:r>
        <w:t>text editor, manually patches keywords until OPM stops crashing, runs the simulation, opens</w:t>
      </w:r>
    </w:p>
    <w:p>
      <w:r>
        <w:t>the outputs in a post-processing tool, exports to CSV, copies into a spreadsheet, builds</w:t>
      </w:r>
    </w:p>
    <w:p>
      <w:r>
        <w:t>comparison charts by hand, and writes a memo.  That process works.  It has always worked.</w:t>
      </w:r>
    </w:p>
    <w:p>
      <w:r>
        <w:t>And it produces something the automated workflow cannot — an engineer who has read every</w:t>
      </w:r>
    </w:p>
    <w:p>
      <w:r>
        <w:t>line of the DATA deck, understands why each keyword is there, and has developed an</w:t>
      </w:r>
    </w:p>
    <w:p>
      <w:r>
        <w:t>intuitive feel for where the model is sensitive and where it is not.  That kind of</w:t>
      </w:r>
    </w:p>
    <w:p>
      <w:r>
        <w:t>understanding is real and it matters.</w:t>
      </w:r>
    </w:p>
    <w:p>
      <w:r>
        <w:t>The new way automates everything up to the interpretation step.  The engineer configures a</w:t>
      </w:r>
    </w:p>
    <w:p>
      <w:r>
        <w:t>JSON file, runs one command, and gets a validated results package — CSV, figures, and a</w:t>
      </w:r>
    </w:p>
    <w:p>
      <w:r>
        <w:t>clean deck — in under 40 minutes.  The workflow is reproducible: a colleague anywhere with</w:t>
      </w:r>
    </w:p>
    <w:p>
      <w:r>
        <w:t>OPM and Python can regenerate the exact same results from the same inputs.  It is</w:t>
      </w:r>
    </w:p>
    <w:p>
      <w:r>
        <w:t>transferable: the agents document their own reasoning in code, not in someone's</w:t>
      </w:r>
    </w:p>
    <w:p>
      <w:r>
        <w:t>institutional memory.</w:t>
      </w:r>
    </w:p>
    <w:p>
      <w:r>
        <w:t>What might be lost in the transition is that enforced familiarity with the model.  When the</w:t>
      </w:r>
    </w:p>
    <w:p>
      <w:r>
        <w:t>process is manual, the engineer has to confront every quirk of the DATA deck.  When it is</w:t>
      </w:r>
    </w:p>
    <w:p>
      <w:r>
        <w:t>automated, there is a risk of treating the output as a black box and missing the physics</w:t>
      </w:r>
    </w:p>
    <w:p>
      <w:r>
        <w:t>insight buried in the non-passing mnemonics.  The right response to that risk is not to</w:t>
      </w:r>
    </w:p>
    <w:p>
      <w:r>
        <w:t>avoid automation.  It is to treat the agent output as the starting point for engineering</w:t>
      </w:r>
    </w:p>
    <w:p>
      <w:r>
        <w:t>judgement — not the end of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Run it yourself</w:t>
      </w:r>
    </w:p>
    <w:p>
      <w:r>
        <w:t>The full workflow is available on GitHub: https://github.com/SanmTex/Conversion-of-Eclipse-to-OPM-Black-Oil-Simulation-by-Agentic-AI-Orchestration</w:t>
      </w:r>
    </w:p>
    <w:p>
      <w:r>
        <w:t>Clone the repo, obtain the binary data files (instructions in `data/README_DATA.md`), set</w:t>
      </w:r>
    </w:p>
    <w:p>
      <w:r>
        <w:t>your config, and run `python agents/orchestrator.py`.  The README covers prerequisites,</w:t>
      </w:r>
    </w:p>
    <w:p>
      <w:r>
        <w:t>and the notebook version (`notebooks/OPM_Validation.ipynb`) walks through each step with</w:t>
      </w:r>
    </w:p>
    <w:p>
      <w:r>
        <w:t>explanations if you prefer a more interactive approach.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If you have a portfolio of legacy Eclipse models and are weighing the cost of continued</w:t>
      </w:r>
    </w:p>
    <w:p>
      <w:r>
        <w:t>commercial licences, considering an OPM migration, or need a reproducible validation</w:t>
      </w:r>
    </w:p>
    <w:p>
      <w:r>
        <w:t>workflow for a technical submission or acquisition — this is a practical starting point.</w:t>
      </w:r>
    </w:p>
    <w:p>
      <w:r>
        <w:t>I am happy to discuss what that looks like for your specific situation.  Connect on</w:t>
      </w:r>
    </w:p>
    <w:p>
      <w:r>
        <w:t>LinkedIn if it is relevant to work you are doing.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