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749A" w14:textId="77777777" w:rsidR="00EA4DDA" w:rsidRDefault="00000000">
      <w:pPr>
        <w:tabs>
          <w:tab w:val="right" w:pos="10320"/>
        </w:tabs>
        <w:spacing w:after="129" w:line="259" w:lineRule="auto"/>
        <w:ind w:left="0" w:firstLine="0"/>
      </w:pPr>
      <w:r>
        <w:rPr>
          <w:b/>
          <w:color w:val="16324F"/>
          <w:sz w:val="15"/>
        </w:rPr>
        <w:t>TPRM VENDOR RISK ASSESSMENT PORTFOLIO</w:t>
      </w:r>
      <w:r>
        <w:rPr>
          <w:b/>
          <w:color w:val="16324F"/>
          <w:sz w:val="15"/>
        </w:rPr>
        <w:tab/>
      </w:r>
      <w:r>
        <w:rPr>
          <w:color w:val="6B7280"/>
          <w:sz w:val="15"/>
        </w:rPr>
        <w:t>FICTIONAL SAMPLE</w:t>
      </w:r>
    </w:p>
    <w:p w14:paraId="789E01BF" w14:textId="77777777" w:rsidR="00EA4DDA" w:rsidRDefault="00000000">
      <w:pPr>
        <w:spacing w:before="587" w:after="0" w:line="259" w:lineRule="auto"/>
        <w:ind w:left="120" w:firstLine="0"/>
      </w:pPr>
      <w:proofErr w:type="spellStart"/>
      <w:r>
        <w:rPr>
          <w:b/>
          <w:color w:val="16324F"/>
          <w:sz w:val="38"/>
        </w:rPr>
        <w:t>MetricFlow</w:t>
      </w:r>
      <w:proofErr w:type="spellEnd"/>
      <w:r>
        <w:rPr>
          <w:b/>
          <w:color w:val="16324F"/>
          <w:sz w:val="38"/>
        </w:rPr>
        <w:t xml:space="preserve"> Penetration Test Summary</w:t>
      </w:r>
    </w:p>
    <w:p w14:paraId="60B5F95E" w14:textId="77777777" w:rsidR="00EA4DDA" w:rsidRDefault="00000000">
      <w:pPr>
        <w:spacing w:after="236" w:line="259" w:lineRule="auto"/>
        <w:ind w:left="120" w:firstLine="0"/>
      </w:pPr>
      <w:r>
        <w:rPr>
          <w:color w:val="6B7280"/>
        </w:rPr>
        <w:t>Simulated vendor evidence | Web application and external infrastructure</w:t>
      </w:r>
    </w:p>
    <w:p w14:paraId="402C6417" w14:textId="77777777" w:rsidR="00EA4DDA" w:rsidRDefault="00000000">
      <w:pPr>
        <w:spacing w:after="0" w:line="259" w:lineRule="auto"/>
        <w:ind w:left="0" w:firstLine="0"/>
        <w:jc w:val="center"/>
      </w:pPr>
      <w:r>
        <w:rPr>
          <w:b/>
          <w:color w:val="A61B1B"/>
          <w:sz w:val="16"/>
        </w:rPr>
        <w:t>SIMULATED DOCUMENT FOR PUBLIC PORTFOLIO USE</w:t>
      </w:r>
    </w:p>
    <w:tbl>
      <w:tblPr>
        <w:tblStyle w:val="TableGrid"/>
        <w:tblW w:w="9432" w:type="dxa"/>
        <w:tblInd w:w="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7200"/>
      </w:tblGrid>
      <w:tr w:rsidR="00EA4DDA" w14:paraId="36E41A1D" w14:textId="77777777">
        <w:trPr>
          <w:trHeight w:val="400"/>
        </w:trPr>
        <w:tc>
          <w:tcPr>
            <w:tcW w:w="2232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shd w:val="clear" w:color="auto" w:fill="EAF2F8"/>
            <w:vAlign w:val="center"/>
          </w:tcPr>
          <w:p w14:paraId="02089123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Test date</w:t>
            </w:r>
          </w:p>
        </w:tc>
        <w:tc>
          <w:tcPr>
            <w:tcW w:w="7200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vAlign w:val="center"/>
          </w:tcPr>
          <w:p w14:paraId="1DB4A9D5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February 10, 2026</w:t>
            </w:r>
          </w:p>
        </w:tc>
      </w:tr>
      <w:tr w:rsidR="00EA4DDA" w14:paraId="0F1F6F89" w14:textId="77777777">
        <w:trPr>
          <w:trHeight w:val="400"/>
        </w:trPr>
        <w:tc>
          <w:tcPr>
            <w:tcW w:w="2232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shd w:val="clear" w:color="auto" w:fill="EAF2F8"/>
            <w:vAlign w:val="center"/>
          </w:tcPr>
          <w:p w14:paraId="67CA8AD2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Scope</w:t>
            </w:r>
          </w:p>
        </w:tc>
        <w:tc>
          <w:tcPr>
            <w:tcW w:w="7200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vAlign w:val="center"/>
          </w:tcPr>
          <w:p w14:paraId="603C94A5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Production web application, public API, and external infrastructure</w:t>
            </w:r>
          </w:p>
        </w:tc>
      </w:tr>
      <w:tr w:rsidR="00EA4DDA" w14:paraId="6DB582C8" w14:textId="77777777">
        <w:trPr>
          <w:trHeight w:val="400"/>
        </w:trPr>
        <w:tc>
          <w:tcPr>
            <w:tcW w:w="2232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shd w:val="clear" w:color="auto" w:fill="EAF2F8"/>
            <w:vAlign w:val="center"/>
          </w:tcPr>
          <w:p w14:paraId="44069C55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Method</w:t>
            </w:r>
          </w:p>
        </w:tc>
        <w:tc>
          <w:tcPr>
            <w:tcW w:w="7200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vAlign w:val="center"/>
          </w:tcPr>
          <w:p w14:paraId="4CA8403F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Authenticated and unauthenticated testing</w:t>
            </w:r>
          </w:p>
        </w:tc>
      </w:tr>
      <w:tr w:rsidR="00EA4DDA" w14:paraId="00CF0BBE" w14:textId="77777777">
        <w:trPr>
          <w:trHeight w:val="400"/>
        </w:trPr>
        <w:tc>
          <w:tcPr>
            <w:tcW w:w="2232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shd w:val="clear" w:color="auto" w:fill="EAF2F8"/>
            <w:vAlign w:val="center"/>
          </w:tcPr>
          <w:p w14:paraId="676720F3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Critical findings</w:t>
            </w:r>
          </w:p>
        </w:tc>
        <w:tc>
          <w:tcPr>
            <w:tcW w:w="7200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vAlign w:val="center"/>
          </w:tcPr>
          <w:p w14:paraId="7A67F280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0</w:t>
            </w:r>
          </w:p>
        </w:tc>
      </w:tr>
      <w:tr w:rsidR="00EA4DDA" w14:paraId="13DC0353" w14:textId="77777777">
        <w:trPr>
          <w:trHeight w:val="400"/>
        </w:trPr>
        <w:tc>
          <w:tcPr>
            <w:tcW w:w="2232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shd w:val="clear" w:color="auto" w:fill="EAF2F8"/>
            <w:vAlign w:val="center"/>
          </w:tcPr>
          <w:p w14:paraId="22023996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High findings</w:t>
            </w:r>
          </w:p>
        </w:tc>
        <w:tc>
          <w:tcPr>
            <w:tcW w:w="7200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vAlign w:val="center"/>
          </w:tcPr>
          <w:p w14:paraId="4A6806DC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0</w:t>
            </w:r>
          </w:p>
        </w:tc>
      </w:tr>
      <w:tr w:rsidR="00EA4DDA" w14:paraId="1ECEA910" w14:textId="77777777">
        <w:trPr>
          <w:trHeight w:val="400"/>
        </w:trPr>
        <w:tc>
          <w:tcPr>
            <w:tcW w:w="2232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shd w:val="clear" w:color="auto" w:fill="EAF2F8"/>
            <w:vAlign w:val="center"/>
          </w:tcPr>
          <w:p w14:paraId="7A783767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Medium findings</w:t>
            </w:r>
          </w:p>
        </w:tc>
        <w:tc>
          <w:tcPr>
            <w:tcW w:w="7200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vAlign w:val="center"/>
          </w:tcPr>
          <w:p w14:paraId="70F269B8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 open</w:t>
            </w:r>
          </w:p>
        </w:tc>
      </w:tr>
      <w:tr w:rsidR="00EA4DDA" w14:paraId="0C8BF553" w14:textId="77777777">
        <w:trPr>
          <w:trHeight w:val="400"/>
        </w:trPr>
        <w:tc>
          <w:tcPr>
            <w:tcW w:w="2232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shd w:val="clear" w:color="auto" w:fill="EAF2F8"/>
            <w:vAlign w:val="center"/>
          </w:tcPr>
          <w:p w14:paraId="79388FF8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Low findings</w:t>
            </w:r>
          </w:p>
        </w:tc>
        <w:tc>
          <w:tcPr>
            <w:tcW w:w="7200" w:type="dxa"/>
            <w:tcBorders>
              <w:top w:val="single" w:sz="3" w:space="0" w:color="CBD3DA"/>
              <w:left w:val="single" w:sz="3" w:space="0" w:color="CBD3DA"/>
              <w:bottom w:val="single" w:sz="3" w:space="0" w:color="CBD3DA"/>
              <w:right w:val="single" w:sz="3" w:space="0" w:color="CBD3DA"/>
            </w:tcBorders>
            <w:vAlign w:val="center"/>
          </w:tcPr>
          <w:p w14:paraId="09F8100A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3 closed</w:t>
            </w:r>
          </w:p>
        </w:tc>
      </w:tr>
    </w:tbl>
    <w:p w14:paraId="704F32A3" w14:textId="77777777" w:rsidR="00EA4DDA" w:rsidRDefault="00000000">
      <w:pPr>
        <w:pStyle w:val="Heading1"/>
        <w:spacing w:after="0"/>
        <w:ind w:left="115"/>
      </w:pPr>
      <w:r>
        <w:t>Open findings</w:t>
      </w:r>
    </w:p>
    <w:tbl>
      <w:tblPr>
        <w:tblStyle w:val="TableGrid"/>
        <w:tblW w:w="9432" w:type="dxa"/>
        <w:tblInd w:w="120" w:type="dxa"/>
        <w:tblCellMar>
          <w:top w:w="142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792"/>
        <w:gridCol w:w="4104"/>
        <w:gridCol w:w="1080"/>
        <w:gridCol w:w="2160"/>
        <w:gridCol w:w="1296"/>
      </w:tblGrid>
      <w:tr w:rsidR="00EA4DDA" w:rsidRPr="00A234C7" w14:paraId="33BEB74D" w14:textId="77777777">
        <w:trPr>
          <w:trHeight w:val="400"/>
        </w:trPr>
        <w:tc>
          <w:tcPr>
            <w:tcW w:w="792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16324F"/>
            <w:vAlign w:val="center"/>
          </w:tcPr>
          <w:p w14:paraId="29568DFA" w14:textId="77777777" w:rsidR="00EA4DDA" w:rsidRPr="00A234C7" w:rsidRDefault="00000000">
            <w:pPr>
              <w:spacing w:after="0" w:line="259" w:lineRule="auto"/>
              <w:ind w:left="0" w:firstLine="0"/>
              <w:rPr>
                <w:color w:val="0D0D0D" w:themeColor="text1" w:themeTint="F2"/>
              </w:rPr>
            </w:pPr>
            <w:r w:rsidRPr="00A234C7">
              <w:rPr>
                <w:b/>
                <w:color w:val="0D0D0D" w:themeColor="text1" w:themeTint="F2"/>
                <w:sz w:val="15"/>
              </w:rPr>
              <w:t>ID</w:t>
            </w:r>
          </w:p>
        </w:tc>
        <w:tc>
          <w:tcPr>
            <w:tcW w:w="4104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16324F"/>
            <w:vAlign w:val="center"/>
          </w:tcPr>
          <w:p w14:paraId="789185E9" w14:textId="77777777" w:rsidR="00EA4DDA" w:rsidRPr="00A234C7" w:rsidRDefault="00000000">
            <w:pPr>
              <w:spacing w:after="0" w:line="259" w:lineRule="auto"/>
              <w:ind w:left="0" w:firstLine="0"/>
              <w:rPr>
                <w:color w:val="0D0D0D" w:themeColor="text1" w:themeTint="F2"/>
              </w:rPr>
            </w:pPr>
            <w:r w:rsidRPr="00A234C7">
              <w:rPr>
                <w:b/>
                <w:color w:val="0D0D0D" w:themeColor="text1" w:themeTint="F2"/>
                <w:sz w:val="15"/>
              </w:rPr>
              <w:t>Finding</w:t>
            </w:r>
          </w:p>
        </w:tc>
        <w:tc>
          <w:tcPr>
            <w:tcW w:w="1080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16324F"/>
            <w:vAlign w:val="center"/>
          </w:tcPr>
          <w:p w14:paraId="01CB3089" w14:textId="77777777" w:rsidR="00EA4DDA" w:rsidRPr="00A234C7" w:rsidRDefault="00000000">
            <w:pPr>
              <w:spacing w:after="0" w:line="259" w:lineRule="auto"/>
              <w:ind w:left="0" w:firstLine="0"/>
              <w:rPr>
                <w:color w:val="0D0D0D" w:themeColor="text1" w:themeTint="F2"/>
              </w:rPr>
            </w:pPr>
            <w:r w:rsidRPr="00A234C7">
              <w:rPr>
                <w:b/>
                <w:color w:val="0D0D0D" w:themeColor="text1" w:themeTint="F2"/>
                <w:sz w:val="15"/>
              </w:rPr>
              <w:t>Risk</w:t>
            </w:r>
          </w:p>
        </w:tc>
        <w:tc>
          <w:tcPr>
            <w:tcW w:w="2160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16324F"/>
            <w:vAlign w:val="center"/>
          </w:tcPr>
          <w:p w14:paraId="6B11B908" w14:textId="77777777" w:rsidR="00EA4DDA" w:rsidRPr="00A234C7" w:rsidRDefault="00000000">
            <w:pPr>
              <w:spacing w:after="0" w:line="259" w:lineRule="auto"/>
              <w:ind w:left="0" w:firstLine="0"/>
              <w:rPr>
                <w:color w:val="0D0D0D" w:themeColor="text1" w:themeTint="F2"/>
              </w:rPr>
            </w:pPr>
            <w:r w:rsidRPr="00A234C7">
              <w:rPr>
                <w:b/>
                <w:color w:val="0D0D0D" w:themeColor="text1" w:themeTint="F2"/>
                <w:sz w:val="15"/>
              </w:rPr>
              <w:t>Status</w:t>
            </w:r>
          </w:p>
        </w:tc>
        <w:tc>
          <w:tcPr>
            <w:tcW w:w="1296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16324F"/>
            <w:vAlign w:val="center"/>
          </w:tcPr>
          <w:p w14:paraId="21F449C4" w14:textId="77777777" w:rsidR="00EA4DDA" w:rsidRPr="00A234C7" w:rsidRDefault="00000000">
            <w:pPr>
              <w:spacing w:after="0" w:line="259" w:lineRule="auto"/>
              <w:ind w:left="0" w:firstLine="0"/>
              <w:rPr>
                <w:color w:val="0D0D0D" w:themeColor="text1" w:themeTint="F2"/>
              </w:rPr>
            </w:pPr>
            <w:r w:rsidRPr="00A234C7">
              <w:rPr>
                <w:b/>
                <w:color w:val="0D0D0D" w:themeColor="text1" w:themeTint="F2"/>
                <w:sz w:val="15"/>
              </w:rPr>
              <w:t>Target</w:t>
            </w:r>
          </w:p>
        </w:tc>
      </w:tr>
      <w:tr w:rsidR="00EA4DDA" w14:paraId="6E47F96B" w14:textId="77777777">
        <w:trPr>
          <w:trHeight w:val="600"/>
        </w:trPr>
        <w:tc>
          <w:tcPr>
            <w:tcW w:w="792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FFFFFF"/>
          </w:tcPr>
          <w:p w14:paraId="368AC94F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PT-04</w:t>
            </w:r>
          </w:p>
        </w:tc>
        <w:tc>
          <w:tcPr>
            <w:tcW w:w="4104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FFFFFF"/>
            <w:vAlign w:val="center"/>
          </w:tcPr>
          <w:p w14:paraId="0559A85B" w14:textId="77777777" w:rsidR="00EA4DDA" w:rsidRDefault="00000000">
            <w:pPr>
              <w:spacing w:after="0" w:line="259" w:lineRule="auto"/>
              <w:ind w:left="0" w:right="2" w:firstLine="0"/>
            </w:pPr>
            <w:r>
              <w:rPr>
                <w:sz w:val="15"/>
              </w:rPr>
              <w:t>Rate limiting is inconsistent on two reporting API endpoints.</w:t>
            </w:r>
          </w:p>
        </w:tc>
        <w:tc>
          <w:tcPr>
            <w:tcW w:w="1080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FFFFFF"/>
          </w:tcPr>
          <w:p w14:paraId="5B9C5791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Medium</w:t>
            </w:r>
          </w:p>
        </w:tc>
        <w:tc>
          <w:tcPr>
            <w:tcW w:w="2160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FFFFFF"/>
            <w:vAlign w:val="center"/>
          </w:tcPr>
          <w:p w14:paraId="17D82B79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Fix deployed; independent retest pending</w:t>
            </w:r>
          </w:p>
        </w:tc>
        <w:tc>
          <w:tcPr>
            <w:tcW w:w="1296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FFFFFF"/>
          </w:tcPr>
          <w:p w14:paraId="5B08739B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Sep 25, 2026</w:t>
            </w:r>
          </w:p>
        </w:tc>
      </w:tr>
      <w:tr w:rsidR="00EA4DDA" w14:paraId="3FA53C18" w14:textId="77777777">
        <w:trPr>
          <w:trHeight w:val="600"/>
        </w:trPr>
        <w:tc>
          <w:tcPr>
            <w:tcW w:w="792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F3F5F7"/>
          </w:tcPr>
          <w:p w14:paraId="5A385E3A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PT-07</w:t>
            </w:r>
          </w:p>
        </w:tc>
        <w:tc>
          <w:tcPr>
            <w:tcW w:w="4104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F3F5F7"/>
            <w:vAlign w:val="center"/>
          </w:tcPr>
          <w:p w14:paraId="3F83C7B0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Session termination does not immediately revoke an active API token in one legacy workflow.</w:t>
            </w:r>
          </w:p>
        </w:tc>
        <w:tc>
          <w:tcPr>
            <w:tcW w:w="1080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F3F5F7"/>
          </w:tcPr>
          <w:p w14:paraId="3D908500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Medium</w:t>
            </w:r>
          </w:p>
        </w:tc>
        <w:tc>
          <w:tcPr>
            <w:tcW w:w="2160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F3F5F7"/>
          </w:tcPr>
          <w:p w14:paraId="6C4B3793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Code fix in validation</w:t>
            </w:r>
          </w:p>
        </w:tc>
        <w:tc>
          <w:tcPr>
            <w:tcW w:w="1296" w:type="dxa"/>
            <w:tcBorders>
              <w:top w:val="single" w:sz="3" w:space="0" w:color="C7CED6"/>
              <w:left w:val="single" w:sz="3" w:space="0" w:color="C7CED6"/>
              <w:bottom w:val="single" w:sz="3" w:space="0" w:color="C7CED6"/>
              <w:right w:val="single" w:sz="3" w:space="0" w:color="C7CED6"/>
            </w:tcBorders>
            <w:shd w:val="clear" w:color="auto" w:fill="F3F5F7"/>
          </w:tcPr>
          <w:p w14:paraId="1C9FF5CB" w14:textId="77777777" w:rsidR="00EA4DDA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Sep 25, 2026</w:t>
            </w:r>
          </w:p>
        </w:tc>
      </w:tr>
    </w:tbl>
    <w:p w14:paraId="40FF4C45" w14:textId="77777777" w:rsidR="00EA4DDA" w:rsidRDefault="00000000">
      <w:pPr>
        <w:pStyle w:val="Heading1"/>
        <w:ind w:left="11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9E1B54" wp14:editId="4B8B13BF">
                <wp:simplePos x="0" y="0"/>
                <wp:positionH relativeFrom="page">
                  <wp:posOffset>609600</wp:posOffset>
                </wp:positionH>
                <wp:positionV relativeFrom="page">
                  <wp:posOffset>457200</wp:posOffset>
                </wp:positionV>
                <wp:extent cx="6553200" cy="6350"/>
                <wp:effectExtent l="0" t="0" r="0" b="0"/>
                <wp:wrapTopAndBottom/>
                <wp:docPr id="1542" name="Group 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6350"/>
                          <a:chOff x="0" y="0"/>
                          <a:chExt cx="6553200" cy="635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4DA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2" style="width:516pt;height:0.5pt;position:absolute;mso-position-horizontal-relative:page;mso-position-horizontal:absolute;margin-left:48pt;mso-position-vertical-relative:page;margin-top:36pt;" coordsize="65532,63">
                <v:shape id="Shape 6" style="position:absolute;width:65532;height:0;left:0;top:0;" coordsize="6553200,0" path="m0,0l6553200,0">
                  <v:stroke weight="0.5pt" endcap="flat" joinstyle="miter" miterlimit="10" on="true" color="#d4dae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816300" wp14:editId="4BBFBDF5">
                <wp:simplePos x="0" y="0"/>
                <wp:positionH relativeFrom="page">
                  <wp:posOffset>609600</wp:posOffset>
                </wp:positionH>
                <wp:positionV relativeFrom="page">
                  <wp:posOffset>9652000</wp:posOffset>
                </wp:positionV>
                <wp:extent cx="6553200" cy="6350"/>
                <wp:effectExtent l="0" t="0" r="0" b="0"/>
                <wp:wrapTopAndBottom/>
                <wp:docPr id="1543" name="Group 1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6350"/>
                          <a:chOff x="0" y="0"/>
                          <a:chExt cx="6553200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4DA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3" style="width:516pt;height:0.5pt;position:absolute;mso-position-horizontal-relative:page;mso-position-horizontal:absolute;margin-left:48pt;mso-position-vertical-relative:page;margin-top:760pt;" coordsize="65532,63">
                <v:shape id="Shape 9" style="position:absolute;width:65532;height:0;left:0;top:0;" coordsize="6553200,0" path="m0,0l6553200,0">
                  <v:stroke weight="0.5pt" endcap="flat" joinstyle="miter" miterlimit="10" on="true" color="#d4dae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Controls considered</w:t>
      </w:r>
    </w:p>
    <w:p w14:paraId="1D1DCDF5" w14:textId="77777777" w:rsidR="00EA4DDA" w:rsidRDefault="00000000">
      <w:pPr>
        <w:numPr>
          <w:ilvl w:val="0"/>
          <w:numId w:val="1"/>
        </w:numPr>
        <w:ind w:hanging="110"/>
      </w:pPr>
      <w:r>
        <w:t>A web application firewall monitors and blocks common exploit patterns.</w:t>
      </w:r>
    </w:p>
    <w:p w14:paraId="1B72F025" w14:textId="77777777" w:rsidR="00EA4DDA" w:rsidRDefault="00000000">
      <w:pPr>
        <w:numPr>
          <w:ilvl w:val="0"/>
          <w:numId w:val="1"/>
        </w:numPr>
        <w:ind w:hanging="110"/>
      </w:pPr>
      <w:r>
        <w:t>Security events are sent to the central SIEM for alerting and investigation.</w:t>
      </w:r>
    </w:p>
    <w:p w14:paraId="23738180" w14:textId="77777777" w:rsidR="00EA4DDA" w:rsidRDefault="00000000">
      <w:pPr>
        <w:numPr>
          <w:ilvl w:val="0"/>
          <w:numId w:val="1"/>
        </w:numPr>
        <w:ind w:hanging="110"/>
      </w:pPr>
      <w:r>
        <w:t>The affected API tokens have scoped permissions.</w:t>
      </w:r>
    </w:p>
    <w:p w14:paraId="213BDEF9" w14:textId="77777777" w:rsidR="00EA4DDA" w:rsidRDefault="00000000">
      <w:pPr>
        <w:numPr>
          <w:ilvl w:val="0"/>
          <w:numId w:val="1"/>
        </w:numPr>
        <w:spacing w:after="296"/>
        <w:ind w:hanging="110"/>
      </w:pPr>
      <w:r>
        <w:t>No evidence of exploitation was identified during the test.</w:t>
      </w:r>
    </w:p>
    <w:p w14:paraId="10E5B746" w14:textId="77777777" w:rsidR="00EA4DDA" w:rsidRDefault="00000000">
      <w:pPr>
        <w:pStyle w:val="Heading1"/>
        <w:ind w:left="115"/>
      </w:pPr>
      <w:r>
        <w:t>Required evidence for closure</w:t>
      </w:r>
    </w:p>
    <w:p w14:paraId="57B4B07A" w14:textId="77777777" w:rsidR="00EA4DDA" w:rsidRDefault="00000000">
      <w:pPr>
        <w:numPr>
          <w:ilvl w:val="0"/>
          <w:numId w:val="2"/>
        </w:numPr>
        <w:ind w:hanging="110"/>
      </w:pPr>
      <w:r>
        <w:t xml:space="preserve">Independent retest results confirming both </w:t>
      </w:r>
      <w:proofErr w:type="gramStart"/>
      <w:r>
        <w:t>Medium</w:t>
      </w:r>
      <w:proofErr w:type="gramEnd"/>
      <w:r>
        <w:t xml:space="preserve"> findings are resolved.</w:t>
      </w:r>
    </w:p>
    <w:p w14:paraId="49E30D10" w14:textId="77777777" w:rsidR="00EA4DDA" w:rsidRDefault="00000000">
      <w:pPr>
        <w:numPr>
          <w:ilvl w:val="0"/>
          <w:numId w:val="2"/>
        </w:numPr>
        <w:ind w:hanging="110"/>
      </w:pPr>
      <w:r>
        <w:t>Updated configuration or code evidence for each fix.</w:t>
      </w:r>
    </w:p>
    <w:p w14:paraId="2679095D" w14:textId="77777777" w:rsidR="00EA4DDA" w:rsidRDefault="00000000">
      <w:pPr>
        <w:numPr>
          <w:ilvl w:val="0"/>
          <w:numId w:val="2"/>
        </w:numPr>
        <w:spacing w:after="296"/>
        <w:ind w:hanging="110"/>
      </w:pPr>
      <w:r>
        <w:t>Closure approval from the vendor security owner.</w:t>
      </w:r>
    </w:p>
    <w:p w14:paraId="0C68F381" w14:textId="77777777" w:rsidR="00EA4DDA" w:rsidRDefault="00000000">
      <w:pPr>
        <w:pStyle w:val="Heading1"/>
        <w:ind w:left="115"/>
      </w:pPr>
      <w:r>
        <w:t>Assessment note</w:t>
      </w:r>
    </w:p>
    <w:p w14:paraId="3152509D" w14:textId="77777777" w:rsidR="00EA4DDA" w:rsidRDefault="00000000">
      <w:pPr>
        <w:spacing w:after="2794"/>
        <w:ind w:left="115"/>
      </w:pPr>
      <w:r>
        <w:t xml:space="preserve">The absence of Critical or High findings reduces immediate exposure, but both </w:t>
      </w:r>
      <w:proofErr w:type="gramStart"/>
      <w:r>
        <w:t>Medium</w:t>
      </w:r>
      <w:proofErr w:type="gramEnd"/>
      <w:r>
        <w:t xml:space="preserve"> findings are past the original vendor target date. They remain open in the risk register until retest evidence is validated.</w:t>
      </w:r>
    </w:p>
    <w:p w14:paraId="3DEB6C14" w14:textId="77777777" w:rsidR="00EA4DDA" w:rsidRDefault="00000000">
      <w:pPr>
        <w:tabs>
          <w:tab w:val="right" w:pos="10320"/>
        </w:tabs>
        <w:spacing w:before="132" w:after="0" w:line="259" w:lineRule="auto"/>
        <w:ind w:left="0" w:firstLine="0"/>
      </w:pPr>
      <w:r>
        <w:rPr>
          <w:color w:val="6B7280"/>
          <w:sz w:val="15"/>
        </w:rPr>
        <w:lastRenderedPageBreak/>
        <w:t>Public portfolio artifact. No real vendor, employer, or client data.</w:t>
      </w:r>
      <w:r>
        <w:rPr>
          <w:color w:val="6B7280"/>
          <w:sz w:val="15"/>
        </w:rPr>
        <w:tab/>
        <w:t>Page 1</w:t>
      </w:r>
    </w:p>
    <w:sectPr w:rsidR="00EA4DDA" w:rsidSect="00A234C7">
      <w:pgSz w:w="12240" w:h="15840"/>
      <w:pgMar w:top="990" w:right="960" w:bottom="225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44B3D"/>
    <w:multiLevelType w:val="hybridMultilevel"/>
    <w:tmpl w:val="73B8D3F8"/>
    <w:lvl w:ilvl="0" w:tplc="4B046C38">
      <w:start w:val="1"/>
      <w:numFmt w:val="bullet"/>
      <w:lvlText w:val="-"/>
      <w:lvlJc w:val="left"/>
      <w:pPr>
        <w:ind w:left="215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9422A0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05604C4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B02E1C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9C0410A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B87D8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60CE346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65ABE34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816CAEE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BF59E6"/>
    <w:multiLevelType w:val="hybridMultilevel"/>
    <w:tmpl w:val="D200FBD2"/>
    <w:lvl w:ilvl="0" w:tplc="301619A8">
      <w:start w:val="1"/>
      <w:numFmt w:val="bullet"/>
      <w:lvlText w:val="-"/>
      <w:lvlJc w:val="left"/>
      <w:pPr>
        <w:ind w:left="215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67AEAA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128B106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096DCA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3DE9AD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B7A6FC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4002C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B7A385C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069460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1F29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6223489">
    <w:abstractNumId w:val="1"/>
  </w:num>
  <w:num w:numId="2" w16cid:durableId="35115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DDA"/>
    <w:rsid w:val="00624942"/>
    <w:rsid w:val="00A234C7"/>
    <w:rsid w:val="00EA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F652"/>
  <w15:docId w15:val="{C58EAB11-4F1C-4CC4-B053-0BDF0442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0" w:lineRule="auto"/>
      <w:ind w:left="130" w:hanging="10"/>
    </w:pPr>
    <w:rPr>
      <w:rFonts w:ascii="Arial" w:eastAsia="Arial" w:hAnsi="Arial" w:cs="Arial"/>
      <w:color w:val="1F2933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 w:line="259" w:lineRule="auto"/>
      <w:ind w:left="130" w:hanging="10"/>
      <w:outlineLvl w:val="0"/>
    </w:pPr>
    <w:rPr>
      <w:rFonts w:ascii="Arial" w:eastAsia="Arial" w:hAnsi="Arial" w:cs="Arial"/>
      <w:b/>
      <w:color w:val="16324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6324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MetricFlow Penetration Test Summary</dc:title>
  <dc:subject>Simulated vendor evidence</dc:subject>
  <dc:creator>Saniya Bhaladhare</dc:creator>
  <cp:keywords/>
  <cp:lastModifiedBy>Saniya Bhaladhare</cp:lastModifiedBy>
  <cp:revision>2</cp:revision>
  <cp:lastPrinted>2026-09-20T18:00:00Z</cp:lastPrinted>
  <dcterms:created xsi:type="dcterms:W3CDTF">2026-09-20T18:00:00Z</dcterms:created>
  <dcterms:modified xsi:type="dcterms:W3CDTF">2026-09-20T18:00:00Z</dcterms:modified>
</cp:coreProperties>
</file>