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1F3854"/>
          <w:sz w:val="72"/>
          <w:szCs w:val="72"/>
        </w:rPr>
        <w:t xml:space="preserve">TradeW</w:t>
      </w:r>
    </w:p>
    <w:p>
      <w:pPr>
        <w:spacing w:after="80"/>
        <w:jc w:val="center"/>
      </w:pPr>
      <w:r>
        <w:rPr>
          <w:rFonts w:ascii="Calibri" w:cs="Calibri" w:eastAsia="Calibri" w:hAnsi="Calibri"/>
          <w:color w:val="2E5E8C"/>
          <w:sz w:val="32"/>
          <w:szCs w:val="32"/>
        </w:rPr>
        <w:t xml:space="preserve">Project Vision &amp; Business Overview</w:t>
      </w:r>
    </w:p>
    <w:p>
      <w:pPr>
        <w:spacing w:after="60"/>
        <w:jc w:val="center"/>
      </w:pPr>
      <w:r>
        <w:rPr>
          <w:rFonts w:ascii="Calibri" w:cs="Calibri" w:eastAsia="Calibri" w:hAnsi="Calibri"/>
          <w:i/>
          <w:iCs/>
          <w:color w:val="595959"/>
          <w:sz w:val="22"/>
          <w:szCs w:val="22"/>
        </w:rPr>
        <w:t xml:space="preserve">The Ideology and Business Logic of the TradeW Platform</w:t>
      </w:r>
    </w:p>
    <w:p>
      <w:pPr>
        <w:spacing w:after="200"/>
        <w:jc w:val="center"/>
      </w:pPr>
      <w:r>
        <w:rPr>
          <w:rFonts w:ascii="Calibri" w:cs="Calibri" w:eastAsia="Calibri" w:hAnsi="Calibri"/>
          <w:color w:val="595959"/>
          <w:sz w:val="20"/>
          <w:szCs w:val="20"/>
        </w:rPr>
        <w:t xml:space="preserve">TradeW LLC · July 2026</w:t>
      </w:r>
    </w:p>
    <w:p>
      <w:pPr>
        <w:pBdr>
          <w:bottom w:val="single" w:color="BFCEDD" w:sz="6" w:space="1"/>
        </w:pBdr>
        <w:spacing w:after="300" w:before="60"/>
      </w:pPr>
    </w:p>
    <w:p>
      <w:pPr>
        <w:pStyle w:val="Heading1"/>
        <w:spacing w:after="200" w:before="360"/>
      </w:pPr>
      <w:r>
        <w:rPr>
          <w:rFonts w:ascii="Calibri" w:cs="Calibri" w:eastAsia="Calibri" w:hAnsi="Calibri"/>
          <w:b/>
          <w:bCs/>
          <w:color w:val="1F3854"/>
          <w:sz w:val="30"/>
          <w:szCs w:val="30"/>
        </w:rPr>
        <w:t xml:space="preserve">1.  Executive Summary</w:t>
      </w:r>
    </w:p>
    <w:p>
      <w:pPr>
        <w:spacing w:after="200" w:line="300"/>
        <w:jc w:val="both"/>
      </w:pPr>
      <w:r>
        <w:rPr>
          <w:rFonts w:ascii="Calibri" w:cs="Calibri" w:eastAsia="Calibri" w:hAnsi="Calibri"/>
          <w:color w:val="262626"/>
          <w:sz w:val="22"/>
          <w:szCs w:val="22"/>
        </w:rPr>
        <w:t xml:space="preserve">TradeW is an AI-powered trading operating system built for retail traders in the Indian markets. It brings live market intelligence, portfolio awareness, deep research, behavioral protection, and structured education together into one coherent workspace — the kind of environment a professional lives inside, rather than a website they occasionally visit.</w:t>
      </w:r>
    </w:p>
    <w:p>
      <w:pPr>
        <w:spacing w:after="200" w:line="300"/>
        <w:jc w:val="both"/>
      </w:pPr>
      <w:r>
        <w:rPr>
          <w:rFonts w:ascii="Calibri" w:cs="Calibri" w:eastAsia="Calibri" w:hAnsi="Calibri"/>
          <w:color w:val="262626"/>
          <w:sz w:val="22"/>
          <w:szCs w:val="22"/>
        </w:rPr>
        <w:t xml:space="preserve">What makes TradeW different is not what it adds, but what it refuses to do. TradeW never tells a user what to buy or sell, and no part of its intelligence ever places a trade. Every insight the platform produces exists to make the trader more informed, more self-aware, and better educated — while every trading decision remains entirely, and deliberately, in human hands.</w:t>
      </w:r>
    </w:p>
    <w:p>
      <w:pPr>
        <w:pStyle w:val="Heading1"/>
        <w:spacing w:after="200" w:before="360"/>
      </w:pPr>
      <w:r>
        <w:rPr>
          <w:rFonts w:ascii="Calibri" w:cs="Calibri" w:eastAsia="Calibri" w:hAnsi="Calibri"/>
          <w:b/>
          <w:bCs/>
          <w:color w:val="1F3854"/>
          <w:sz w:val="30"/>
          <w:szCs w:val="30"/>
        </w:rPr>
        <w:t xml:space="preserve">2.  The Problem We Are Solving</w:t>
      </w:r>
    </w:p>
    <w:p>
      <w:pPr>
        <w:spacing w:after="200" w:line="300"/>
        <w:jc w:val="both"/>
      </w:pPr>
      <w:r>
        <w:rPr>
          <w:rFonts w:ascii="Calibri" w:cs="Calibri" w:eastAsia="Calibri" w:hAnsi="Calibri"/>
          <w:color w:val="262626"/>
          <w:sz w:val="22"/>
          <w:szCs w:val="22"/>
        </w:rPr>
        <w:t xml:space="preserve">Retail traders do not fail for lack of data — data has never been more abundant. They fail for four deeper reasons:</w:t>
      </w:r>
    </w:p>
    <w:p>
      <w:pPr>
        <w:pStyle w:val="ListParagraph"/>
        <w:numPr>
          <w:ilvl w:val="0"/>
          <w:numId w:val="2"/>
        </w:numPr>
        <w:spacing w:after="140" w:line="300"/>
        <w:jc w:val="both"/>
      </w:pPr>
      <w:r>
        <w:rPr>
          <w:rFonts w:ascii="Calibri" w:cs="Calibri" w:eastAsia="Calibri" w:hAnsi="Calibri"/>
          <w:b/>
          <w:bCs/>
          <w:color w:val="262626"/>
          <w:sz w:val="22"/>
          <w:szCs w:val="22"/>
        </w:rPr>
        <w:t xml:space="preserve">Fragmentation. </w:t>
      </w:r>
      <w:r>
        <w:rPr>
          <w:rFonts w:ascii="Calibri" w:cs="Calibri" w:eastAsia="Calibri" w:hAnsi="Calibri"/>
          <w:color w:val="262626"/>
          <w:sz w:val="22"/>
          <w:szCs w:val="22"/>
        </w:rPr>
        <w:t xml:space="preserve">Market data lives in one app, charts in another, news in a third, and learning nowhere at all. The trader carries the burden of stitching it all together, in real time, under pressure.</w:t>
      </w:r>
    </w:p>
    <w:p>
      <w:pPr>
        <w:pStyle w:val="ListParagraph"/>
        <w:numPr>
          <w:ilvl w:val="0"/>
          <w:numId w:val="2"/>
        </w:numPr>
        <w:spacing w:after="140" w:line="300"/>
        <w:jc w:val="both"/>
      </w:pPr>
      <w:r>
        <w:rPr>
          <w:rFonts w:ascii="Calibri" w:cs="Calibri" w:eastAsia="Calibri" w:hAnsi="Calibri"/>
          <w:b/>
          <w:bCs/>
          <w:color w:val="262626"/>
          <w:sz w:val="22"/>
          <w:szCs w:val="22"/>
        </w:rPr>
        <w:t xml:space="preserve">Advice dependency. </w:t>
      </w:r>
      <w:r>
        <w:rPr>
          <w:rFonts w:ascii="Calibri" w:cs="Calibri" w:eastAsia="Calibri" w:hAnsi="Calibri"/>
          <w:color w:val="262626"/>
          <w:sz w:val="22"/>
          <w:szCs w:val="22"/>
        </w:rPr>
        <w:t xml:space="preserve">Tip-and-signal services tell traders what to do without ever explaining why. This builds dependency instead of competence — and when the tips stop working, the trader is left with losses and no understanding.</w:t>
      </w:r>
    </w:p>
    <w:p>
      <w:pPr>
        <w:pStyle w:val="ListParagraph"/>
        <w:numPr>
          <w:ilvl w:val="0"/>
          <w:numId w:val="2"/>
        </w:numPr>
        <w:spacing w:after="140" w:line="300"/>
        <w:jc w:val="both"/>
      </w:pPr>
      <w:r>
        <w:rPr>
          <w:rFonts w:ascii="Calibri" w:cs="Calibri" w:eastAsia="Calibri" w:hAnsi="Calibri"/>
          <w:b/>
          <w:bCs/>
          <w:color w:val="262626"/>
          <w:sz w:val="22"/>
          <w:szCs w:val="22"/>
        </w:rPr>
        <w:t xml:space="preserve">Behavioral blind spots. </w:t>
      </w:r>
      <w:r>
        <w:rPr>
          <w:rFonts w:ascii="Calibri" w:cs="Calibri" w:eastAsia="Calibri" w:hAnsi="Calibri"/>
          <w:color w:val="262626"/>
          <w:sz w:val="22"/>
          <w:szCs w:val="22"/>
        </w:rPr>
        <w:t xml:space="preserve">The most expensive mistakes in retail trading are not analytical; they are behavioral — revenge trading immediately after a loss, entering late after a move has already happened, chasing rallies without real strength behind them, and repeatedly adding money to a losing position in the hope it recovers. These patterns are nearly invisible to the trader in the moment they matter most.</w:t>
      </w:r>
    </w:p>
    <w:p>
      <w:pPr>
        <w:pStyle w:val="ListParagraph"/>
        <w:numPr>
          <w:ilvl w:val="0"/>
          <w:numId w:val="2"/>
        </w:numPr>
        <w:spacing w:after="140" w:line="300"/>
        <w:jc w:val="both"/>
      </w:pPr>
      <w:r>
        <w:rPr>
          <w:rFonts w:ascii="Calibri" w:cs="Calibri" w:eastAsia="Calibri" w:hAnsi="Calibri"/>
          <w:b/>
          <w:bCs/>
          <w:color w:val="262626"/>
          <w:sz w:val="22"/>
          <w:szCs w:val="22"/>
        </w:rPr>
        <w:t xml:space="preserve">Opaque intelligence. </w:t>
      </w:r>
      <w:r>
        <w:rPr>
          <w:rFonts w:ascii="Calibri" w:cs="Calibri" w:eastAsia="Calibri" w:hAnsi="Calibri"/>
          <w:color w:val="262626"/>
          <w:sz w:val="22"/>
          <w:szCs w:val="22"/>
        </w:rPr>
        <w:t xml:space="preserve">Where AI has entered trading, it has largely arrived as a black box: signals that demand trust but offer no reasoning, no evidence, and no accountability.</w:t>
      </w:r>
    </w:p>
    <w:p>
      <w:pPr>
        <w:spacing w:after="200" w:line="300"/>
        <w:jc w:val="both"/>
      </w:pPr>
      <w:r>
        <w:rPr>
          <w:rFonts w:ascii="Calibri" w:cs="Calibri" w:eastAsia="Calibri" w:hAnsi="Calibri"/>
          <w:color w:val="262626"/>
          <w:sz w:val="22"/>
          <w:szCs w:val="22"/>
        </w:rPr>
        <w:t xml:space="preserve">TradeW exists to solve all four — in one place, under one philosophy.</w:t>
      </w:r>
    </w:p>
    <w:p>
      <w:pPr>
        <w:pStyle w:val="Heading1"/>
        <w:spacing w:after="200" w:before="360"/>
      </w:pPr>
      <w:r>
        <w:rPr>
          <w:rFonts w:ascii="Calibri" w:cs="Calibri" w:eastAsia="Calibri" w:hAnsi="Calibri"/>
          <w:b/>
          <w:bCs/>
          <w:color w:val="1F3854"/>
          <w:sz w:val="30"/>
          <w:szCs w:val="30"/>
        </w:rPr>
        <w:t xml:space="preserve">3.  Our Ideology</w:t>
      </w:r>
    </w:p>
    <w:p>
      <w:pPr>
        <w:spacing w:after="200" w:line="300"/>
        <w:jc w:val="both"/>
      </w:pPr>
      <w:r>
        <w:rPr>
          <w:rFonts w:ascii="Calibri" w:cs="Calibri" w:eastAsia="Calibri" w:hAnsi="Calibri"/>
          <w:color w:val="262626"/>
          <w:sz w:val="22"/>
          <w:szCs w:val="22"/>
        </w:rPr>
        <w:t xml:space="preserve">Six beliefs define TradeW. They are not features; they are the rules the product is built never to break.</w:t>
      </w:r>
    </w:p>
    <w:p>
      <w:pPr>
        <w:pStyle w:val="ListParagraph"/>
        <w:numPr>
          <w:ilvl w:val="0"/>
          <w:numId w:val="3"/>
        </w:numPr>
        <w:spacing w:after="160" w:line="300"/>
        <w:jc w:val="both"/>
      </w:pPr>
      <w:r>
        <w:rPr>
          <w:rFonts w:ascii="Calibri" w:cs="Calibri" w:eastAsia="Calibri" w:hAnsi="Calibri"/>
          <w:b/>
          <w:bCs/>
          <w:color w:val="262626"/>
          <w:sz w:val="22"/>
          <w:szCs w:val="22"/>
        </w:rPr>
        <w:t xml:space="preserve">Observation, never advice. </w:t>
      </w:r>
      <w:r>
        <w:rPr>
          <w:rFonts w:ascii="Calibri" w:cs="Calibri" w:eastAsia="Calibri" w:hAnsi="Calibri"/>
          <w:color w:val="262626"/>
          <w:sz w:val="22"/>
          <w:szCs w:val="22"/>
        </w:rPr>
        <w:t xml:space="preserve">TradeW explains, reflects, and educates. It never issues buy or sell instructions. This is simultaneously our product identity, our compliance posture, and a hard rule of the platform’s design.</w:t>
      </w:r>
    </w:p>
    <w:p>
      <w:pPr>
        <w:pStyle w:val="ListParagraph"/>
        <w:numPr>
          <w:ilvl w:val="0"/>
          <w:numId w:val="3"/>
        </w:numPr>
        <w:spacing w:after="160" w:line="300"/>
        <w:jc w:val="both"/>
      </w:pPr>
      <w:r>
        <w:rPr>
          <w:rFonts w:ascii="Calibri" w:cs="Calibri" w:eastAsia="Calibri" w:hAnsi="Calibri"/>
          <w:b/>
          <w:bCs/>
          <w:color w:val="262626"/>
          <w:sz w:val="22"/>
          <w:szCs w:val="22"/>
        </w:rPr>
        <w:t xml:space="preserve">The trader is always in control. </w:t>
      </w:r>
      <w:r>
        <w:rPr>
          <w:rFonts w:ascii="Calibri" w:cs="Calibri" w:eastAsia="Calibri" w:hAnsi="Calibri"/>
          <w:color w:val="262626"/>
          <w:sz w:val="22"/>
          <w:szCs w:val="22"/>
        </w:rPr>
        <w:t xml:space="preserve">No intelligence in TradeW can ever initiate, block, or delay a trade. The only path from an insight to an order is a deliberate human decision. The platform comments alongside the trader’s judgment — it is never a gate in front of it.</w:t>
      </w:r>
    </w:p>
    <w:p>
      <w:pPr>
        <w:pStyle w:val="ListParagraph"/>
        <w:numPr>
          <w:ilvl w:val="0"/>
          <w:numId w:val="3"/>
        </w:numPr>
        <w:spacing w:after="160" w:line="300"/>
        <w:jc w:val="both"/>
      </w:pPr>
      <w:r>
        <w:rPr>
          <w:rFonts w:ascii="Calibri" w:cs="Calibri" w:eastAsia="Calibri" w:hAnsi="Calibri"/>
          <w:b/>
          <w:bCs/>
          <w:color w:val="262626"/>
          <w:sz w:val="22"/>
          <w:szCs w:val="22"/>
        </w:rPr>
        <w:t xml:space="preserve">Intelligence must be explainable. </w:t>
      </w:r>
      <w:r>
        <w:rPr>
          <w:rFonts w:ascii="Calibri" w:cs="Calibri" w:eastAsia="Calibri" w:hAnsi="Calibri"/>
          <w:color w:val="262626"/>
          <w:sz w:val="22"/>
          <w:szCs w:val="22"/>
        </w:rPr>
        <w:t xml:space="preserve">Any premium conclusion the platform offers must be able to show its reasoning: the evidence behind it, the historical precedent, the confidence level, and the sources. If it cannot explain itself, it does not ship.</w:t>
      </w:r>
    </w:p>
    <w:p>
      <w:pPr>
        <w:pStyle w:val="ListParagraph"/>
        <w:numPr>
          <w:ilvl w:val="0"/>
          <w:numId w:val="3"/>
        </w:numPr>
        <w:spacing w:after="160" w:line="300"/>
        <w:jc w:val="both"/>
      </w:pPr>
      <w:r>
        <w:rPr>
          <w:rFonts w:ascii="Calibri" w:cs="Calibri" w:eastAsia="Calibri" w:hAnsi="Calibri"/>
          <w:b/>
          <w:bCs/>
          <w:color w:val="262626"/>
          <w:sz w:val="22"/>
          <w:szCs w:val="22"/>
        </w:rPr>
        <w:t xml:space="preserve">Protection over prediction. </w:t>
      </w:r>
      <w:r>
        <w:rPr>
          <w:rFonts w:ascii="Calibri" w:cs="Calibri" w:eastAsia="Calibri" w:hAnsi="Calibri"/>
          <w:color w:val="262626"/>
          <w:sz w:val="22"/>
          <w:szCs w:val="22"/>
        </w:rPr>
        <w:t xml:space="preserve">We believe the most valuable thing an intelligent platform can do is not to predict the market — it is to protect the trader from their own costliest moments. A warning that prevents one emotional mistake is worth more than a hundred predictions.</w:t>
      </w:r>
    </w:p>
    <w:p>
      <w:pPr>
        <w:pStyle w:val="ListParagraph"/>
        <w:numPr>
          <w:ilvl w:val="0"/>
          <w:numId w:val="3"/>
        </w:numPr>
        <w:spacing w:after="160" w:line="300"/>
        <w:jc w:val="both"/>
      </w:pPr>
      <w:r>
        <w:rPr>
          <w:rFonts w:ascii="Calibri" w:cs="Calibri" w:eastAsia="Calibri" w:hAnsi="Calibri"/>
          <w:b/>
          <w:bCs/>
          <w:color w:val="262626"/>
          <w:sz w:val="22"/>
          <w:szCs w:val="22"/>
        </w:rPr>
        <w:t xml:space="preserve">Education creates independence. </w:t>
      </w:r>
      <w:r>
        <w:rPr>
          <w:rFonts w:ascii="Calibri" w:cs="Calibri" w:eastAsia="Calibri" w:hAnsi="Calibri"/>
          <w:color w:val="262626"/>
          <w:sz w:val="22"/>
          <w:szCs w:val="22"/>
        </w:rPr>
        <w:t xml:space="preserve">Success for TradeW is a trader who needs us less over time, not more. Everything the platform learns feeds back into teaching, so users grow in genuine competence rather than dependency.</w:t>
      </w:r>
    </w:p>
    <w:p>
      <w:pPr>
        <w:pStyle w:val="ListParagraph"/>
        <w:numPr>
          <w:ilvl w:val="0"/>
          <w:numId w:val="3"/>
        </w:numPr>
        <w:spacing w:after="160" w:line="300"/>
        <w:jc w:val="both"/>
      </w:pPr>
      <w:r>
        <w:rPr>
          <w:rFonts w:ascii="Calibri" w:cs="Calibri" w:eastAsia="Calibri" w:hAnsi="Calibri"/>
          <w:b/>
          <w:bCs/>
          <w:color w:val="262626"/>
          <w:sz w:val="22"/>
          <w:szCs w:val="22"/>
        </w:rPr>
        <w:t xml:space="preserve">Knowledge is earned, never assumed. </w:t>
      </w:r>
      <w:r>
        <w:rPr>
          <w:rFonts w:ascii="Calibri" w:cs="Calibri" w:eastAsia="Calibri" w:hAnsi="Calibri"/>
          <w:color w:val="262626"/>
          <w:sz w:val="22"/>
          <w:szCs w:val="22"/>
        </w:rPr>
        <w:t xml:space="preserve">Inside TradeW, raw research and validated knowledge are strictly separated. An observation becomes trusted knowledge only after it survives validation and earns a confidence score — and once earned, knowledge is versioned and preserved, never silently rewritten.</w:t>
      </w:r>
    </w:p>
    <w:p>
      <w:pPr>
        <w:pStyle w:val="Heading1"/>
        <w:spacing w:after="200" w:before="360"/>
      </w:pPr>
      <w:r>
        <w:rPr>
          <w:rFonts w:ascii="Calibri" w:cs="Calibri" w:eastAsia="Calibri" w:hAnsi="Calibri"/>
          <w:b/>
          <w:bCs/>
          <w:color w:val="1F3854"/>
          <w:sz w:val="30"/>
          <w:szCs w:val="30"/>
        </w:rPr>
        <w:t xml:space="preserve">4.  One Platform, Four Pillars</w:t>
      </w:r>
    </w:p>
    <w:p>
      <w:pPr>
        <w:spacing w:after="200" w:line="300"/>
        <w:jc w:val="both"/>
      </w:pPr>
      <w:r>
        <w:rPr>
          <w:rFonts w:ascii="Calibri" w:cs="Calibri" w:eastAsia="Calibri" w:hAnsi="Calibri"/>
          <w:color w:val="262626"/>
          <w:sz w:val="22"/>
          <w:szCs w:val="22"/>
        </w:rPr>
        <w:t xml:space="preserve">TradeW is experienced as a single workspace — the benchmark is a Bloomberg Terminal or a professional studio suite: many capabilities, one ecosystem. Moving between its pillars feels like switching tabs, never like switching products.</w:t>
      </w:r>
    </w:p>
    <w:p>
      <w:pPr>
        <w:spacing w:after="200" w:line="300"/>
        <w:jc w:val="both"/>
      </w:pPr>
      <w:r>
        <w:rPr>
          <w:rFonts w:ascii="Calibri" w:cs="Calibri" w:eastAsia="Calibri" w:hAnsi="Calibri"/>
          <w:b/>
          <w:bCs/>
          <w:color w:val="262626"/>
          <w:sz w:val="22"/>
          <w:szCs w:val="22"/>
        </w:rPr>
        <w:t xml:space="preserve">Core Platform — the trader’s daily home. </w:t>
      </w:r>
      <w:r>
        <w:rPr>
          <w:rFonts w:ascii="Calibri" w:cs="Calibri" w:eastAsia="Calibri" w:hAnsi="Calibri"/>
          <w:color w:val="262626"/>
          <w:sz w:val="22"/>
          <w:szCs w:val="22"/>
        </w:rPr>
        <w:t xml:space="preserve">Live market data, charts, watchlists, portfolio and order management, including a full practice (demo) trading environment where users can build skill without risk.</w:t>
      </w:r>
    </w:p>
    <w:p>
      <w:pPr>
        <w:spacing w:after="200" w:line="300"/>
        <w:jc w:val="both"/>
      </w:pPr>
      <w:r>
        <w:rPr>
          <w:rFonts w:ascii="Calibri" w:cs="Calibri" w:eastAsia="Calibri" w:hAnsi="Calibri"/>
          <w:b/>
          <w:bCs/>
          <w:color w:val="262626"/>
          <w:sz w:val="22"/>
          <w:szCs w:val="22"/>
        </w:rPr>
        <w:t xml:space="preserve">TradeW AI — the research companion. </w:t>
      </w:r>
      <w:r>
        <w:rPr>
          <w:rFonts w:ascii="Calibri" w:cs="Calibri" w:eastAsia="Calibri" w:hAnsi="Calibri"/>
          <w:color w:val="262626"/>
          <w:sz w:val="22"/>
          <w:szCs w:val="22"/>
        </w:rPr>
        <w:t xml:space="preserve">Answers the question “What does this mean?” Company analysis, news interpretation, chart-based technical context, and options-market insight — delivered conversationally, in plain language, to every user. It makes institutional-grade understanding accessible without ever crossing into recommendation.</w:t>
      </w:r>
    </w:p>
    <w:p>
      <w:pPr>
        <w:spacing w:after="200" w:line="300"/>
        <w:jc w:val="both"/>
      </w:pPr>
      <w:r>
        <w:rPr>
          <w:rFonts w:ascii="Calibri" w:cs="Calibri" w:eastAsia="Calibri" w:hAnsi="Calibri"/>
          <w:b/>
          <w:bCs/>
          <w:color w:val="262626"/>
          <w:sz w:val="22"/>
          <w:szCs w:val="22"/>
        </w:rPr>
        <w:t xml:space="preserve">Sentinel — the safety net, and our flagship premium offering. </w:t>
      </w:r>
      <w:r>
        <w:rPr>
          <w:rFonts w:ascii="Calibri" w:cs="Calibri" w:eastAsia="Calibri" w:hAnsi="Calibri"/>
          <w:color w:val="262626"/>
          <w:sz w:val="22"/>
          <w:szCs w:val="22"/>
        </w:rPr>
        <w:t xml:space="preserve">Answers the harder question: “Am I about to make a mistake?” Sentinel observes both the market’s structure and the trader’s own behavior, and speaks up when multiple corroborating signals indicate a familiar trap — a price move with no real buying strength behind it, an entry that looks driven by fear of missing out, a re-entry that resembles revenge trading. Its voice is deliberately fixed: present the evidence, name the pattern, and softly suggest reflection — never a directive, and never an obstruction. Every observation Sentinel makes is recorded together with its supporting evidence, keeping the platform audit-ready and accountable to regulators by design.</w:t>
      </w:r>
    </w:p>
    <w:p>
      <w:pPr>
        <w:spacing w:after="200" w:line="300"/>
        <w:jc w:val="both"/>
      </w:pPr>
      <w:r>
        <w:rPr>
          <w:rFonts w:ascii="Calibri" w:cs="Calibri" w:eastAsia="Calibri" w:hAnsi="Calibri"/>
          <w:b/>
          <w:bCs/>
          <w:color w:val="262626"/>
          <w:sz w:val="22"/>
          <w:szCs w:val="22"/>
        </w:rPr>
        <w:t xml:space="preserve">Learning Hub — the education layer. </w:t>
      </w:r>
      <w:r>
        <w:rPr>
          <w:rFonts w:ascii="Calibri" w:cs="Calibri" w:eastAsia="Calibri" w:hAnsi="Calibri"/>
          <w:color w:val="262626"/>
          <w:sz w:val="22"/>
          <w:szCs w:val="22"/>
        </w:rPr>
        <w:t xml:space="preserve">A structured curriculum that turns the platform’s validated knowledge into lessons, so what TradeW learns, its users learn. Education is woven into the trading experience itself — the right lesson surfaces at the moment it is most relevant.</w:t>
      </w:r>
    </w:p>
    <w:p>
      <w:pPr>
        <w:pStyle w:val="Heading1"/>
        <w:spacing w:after="200" w:before="360"/>
      </w:pPr>
      <w:r>
        <w:rPr>
          <w:rFonts w:ascii="Calibri" w:cs="Calibri" w:eastAsia="Calibri" w:hAnsi="Calibri"/>
          <w:b/>
          <w:bCs/>
          <w:color w:val="1F3854"/>
          <w:sz w:val="30"/>
          <w:szCs w:val="30"/>
        </w:rPr>
        <w:t xml:space="preserve">5.  Business Logic &amp; Revenue Model</w:t>
      </w:r>
    </w:p>
    <w:p>
      <w:pPr>
        <w:spacing w:after="200" w:line="300"/>
        <w:jc w:val="both"/>
      </w:pPr>
      <w:r>
        <w:rPr>
          <w:rFonts w:ascii="Calibri" w:cs="Calibri" w:eastAsia="Calibri" w:hAnsi="Calibri"/>
          <w:color w:val="262626"/>
          <w:sz w:val="22"/>
          <w:szCs w:val="22"/>
        </w:rPr>
        <w:t xml:space="preserve">TradeW follows a freemium, subscription-led model built on one governing principle: </w:t>
      </w:r>
      <w:r>
        <w:rPr>
          <w:rFonts w:ascii="Calibri" w:cs="Calibri" w:eastAsia="Calibri" w:hAnsi="Calibri"/>
          <w:b/>
          <w:bCs/>
          <w:color w:val="262626"/>
          <w:sz w:val="22"/>
          <w:szCs w:val="22"/>
        </w:rPr>
        <w:t xml:space="preserve">we monetize intelligence and education — never the ability to trade. </w:t>
      </w:r>
      <w:r>
        <w:rPr>
          <w:rFonts w:ascii="Calibri" w:cs="Calibri" w:eastAsia="Calibri" w:hAnsi="Calibri"/>
          <w:color w:val="262626"/>
          <w:sz w:val="22"/>
          <w:szCs w:val="22"/>
        </w:rPr>
        <w:t xml:space="preserve">The ability to place an order is never put behind a paywall and remains equally available at every tier; what we monetize is practice volume, education, and premium intelligence. Paying for TradeW never buys advice; it buys deeper understanding and stronger protection.</w:t>
      </w:r>
    </w:p>
    <w:tbl>
      <w:tblPr>
        <w:tblW w:type="dxa" w:w="9026"/>
        <w:tblBorders>
          <w:top w:val="single" w:color="BFCEDD" w:sz="4"/>
          <w:left w:val="single" w:color="BFCEDD" w:sz="4"/>
          <w:bottom w:val="single" w:color="BFCEDD" w:sz="4"/>
          <w:right w:val="single" w:color="BFCEDD" w:sz="4"/>
          <w:insideH w:val="single" w:color="D9E2EC" w:sz="4"/>
          <w:insideV w:val="single" w:color="D9E2EC" w:sz="4"/>
        </w:tblBorders>
      </w:tblPr>
      <w:tblGrid>
        <w:gridCol w:w="2100"/>
        <w:gridCol w:w="3100"/>
        <w:gridCol w:w="3826"/>
      </w:tblGrid>
      <w:tr>
        <w:trPr>
          <w:tblHeader/>
        </w:trPr>
        <w:tc>
          <w:tcPr>
            <w:tcW w:type="dxa" w:w="2100"/>
            <w:shd w:fill="1F3854" w:val="clear"/>
            <w:tcMar>
              <w:top w:type="dxa" w:w="100"/>
              <w:left w:type="dxa" w:w="140"/>
              <w:bottom w:type="dxa" w:w="100"/>
              <w:right w:type="dxa" w:w="140"/>
            </w:tcMar>
          </w:tcPr>
          <w:p>
            <w:pPr>
              <w:spacing w:after="0"/>
            </w:pPr>
            <w:r>
              <w:rPr>
                <w:rFonts w:ascii="Calibri" w:cs="Calibri" w:eastAsia="Calibri" w:hAnsi="Calibri"/>
                <w:b/>
                <w:bCs/>
                <w:color w:val="FFFFFF"/>
                <w:sz w:val="21"/>
                <w:szCs w:val="21"/>
              </w:rPr>
              <w:t xml:space="preserve">Offering</w:t>
            </w:r>
          </w:p>
        </w:tc>
        <w:tc>
          <w:tcPr>
            <w:tcW w:type="dxa" w:w="3100"/>
            <w:shd w:fill="1F3854" w:val="clear"/>
            <w:tcMar>
              <w:top w:type="dxa" w:w="100"/>
              <w:left w:type="dxa" w:w="140"/>
              <w:bottom w:type="dxa" w:w="100"/>
              <w:right w:type="dxa" w:w="140"/>
            </w:tcMar>
          </w:tcPr>
          <w:p>
            <w:pPr>
              <w:spacing w:after="0"/>
            </w:pPr>
            <w:r>
              <w:rPr>
                <w:rFonts w:ascii="Calibri" w:cs="Calibri" w:eastAsia="Calibri" w:hAnsi="Calibri"/>
                <w:b/>
                <w:bCs/>
                <w:color w:val="FFFFFF"/>
                <w:sz w:val="21"/>
                <w:szCs w:val="21"/>
              </w:rPr>
              <w:t xml:space="preserve">Commercial Model</w:t>
            </w:r>
          </w:p>
        </w:tc>
        <w:tc>
          <w:tcPr>
            <w:tcW w:type="dxa" w:w="3826"/>
            <w:shd w:fill="1F3854" w:val="clear"/>
            <w:tcMar>
              <w:top w:type="dxa" w:w="100"/>
              <w:left w:type="dxa" w:w="140"/>
              <w:bottom w:type="dxa" w:w="100"/>
              <w:right w:type="dxa" w:w="140"/>
            </w:tcMar>
          </w:tcPr>
          <w:p>
            <w:pPr>
              <w:spacing w:after="0"/>
            </w:pPr>
            <w:r>
              <w:rPr>
                <w:rFonts w:ascii="Calibri" w:cs="Calibri" w:eastAsia="Calibri" w:hAnsi="Calibri"/>
                <w:b/>
                <w:bCs/>
                <w:color w:val="FFFFFF"/>
                <w:sz w:val="21"/>
                <w:szCs w:val="21"/>
              </w:rPr>
              <w:t xml:space="preserve">Positioning</w:t>
            </w:r>
          </w:p>
        </w:tc>
      </w:tr>
      <w:tr>
        <w:trPr>
          <w:tblHeader w:val="false"/>
        </w:trPr>
        <w:tc>
          <w:tcPr>
            <w:tcW w:type="dxa" w:w="2100"/>
            <w:shd w:fill="FFFFFF" w:val="clear"/>
            <w:tcMar>
              <w:top w:type="dxa" w:w="100"/>
              <w:left w:type="dxa" w:w="140"/>
              <w:bottom w:type="dxa" w:w="100"/>
              <w:right w:type="dxa" w:w="140"/>
            </w:tcMar>
          </w:tcPr>
          <w:p>
            <w:pPr>
              <w:spacing w:after="0"/>
            </w:pPr>
            <w:r>
              <w:rPr>
                <w:rFonts w:ascii="Calibri" w:cs="Calibri" w:eastAsia="Calibri" w:hAnsi="Calibri"/>
                <w:b w:val="false"/>
                <w:bCs w:val="false"/>
                <w:color w:val="262626"/>
                <w:sz w:val="21"/>
                <w:szCs w:val="21"/>
              </w:rPr>
              <w:t xml:space="preserve">Core Platform</w:t>
            </w:r>
          </w:p>
        </w:tc>
        <w:tc>
          <w:tcPr>
            <w:tcW w:type="dxa" w:w="3100"/>
            <w:shd w:fill="FFFFFF" w:val="clear"/>
            <w:tcMar>
              <w:top w:type="dxa" w:w="100"/>
              <w:left w:type="dxa" w:w="140"/>
              <w:bottom w:type="dxa" w:w="100"/>
              <w:right w:type="dxa" w:w="140"/>
            </w:tcMar>
          </w:tcPr>
          <w:p>
            <w:pPr>
              <w:spacing w:after="0"/>
            </w:pPr>
            <w:r>
              <w:rPr>
                <w:rFonts w:ascii="Calibri" w:cs="Calibri" w:eastAsia="Calibri" w:hAnsi="Calibri"/>
                <w:b w:val="false"/>
                <w:bCs w:val="false"/>
                <w:color w:val="262626"/>
                <w:sz w:val="21"/>
                <w:szCs w:val="21"/>
              </w:rPr>
              <w:t xml:space="preserve">Free</w:t>
            </w:r>
          </w:p>
        </w:tc>
        <w:tc>
          <w:tcPr>
            <w:tcW w:type="dxa" w:w="3826"/>
            <w:shd w:fill="FFFFFF" w:val="clear"/>
            <w:tcMar>
              <w:top w:type="dxa" w:w="100"/>
              <w:left w:type="dxa" w:w="140"/>
              <w:bottom w:type="dxa" w:w="100"/>
              <w:right w:type="dxa" w:w="140"/>
            </w:tcMar>
          </w:tcPr>
          <w:p>
            <w:pPr>
              <w:spacing w:after="0"/>
            </w:pPr>
            <w:r>
              <w:rPr>
                <w:rFonts w:ascii="Calibri" w:cs="Calibri" w:eastAsia="Calibri" w:hAnsi="Calibri"/>
                <w:b w:val="false"/>
                <w:bCs w:val="false"/>
                <w:color w:val="262626"/>
                <w:sz w:val="21"/>
                <w:szCs w:val="21"/>
              </w:rPr>
              <w:t xml:space="preserve">Full workspace access; practice (demo) trading with a daily free allowance</w:t>
            </w:r>
          </w:p>
        </w:tc>
      </w:tr>
      <w:tr>
        <w:trPr>
          <w:tblHeader w:val="false"/>
        </w:trPr>
        <w:tc>
          <w:tcPr>
            <w:tcW w:type="dxa" w:w="2100"/>
            <w:shd w:fill="FFFFFF" w:val="clear"/>
            <w:tcMar>
              <w:top w:type="dxa" w:w="100"/>
              <w:left w:type="dxa" w:w="140"/>
              <w:bottom w:type="dxa" w:w="100"/>
              <w:right w:type="dxa" w:w="140"/>
            </w:tcMar>
          </w:tcPr>
          <w:p>
            <w:pPr>
              <w:spacing w:after="0"/>
            </w:pPr>
            <w:r>
              <w:rPr>
                <w:rFonts w:ascii="Calibri" w:cs="Calibri" w:eastAsia="Calibri" w:hAnsi="Calibri"/>
                <w:b w:val="false"/>
                <w:bCs w:val="false"/>
                <w:color w:val="262626"/>
                <w:sz w:val="21"/>
                <w:szCs w:val="21"/>
              </w:rPr>
              <w:t xml:space="preserve">Demo Passes</w:t>
            </w:r>
          </w:p>
        </w:tc>
        <w:tc>
          <w:tcPr>
            <w:tcW w:type="dxa" w:w="3100"/>
            <w:shd w:fill="FFFFFF" w:val="clear"/>
            <w:tcMar>
              <w:top w:type="dxa" w:w="100"/>
              <w:left w:type="dxa" w:w="140"/>
              <w:bottom w:type="dxa" w:w="100"/>
              <w:right w:type="dxa" w:w="140"/>
            </w:tcMar>
          </w:tcPr>
          <w:p>
            <w:pPr>
              <w:spacing w:after="0"/>
            </w:pPr>
            <w:r>
              <w:rPr>
                <w:rFonts w:ascii="Calibri" w:cs="Calibri" w:eastAsia="Calibri" w:hAnsi="Calibri"/>
                <w:b w:val="false"/>
                <w:bCs w:val="false"/>
                <w:color w:val="262626"/>
                <w:sz w:val="21"/>
                <w:szCs w:val="21"/>
              </w:rPr>
              <w:t xml:space="preserve">₹99 per week · ₹199 per month</w:t>
            </w:r>
          </w:p>
        </w:tc>
        <w:tc>
          <w:tcPr>
            <w:tcW w:type="dxa" w:w="3826"/>
            <w:shd w:fill="FFFFFF" w:val="clear"/>
            <w:tcMar>
              <w:top w:type="dxa" w:w="100"/>
              <w:left w:type="dxa" w:w="140"/>
              <w:bottom w:type="dxa" w:w="100"/>
              <w:right w:type="dxa" w:w="140"/>
            </w:tcMar>
          </w:tcPr>
          <w:p>
            <w:pPr>
              <w:spacing w:after="0"/>
            </w:pPr>
            <w:r>
              <w:rPr>
                <w:rFonts w:ascii="Calibri" w:cs="Calibri" w:eastAsia="Calibri" w:hAnsi="Calibri"/>
                <w:b w:val="false"/>
                <w:bCs w:val="false"/>
                <w:color w:val="262626"/>
                <w:sz w:val="21"/>
                <w:szCs w:val="21"/>
              </w:rPr>
              <w:t xml:space="preserve">Unlimited practice trading for committed learners</w:t>
            </w:r>
          </w:p>
        </w:tc>
      </w:tr>
      <w:tr>
        <w:trPr>
          <w:tblHeader w:val="false"/>
        </w:trPr>
        <w:tc>
          <w:tcPr>
            <w:tcW w:type="dxa" w:w="2100"/>
            <w:shd w:fill="FFFFFF" w:val="clear"/>
            <w:tcMar>
              <w:top w:type="dxa" w:w="100"/>
              <w:left w:type="dxa" w:w="140"/>
              <w:bottom w:type="dxa" w:w="100"/>
              <w:right w:type="dxa" w:w="140"/>
            </w:tcMar>
          </w:tcPr>
          <w:p>
            <w:pPr>
              <w:spacing w:after="0"/>
            </w:pPr>
            <w:r>
              <w:rPr>
                <w:rFonts w:ascii="Calibri" w:cs="Calibri" w:eastAsia="Calibri" w:hAnsi="Calibri"/>
                <w:b w:val="false"/>
                <w:bCs w:val="false"/>
                <w:color w:val="262626"/>
                <w:sz w:val="21"/>
                <w:szCs w:val="21"/>
              </w:rPr>
              <w:t xml:space="preserve">Learning Hub</w:t>
            </w:r>
          </w:p>
        </w:tc>
        <w:tc>
          <w:tcPr>
            <w:tcW w:type="dxa" w:w="3100"/>
            <w:shd w:fill="FFFFFF" w:val="clear"/>
            <w:tcMar>
              <w:top w:type="dxa" w:w="100"/>
              <w:left w:type="dxa" w:w="140"/>
              <w:bottom w:type="dxa" w:w="100"/>
              <w:right w:type="dxa" w:w="140"/>
            </w:tcMar>
          </w:tcPr>
          <w:p>
            <w:pPr>
              <w:spacing w:after="0"/>
            </w:pPr>
            <w:r>
              <w:rPr>
                <w:rFonts w:ascii="Calibri" w:cs="Calibri" w:eastAsia="Calibri" w:hAnsi="Calibri"/>
                <w:b w:val="false"/>
                <w:bCs w:val="false"/>
                <w:color w:val="262626"/>
                <w:sz w:val="21"/>
                <w:szCs w:val="21"/>
              </w:rPr>
              <w:t xml:space="preserve">₹299 one-time, lifetime access</w:t>
            </w:r>
          </w:p>
        </w:tc>
        <w:tc>
          <w:tcPr>
            <w:tcW w:type="dxa" w:w="3826"/>
            <w:shd w:fill="FFFFFF" w:val="clear"/>
            <w:tcMar>
              <w:top w:type="dxa" w:w="100"/>
              <w:left w:type="dxa" w:w="140"/>
              <w:bottom w:type="dxa" w:w="100"/>
              <w:right w:type="dxa" w:w="140"/>
            </w:tcMar>
          </w:tcPr>
          <w:p>
            <w:pPr>
              <w:spacing w:after="0"/>
            </w:pPr>
            <w:r>
              <w:rPr>
                <w:rFonts w:ascii="Calibri" w:cs="Calibri" w:eastAsia="Calibri" w:hAnsi="Calibri"/>
                <w:b w:val="false"/>
                <w:bCs w:val="false"/>
                <w:color w:val="262626"/>
                <w:sz w:val="21"/>
                <w:szCs w:val="21"/>
              </w:rPr>
              <w:t xml:space="preserve">All current and future educational content</w:t>
            </w:r>
          </w:p>
        </w:tc>
      </w:tr>
      <w:tr>
        <w:trPr>
          <w:tblHeader w:val="false"/>
        </w:trPr>
        <w:tc>
          <w:tcPr>
            <w:tcW w:type="dxa" w:w="2100"/>
            <w:shd w:fill="FFFFFF" w:val="clear"/>
            <w:tcMar>
              <w:top w:type="dxa" w:w="100"/>
              <w:left w:type="dxa" w:w="140"/>
              <w:bottom w:type="dxa" w:w="100"/>
              <w:right w:type="dxa" w:w="140"/>
            </w:tcMar>
          </w:tcPr>
          <w:p>
            <w:pPr>
              <w:spacing w:after="0"/>
            </w:pPr>
            <w:r>
              <w:rPr>
                <w:rFonts w:ascii="Calibri" w:cs="Calibri" w:eastAsia="Calibri" w:hAnsi="Calibri"/>
                <w:b w:val="false"/>
                <w:bCs w:val="false"/>
                <w:color w:val="262626"/>
                <w:sz w:val="21"/>
                <w:szCs w:val="21"/>
              </w:rPr>
              <w:t xml:space="preserve">Sentinel</w:t>
            </w:r>
          </w:p>
        </w:tc>
        <w:tc>
          <w:tcPr>
            <w:tcW w:type="dxa" w:w="3100"/>
            <w:shd w:fill="FFFFFF" w:val="clear"/>
            <w:tcMar>
              <w:top w:type="dxa" w:w="100"/>
              <w:left w:type="dxa" w:w="140"/>
              <w:bottom w:type="dxa" w:w="100"/>
              <w:right w:type="dxa" w:w="140"/>
            </w:tcMar>
          </w:tcPr>
          <w:p>
            <w:pPr>
              <w:spacing w:after="0"/>
            </w:pPr>
            <w:r>
              <w:rPr>
                <w:rFonts w:ascii="Calibri" w:cs="Calibri" w:eastAsia="Calibri" w:hAnsi="Calibri"/>
                <w:b w:val="false"/>
                <w:bCs w:val="false"/>
                <w:color w:val="262626"/>
                <w:sz w:val="21"/>
                <w:szCs w:val="21"/>
              </w:rPr>
              <w:t xml:space="preserve">₹1,399 per month, reducing to a ₹999-per-month equivalent on the 12-month term</w:t>
            </w:r>
          </w:p>
        </w:tc>
        <w:tc>
          <w:tcPr>
            <w:tcW w:type="dxa" w:w="3826"/>
            <w:shd w:fill="FFFFFF" w:val="clear"/>
            <w:tcMar>
              <w:top w:type="dxa" w:w="100"/>
              <w:left w:type="dxa" w:w="140"/>
              <w:bottom w:type="dxa" w:w="100"/>
              <w:right w:type="dxa" w:w="140"/>
            </w:tcMar>
          </w:tcPr>
          <w:p>
            <w:pPr>
              <w:spacing w:after="0"/>
            </w:pPr>
            <w:r>
              <w:rPr>
                <w:rFonts w:ascii="Calibri" w:cs="Calibri" w:eastAsia="Calibri" w:hAnsi="Calibri"/>
                <w:b w:val="false"/>
                <w:bCs w:val="false"/>
                <w:color w:val="262626"/>
                <w:sz w:val="21"/>
                <w:szCs w:val="21"/>
              </w:rPr>
              <w:t xml:space="preserve">The flagship premium subscription and primary revenue engine</w:t>
            </w:r>
          </w:p>
        </w:tc>
      </w:tr>
    </w:tbl>
    <w:p>
      <w:pPr>
        <w:spacing w:after="120"/>
      </w:pPr>
    </w:p>
    <w:p>
      <w:pPr>
        <w:spacing w:after="200" w:line="300"/>
        <w:jc w:val="both"/>
      </w:pPr>
      <w:r>
        <w:rPr>
          <w:rFonts w:ascii="Calibri" w:cs="Calibri" w:eastAsia="Calibri" w:hAnsi="Calibri"/>
          <w:color w:val="262626"/>
          <w:sz w:val="22"/>
          <w:szCs w:val="22"/>
        </w:rPr>
        <w:t xml:space="preserve">Sentinel is one of the primary reasons users subscribe: it is always visible in the product, with its premium reasoning unlocked by subscription — so every user sees its value before paying for it. Educational access is deliberately priced as a low, one-time commitment, reflecting our belief that learning should be the least-gated part of the platform.</w:t>
      </w:r>
    </w:p>
    <w:p>
      <w:pPr>
        <w:pStyle w:val="Heading1"/>
        <w:spacing w:after="200" w:before="360"/>
      </w:pPr>
      <w:r>
        <w:rPr>
          <w:rFonts w:ascii="Calibri" w:cs="Calibri" w:eastAsia="Calibri" w:hAnsi="Calibri"/>
          <w:b/>
          <w:bCs/>
          <w:color w:val="1F3854"/>
          <w:sz w:val="30"/>
          <w:szCs w:val="30"/>
        </w:rPr>
        <w:t xml:space="preserve">6.  Who We Serve</w:t>
      </w:r>
    </w:p>
    <w:p>
      <w:pPr>
        <w:spacing w:after="200" w:line="300"/>
        <w:jc w:val="both"/>
      </w:pPr>
      <w:r>
        <w:rPr>
          <w:rFonts w:ascii="Calibri" w:cs="Calibri" w:eastAsia="Calibri" w:hAnsi="Calibri"/>
          <w:color w:val="262626"/>
          <w:sz w:val="22"/>
          <w:szCs w:val="22"/>
        </w:rPr>
        <w:t xml:space="preserve">TradeW is built India-first: for the retail trader in the Indian equity and derivatives markets, operating within the environment regulated by SEBI, India’s securities-market regulator, and designed from the ground up around India’s data-protection (DPDP) expectations. Our user is not the institution — it is the individual who deserves institutional-grade context, honesty, and protection.</w:t>
      </w:r>
    </w:p>
    <w:p>
      <w:pPr>
        <w:pStyle w:val="Heading1"/>
        <w:spacing w:after="200" w:before="360"/>
      </w:pPr>
      <w:r>
        <w:rPr>
          <w:rFonts w:ascii="Calibri" w:cs="Calibri" w:eastAsia="Calibri" w:hAnsi="Calibri"/>
          <w:b/>
          <w:bCs/>
          <w:color w:val="1F3854"/>
          <w:sz w:val="30"/>
          <w:szCs w:val="30"/>
        </w:rPr>
        <w:t xml:space="preserve">7.  What TradeW Will Never Do</w:t>
      </w:r>
    </w:p>
    <w:p>
      <w:pPr>
        <w:spacing w:after="200" w:line="300"/>
        <w:jc w:val="both"/>
      </w:pPr>
      <w:r>
        <w:rPr>
          <w:rFonts w:ascii="Calibri" w:cs="Calibri" w:eastAsia="Calibri" w:hAnsi="Calibri"/>
          <w:color w:val="262626"/>
          <w:sz w:val="22"/>
          <w:szCs w:val="22"/>
        </w:rPr>
        <w:t xml:space="preserve">Boundaries define us as much as capabilities. TradeW will never:</w:t>
      </w:r>
    </w:p>
    <w:p>
      <w:pPr>
        <w:pStyle w:val="ListParagraph"/>
        <w:numPr>
          <w:ilvl w:val="0"/>
          <w:numId w:val="2"/>
        </w:numPr>
        <w:spacing w:after="140" w:line="300"/>
        <w:jc w:val="both"/>
      </w:pPr>
      <w:r>
        <w:rPr>
          <w:rFonts w:ascii="Calibri" w:cs="Calibri" w:eastAsia="Calibri" w:hAnsi="Calibri"/>
          <w:color w:val="262626"/>
          <w:sz w:val="22"/>
          <w:szCs w:val="22"/>
        </w:rPr>
        <w:t xml:space="preserve">Place, initiate, or execute a trade on a user’s behalf.</w:t>
      </w:r>
    </w:p>
    <w:p>
      <w:pPr>
        <w:pStyle w:val="ListParagraph"/>
        <w:numPr>
          <w:ilvl w:val="0"/>
          <w:numId w:val="2"/>
        </w:numPr>
        <w:spacing w:after="140" w:line="300"/>
        <w:jc w:val="both"/>
      </w:pPr>
      <w:r>
        <w:rPr>
          <w:rFonts w:ascii="Calibri" w:cs="Calibri" w:eastAsia="Calibri" w:hAnsi="Calibri"/>
          <w:color w:val="262626"/>
          <w:sz w:val="22"/>
          <w:szCs w:val="22"/>
        </w:rPr>
        <w:t xml:space="preserve">Issue buy or sell recommendations, price targets, or trade calls.</w:t>
      </w:r>
    </w:p>
    <w:p>
      <w:pPr>
        <w:pStyle w:val="ListParagraph"/>
        <w:numPr>
          <w:ilvl w:val="0"/>
          <w:numId w:val="2"/>
        </w:numPr>
        <w:spacing w:after="140" w:line="300"/>
        <w:jc w:val="both"/>
      </w:pPr>
      <w:r>
        <w:rPr>
          <w:rFonts w:ascii="Calibri" w:cs="Calibri" w:eastAsia="Calibri" w:hAnsi="Calibri"/>
          <w:color w:val="262626"/>
          <w:sz w:val="22"/>
          <w:szCs w:val="22"/>
        </w:rPr>
        <w:t xml:space="preserve">Allow any intelligence to block, delay, or gate a user’s order.</w:t>
      </w:r>
    </w:p>
    <w:p>
      <w:pPr>
        <w:pStyle w:val="ListParagraph"/>
        <w:numPr>
          <w:ilvl w:val="0"/>
          <w:numId w:val="2"/>
        </w:numPr>
        <w:spacing w:after="140" w:line="300"/>
        <w:jc w:val="both"/>
      </w:pPr>
      <w:r>
        <w:rPr>
          <w:rFonts w:ascii="Calibri" w:cs="Calibri" w:eastAsia="Calibri" w:hAnsi="Calibri"/>
          <w:color w:val="262626"/>
          <w:sz w:val="22"/>
          <w:szCs w:val="22"/>
        </w:rPr>
        <w:t xml:space="preserve">Sell trading signals or operate as an advisory or tip service.</w:t>
      </w:r>
    </w:p>
    <w:p>
      <w:pPr>
        <w:pStyle w:val="ListParagraph"/>
        <w:numPr>
          <w:ilvl w:val="0"/>
          <w:numId w:val="2"/>
        </w:numPr>
        <w:spacing w:after="140" w:line="300"/>
        <w:jc w:val="both"/>
      </w:pPr>
      <w:r>
        <w:rPr>
          <w:rFonts w:ascii="Calibri" w:cs="Calibri" w:eastAsia="Calibri" w:hAnsi="Calibri"/>
          <w:color w:val="262626"/>
          <w:sz w:val="22"/>
          <w:szCs w:val="22"/>
        </w:rPr>
        <w:t xml:space="preserve">Present an AI conclusion without the reasoning and evidence behind it.</w:t>
      </w:r>
    </w:p>
    <w:p>
      <w:pPr>
        <w:pStyle w:val="ListParagraph"/>
        <w:numPr>
          <w:ilvl w:val="0"/>
          <w:numId w:val="2"/>
        </w:numPr>
        <w:spacing w:after="140" w:line="300"/>
        <w:jc w:val="both"/>
      </w:pPr>
      <w:r>
        <w:rPr>
          <w:rFonts w:ascii="Calibri" w:cs="Calibri" w:eastAsia="Calibri" w:hAnsi="Calibri"/>
          <w:color w:val="262626"/>
          <w:sz w:val="22"/>
          <w:szCs w:val="22"/>
        </w:rPr>
        <w:t xml:space="preserve">Gate the ability to trade behind a paywall — subscriptions unlock understanding, never execution.</w:t>
      </w:r>
    </w:p>
    <w:p>
      <w:pPr>
        <w:pStyle w:val="Heading1"/>
        <w:spacing w:after="200" w:before="360"/>
      </w:pPr>
      <w:r>
        <w:rPr>
          <w:rFonts w:ascii="Calibri" w:cs="Calibri" w:eastAsia="Calibri" w:hAnsi="Calibri"/>
          <w:b/>
          <w:bCs/>
          <w:color w:val="1F3854"/>
          <w:sz w:val="30"/>
          <w:szCs w:val="30"/>
        </w:rPr>
        <w:t xml:space="preserve">8.  Closing Statement</w:t>
      </w:r>
    </w:p>
    <w:p>
      <w:pPr>
        <w:spacing w:after="200" w:line="300"/>
        <w:jc w:val="both"/>
      </w:pPr>
      <w:r>
        <w:rPr>
          <w:rFonts w:ascii="Calibri" w:cs="Calibri" w:eastAsia="Calibri" w:hAnsi="Calibri"/>
          <w:color w:val="262626"/>
          <w:sz w:val="22"/>
          <w:szCs w:val="22"/>
        </w:rPr>
        <w:t xml:space="preserve">TradeW’s ambition is simple to state and demanding to build: to be the operating system a retail trader lives in — where the data is live, the intelligence is honest, the protection is personal, and the decisions are always their own. We are not building a product that trades for people. We are building the platform that makes people better traders.</w:t>
      </w:r>
    </w:p>
    <w:p>
      <w:pPr>
        <w:spacing w:after="200"/>
      </w:pPr>
    </w:p>
    <w:p>
      <w:pPr>
        <w:pBdr>
          <w:bottom w:val="single" w:color="BFCEDD" w:sz="6" w:space="1"/>
        </w:pBdr>
        <w:spacing w:after="300" w:before="60"/>
      </w:pPr>
    </w:p>
    <w:p>
      <w:pPr>
        <w:spacing w:after="280" w:before="200"/>
      </w:pPr>
      <w:r>
        <w:rPr>
          <w:rFonts w:ascii="Calibri" w:cs="Calibri" w:eastAsia="Calibri" w:hAnsi="Calibri"/>
          <w:b/>
          <w:bCs/>
          <w:color w:val="1F3854"/>
          <w:sz w:val="24"/>
          <w:szCs w:val="24"/>
        </w:rPr>
        <w:t xml:space="preserve">Prepared and Approved By</w:t>
      </w:r>
    </w:p>
    <w:p>
      <w:pPr>
        <w:pBdr>
          <w:bottom w:val="none" w:color="FFFFFF" w:sz="0"/>
        </w:pBdr>
        <w:tabs>
          <w:tab w:val="right" w:pos="6200"/>
        </w:tabs>
        <w:spacing w:after="60"/>
      </w:pPr>
      <w:r>
        <w:rPr>
          <w:rFonts w:ascii="Calibri" w:cs="Calibri" w:eastAsia="Calibri" w:hAnsi="Calibri"/>
          <w:b/>
          <w:bCs/>
          <w:color w:val="1F3854"/>
          <w:sz w:val="22"/>
          <w:szCs w:val="22"/>
        </w:rPr>
        <w:t xml:space="preserve">Name:  </w:t>
      </w:r>
      <w:r>
        <w:rPr>
          <w:sz w:val="22"/>
          <w:szCs w:val="22"/>
        </w:rPr>
        <w:t xml:space="preserve">	</w:t>
      </w:r>
    </w:p>
    <w:p>
      <w:pPr>
        <w:spacing w:after="320"/>
      </w:pPr>
      <w:r>
        <w:rPr>
          <w:rFonts w:ascii="Calibri" w:cs="Calibri" w:eastAsia="Calibri" w:hAnsi="Calibri"/>
          <w:color w:val="8C8C8C"/>
          <w:sz w:val="22"/>
          <w:szCs w:val="22"/>
        </w:rPr>
        <w:t xml:space="preserve">_________________________________________</w:t>
      </w:r>
    </w:p>
    <w:p>
      <w:pPr>
        <w:pBdr>
          <w:bottom w:val="none" w:color="FFFFFF" w:sz="0"/>
        </w:pBdr>
        <w:tabs>
          <w:tab w:val="right" w:pos="6200"/>
        </w:tabs>
        <w:spacing w:after="60"/>
      </w:pPr>
      <w:r>
        <w:rPr>
          <w:rFonts w:ascii="Calibri" w:cs="Calibri" w:eastAsia="Calibri" w:hAnsi="Calibri"/>
          <w:b/>
          <w:bCs/>
          <w:color w:val="1F3854"/>
          <w:sz w:val="22"/>
          <w:szCs w:val="22"/>
        </w:rPr>
        <w:t xml:space="preserve">Title:  </w:t>
      </w:r>
      <w:r>
        <w:rPr>
          <w:sz w:val="22"/>
          <w:szCs w:val="22"/>
        </w:rPr>
        <w:t xml:space="preserve">	</w:t>
      </w:r>
    </w:p>
    <w:p>
      <w:pPr>
        <w:spacing w:after="320"/>
      </w:pPr>
      <w:r>
        <w:rPr>
          <w:rFonts w:ascii="Calibri" w:cs="Calibri" w:eastAsia="Calibri" w:hAnsi="Calibri"/>
          <w:color w:val="8C8C8C"/>
          <w:sz w:val="22"/>
          <w:szCs w:val="22"/>
        </w:rPr>
        <w:t xml:space="preserve">_________________________________________</w:t>
      </w:r>
    </w:p>
    <w:p>
      <w:pPr>
        <w:pBdr>
          <w:bottom w:val="none" w:color="FFFFFF" w:sz="0"/>
        </w:pBdr>
        <w:tabs>
          <w:tab w:val="right" w:pos="6200"/>
        </w:tabs>
        <w:spacing w:after="60"/>
      </w:pPr>
      <w:r>
        <w:rPr>
          <w:rFonts w:ascii="Calibri" w:cs="Calibri" w:eastAsia="Calibri" w:hAnsi="Calibri"/>
          <w:b/>
          <w:bCs/>
          <w:color w:val="1F3854"/>
          <w:sz w:val="22"/>
          <w:szCs w:val="22"/>
        </w:rPr>
        <w:t xml:space="preserve">Signature:  </w:t>
      </w:r>
      <w:r>
        <w:rPr>
          <w:sz w:val="22"/>
          <w:szCs w:val="22"/>
        </w:rPr>
        <w:t xml:space="preserve">	</w:t>
      </w:r>
    </w:p>
    <w:p>
      <w:pPr>
        <w:spacing w:after="320"/>
      </w:pPr>
      <w:r>
        <w:rPr>
          <w:rFonts w:ascii="Calibri" w:cs="Calibri" w:eastAsia="Calibri" w:hAnsi="Calibri"/>
          <w:color w:val="8C8C8C"/>
          <w:sz w:val="22"/>
          <w:szCs w:val="22"/>
        </w:rPr>
        <w:t xml:space="preserve">_________________________________________</w:t>
      </w:r>
    </w:p>
    <w:p>
      <w:pPr>
        <w:pBdr>
          <w:bottom w:val="none" w:color="FFFFFF" w:sz="0"/>
        </w:pBdr>
        <w:tabs>
          <w:tab w:val="right" w:pos="6200"/>
        </w:tabs>
        <w:spacing w:after="60"/>
      </w:pPr>
      <w:r>
        <w:rPr>
          <w:rFonts w:ascii="Calibri" w:cs="Calibri" w:eastAsia="Calibri" w:hAnsi="Calibri"/>
          <w:b/>
          <w:bCs/>
          <w:color w:val="1F3854"/>
          <w:sz w:val="22"/>
          <w:szCs w:val="22"/>
        </w:rPr>
        <w:t xml:space="preserve">Date:  </w:t>
      </w:r>
      <w:r>
        <w:rPr>
          <w:sz w:val="22"/>
          <w:szCs w:val="22"/>
        </w:rPr>
        <w:t xml:space="preserve">	</w:t>
      </w:r>
    </w:p>
    <w:p>
      <w:pPr>
        <w:spacing w:after="320"/>
      </w:pPr>
      <w:r>
        <w:rPr>
          <w:rFonts w:ascii="Calibri" w:cs="Calibri" w:eastAsia="Calibri" w:hAnsi="Calibri"/>
          <w:color w:val="8C8C8C"/>
          <w:sz w:val="22"/>
          <w:szCs w:val="22"/>
        </w:rPr>
        <w:t xml:space="preserve">_________________________________________</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C" w:sz="4" w:space="4"/>
      </w:pBdr>
      <w:jc w:val="center"/>
    </w:pPr>
    <w:r>
      <w:rPr>
        <w:rFonts w:ascii="Calibri" w:cs="Calibri" w:eastAsia="Calibri" w:hAnsi="Calibri"/>
        <w:color w:val="595959"/>
        <w:sz w:val="16"/>
        <w:szCs w:val="16"/>
      </w:rPr>
      <w:t xml:space="preserve">TradeW LLC · Project Vision &amp; Business Overview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E5E8C"/>
      </w:rPr>
    </w:lvl>
  </w:abstractNum>
  <w:abstractNum w:abstractNumId="3" w15:restartNumberingAfterBreak="0">
    <w:multiLevelType w:val="hybridMultilevel"/>
    <w:lvl w:ilvl="0" w15:tentative="1">
      <w:start w:val="1"/>
      <w:numFmt w:val="decimal"/>
      <w:lvlText w:val="%1."/>
      <w:lvlJc w:val="left"/>
      <w:pPr>
        <w:ind w:left="540" w:hanging="360"/>
      </w:pPr>
      <w:rPr>
        <w:b/>
        <w:bCs/>
        <w:color w:val="2E5E8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2026-07-21T15:37:38.598Z</dcterms:created>
  <dcterms:modified xsi:type="dcterms:W3CDTF">2026-07-21T15:37:38.599Z</dcterms:modified>
</cp:coreProperties>
</file>

<file path=docProps/custom.xml><?xml version="1.0" encoding="utf-8"?>
<Properties xmlns="http://schemas.openxmlformats.org/officeDocument/2006/custom-properties" xmlns:vt="http://schemas.openxmlformats.org/officeDocument/2006/docPropsVTypes"/>
</file>