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Interview Response – Data Quality &amp; QC Under Volume</w:t>
      </w:r>
    </w:p>
    <w:p>
      <w:r>
        <w:t>Situation:</w:t>
        <w:br/>
        <w:t>During an eDiscovery data processing simulation, I worked with a large-volume dataset of over 100,000 document metadata records designed to mirror real-world production discovery loads in a regulated environment.</w:t>
      </w:r>
    </w:p>
    <w:p>
      <w:r>
        <w:t>Task:</w:t>
        <w:br/>
        <w:t>My responsibility was to ensure the data was production-ready by identifying, validating, and documenting quality issues prior to any export or delivery.</w:t>
      </w:r>
    </w:p>
    <w:p>
      <w:r>
        <w:t>Action:</w:t>
        <w:br/>
        <w:t>I implemented repeatable quality control checks using SQL Server. These checks validated required fields, enforced approved file types, verified date integrity, detected duplicates using hash values, and reconciled record counts across load batches. All identified issues were logged into a dedicated QC issues table to support traceability, review, and audit readiness.</w:t>
      </w:r>
    </w:p>
    <w:p>
      <w:r>
        <w:t>Result:</w:t>
        <w:br/>
        <w:t>The process produced a clean, validated dataset with categorized QC findings and documented controls. This ensured only accurate, compliant records moved forward to production export and demonstrated a quality assurance workflow aligned with LAW/Relativity-style government eDiscovery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