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pPr>
      <w:r w:rsidDel="00000000" w:rsidR="00000000" w:rsidRPr="00000000">
        <w:rPr>
          <w:rtl w:val="0"/>
        </w:rPr>
        <w:t xml:space="preserve">A </w:t>
      </w:r>
      <w:r w:rsidDel="00000000" w:rsidR="00000000" w:rsidRPr="00000000">
        <w:rPr>
          <w:rtl w:val="0"/>
        </w:rPr>
        <w:t xml:space="preserve">set of competency questions that will have answers typically in the form of Yes/No, a count, a value for a property, a specific instance of an object or relation, or a list of objects or relation instances. Answers from the competency questions will help create the terms, definitions, and associate relations among the terms. In this task, we are considering two privacy regulations European Union- General Data Protection Regulation (EU-GDPR) and California Consumers’ Privacy Act (CCPA). The competency questions are focussed on the data practices mentioned in Shomir Wilson’s data practice category \cite{ShomirWilson_Taxonomy}. For each competency question, we answer them as defined in both EU-GDPR and CCPA.</w:t>
      </w:r>
    </w:p>
    <w:p w:rsidR="00000000" w:rsidDel="00000000" w:rsidP="00000000" w:rsidRDefault="00000000" w:rsidRPr="00000000" w14:paraId="00000002">
      <w:pPr>
        <w:numPr>
          <w:ilvl w:val="0"/>
          <w:numId w:val="1"/>
        </w:numPr>
        <w:spacing w:after="0" w:afterAutospacing="0" w:before="240" w:lineRule="auto"/>
        <w:ind w:left="720" w:hanging="360"/>
        <w:jc w:val="both"/>
        <w:rPr>
          <w:u w:val="none"/>
        </w:rPr>
      </w:pPr>
      <w:r w:rsidDel="00000000" w:rsidR="00000000" w:rsidRPr="00000000">
        <w:rPr>
          <w:rtl w:val="0"/>
        </w:rPr>
        <w:t xml:space="preserve">Does the privacy regulation discuss the collection of personal information? </w:t>
      </w:r>
    </w:p>
    <w:p w:rsidR="00000000" w:rsidDel="00000000" w:rsidP="00000000" w:rsidRDefault="00000000" w:rsidRPr="00000000" w14:paraId="00000003">
      <w:pPr>
        <w:numPr>
          <w:ilvl w:val="0"/>
          <w:numId w:val="1"/>
        </w:numPr>
        <w:spacing w:after="0" w:afterAutospacing="0" w:before="0" w:beforeAutospacing="0" w:lineRule="auto"/>
        <w:ind w:left="720" w:hanging="360"/>
        <w:jc w:val="both"/>
      </w:pPr>
      <w:r w:rsidDel="00000000" w:rsidR="00000000" w:rsidRPr="00000000">
        <w:rPr>
          <w:rtl w:val="0"/>
        </w:rPr>
        <w:t xml:space="preserve">Does the privacy regulation discuss the processing of personal information? </w:t>
      </w:r>
    </w:p>
    <w:p w:rsidR="00000000" w:rsidDel="00000000" w:rsidP="00000000" w:rsidRDefault="00000000" w:rsidRPr="00000000" w14:paraId="00000004">
      <w:pPr>
        <w:numPr>
          <w:ilvl w:val="0"/>
          <w:numId w:val="1"/>
        </w:numPr>
        <w:spacing w:after="0" w:afterAutospacing="0" w:before="0" w:beforeAutospacing="0" w:lineRule="auto"/>
        <w:ind w:left="720" w:hanging="360"/>
        <w:jc w:val="both"/>
      </w:pPr>
      <w:r w:rsidDel="00000000" w:rsidR="00000000" w:rsidRPr="00000000">
        <w:rPr>
          <w:rtl w:val="0"/>
        </w:rPr>
        <w:t xml:space="preserve">Does the privacy regulation discuss the sharing of the collected information?</w:t>
      </w:r>
    </w:p>
    <w:p w:rsidR="00000000" w:rsidDel="00000000" w:rsidP="00000000" w:rsidRDefault="00000000" w:rsidRPr="00000000" w14:paraId="00000005">
      <w:pPr>
        <w:numPr>
          <w:ilvl w:val="0"/>
          <w:numId w:val="1"/>
        </w:numPr>
        <w:spacing w:after="0" w:afterAutospacing="0" w:before="0" w:beforeAutospacing="0" w:lineRule="auto"/>
        <w:ind w:left="720" w:hanging="360"/>
        <w:jc w:val="both"/>
      </w:pPr>
      <w:r w:rsidDel="00000000" w:rsidR="00000000" w:rsidRPr="00000000">
        <w:rPr>
          <w:rtl w:val="0"/>
        </w:rPr>
        <w:t xml:space="preserve">Does the privacy regulation discuss the retention of the collected information?</w:t>
      </w:r>
    </w:p>
    <w:p w:rsidR="00000000" w:rsidDel="00000000" w:rsidP="00000000" w:rsidRDefault="00000000" w:rsidRPr="00000000" w14:paraId="00000006">
      <w:pPr>
        <w:numPr>
          <w:ilvl w:val="0"/>
          <w:numId w:val="1"/>
        </w:numPr>
        <w:spacing w:after="0" w:afterAutospacing="0" w:before="0" w:beforeAutospacing="0" w:lineRule="auto"/>
        <w:ind w:left="720" w:hanging="360"/>
        <w:jc w:val="both"/>
      </w:pPr>
      <w:r w:rsidDel="00000000" w:rsidR="00000000" w:rsidRPr="00000000">
        <w:rPr>
          <w:rtl w:val="0"/>
        </w:rPr>
        <w:t xml:space="preserve">Does the privacy regulation mention the purpose of collecting, processing, and sharing personal information?</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discuss the recipients of the collected information? </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explicitly differentiate categories of the recipients of the collected information? </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What is the information the data controller is required to provide to the data subject as per the privacy regulation? </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discuss data subjects’ right to access their information? </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How the data subject can request to access their personal information? </w:t>
      </w:r>
    </w:p>
    <w:p w:rsidR="00000000" w:rsidDel="00000000" w:rsidP="00000000" w:rsidRDefault="00000000" w:rsidRPr="00000000" w14:paraId="0000000C">
      <w:pPr>
        <w:numPr>
          <w:ilvl w:val="0"/>
          <w:numId w:val="1"/>
        </w:numPr>
        <w:spacing w:after="0" w:afterAutospacing="0" w:before="0" w:beforeAutospacing="0" w:lineRule="auto"/>
        <w:ind w:left="720" w:hanging="360"/>
        <w:jc w:val="both"/>
      </w:pPr>
      <w:r w:rsidDel="00000000" w:rsidR="00000000" w:rsidRPr="00000000">
        <w:rPr>
          <w:rtl w:val="0"/>
        </w:rPr>
        <w:t xml:space="preserve">Does the privacy regulation discuss data subjects’ right to erase their information? </w:t>
      </w:r>
    </w:p>
    <w:p w:rsidR="00000000" w:rsidDel="00000000" w:rsidP="00000000" w:rsidRDefault="00000000" w:rsidRPr="00000000" w14:paraId="0000000D">
      <w:pPr>
        <w:numPr>
          <w:ilvl w:val="0"/>
          <w:numId w:val="1"/>
        </w:numPr>
        <w:spacing w:after="0" w:afterAutospacing="0" w:before="0" w:beforeAutospacing="0" w:lineRule="auto"/>
        <w:ind w:left="720" w:hanging="360"/>
        <w:jc w:val="both"/>
      </w:pPr>
      <w:r w:rsidDel="00000000" w:rsidR="00000000" w:rsidRPr="00000000">
        <w:rPr>
          <w:rtl w:val="0"/>
        </w:rPr>
        <w:t xml:space="preserve">How the data subject can request to erase their personal information? </w:t>
      </w:r>
    </w:p>
    <w:p w:rsidR="00000000" w:rsidDel="00000000" w:rsidP="00000000" w:rsidRDefault="00000000" w:rsidRPr="00000000" w14:paraId="0000000E">
      <w:pPr>
        <w:numPr>
          <w:ilvl w:val="0"/>
          <w:numId w:val="1"/>
        </w:numPr>
        <w:spacing w:after="0" w:afterAutospacing="0" w:before="0" w:beforeAutospacing="0" w:lineRule="auto"/>
        <w:ind w:left="720" w:hanging="360"/>
        <w:jc w:val="both"/>
      </w:pPr>
      <w:r w:rsidDel="00000000" w:rsidR="00000000" w:rsidRPr="00000000">
        <w:rPr>
          <w:rtl w:val="0"/>
        </w:rPr>
        <w:t xml:space="preserve">Does the privacy regulation discuss data subjects’ right to rectify their information? </w:t>
      </w:r>
    </w:p>
    <w:p w:rsidR="00000000" w:rsidDel="00000000" w:rsidP="00000000" w:rsidRDefault="00000000" w:rsidRPr="00000000" w14:paraId="0000000F">
      <w:pPr>
        <w:numPr>
          <w:ilvl w:val="0"/>
          <w:numId w:val="1"/>
        </w:numPr>
        <w:spacing w:after="0" w:afterAutospacing="0" w:before="0" w:beforeAutospacing="0" w:lineRule="auto"/>
        <w:ind w:left="720" w:hanging="360"/>
        <w:jc w:val="both"/>
      </w:pPr>
      <w:r w:rsidDel="00000000" w:rsidR="00000000" w:rsidRPr="00000000">
        <w:rPr>
          <w:rtl w:val="0"/>
        </w:rPr>
        <w:t xml:space="preserve">How the data subject can request to rectify their personal information? </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discuss the duration within which the data controller needs to process data subjects’ requests to delete, access, or rectify their personal data?</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mention the extended duration of the processing of data subjects’ requests to access, erase, or rectify their collected data?</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discuss notifying data subjects about the processing of personal information? If yes, what are the ways in which the data controllers must notify data subjects? </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specify retention periods of retaining the collected data? If yes, what is the retention duration?</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privacy regulation mention the retention practices that need to be considered by the data controllers while retaining the collected data?</w:t>
      </w:r>
    </w:p>
    <w:p w:rsidR="00000000" w:rsidDel="00000000" w:rsidP="00000000" w:rsidRDefault="00000000" w:rsidRPr="00000000" w14:paraId="00000015">
      <w:pPr>
        <w:numPr>
          <w:ilvl w:val="0"/>
          <w:numId w:val="1"/>
        </w:numPr>
        <w:spacing w:after="240" w:before="0" w:beforeAutospacing="0" w:lineRule="auto"/>
        <w:ind w:left="720" w:hanging="360"/>
        <w:jc w:val="both"/>
        <w:rPr>
          <w:u w:val="none"/>
        </w:rPr>
      </w:pPr>
      <w:r w:rsidDel="00000000" w:rsidR="00000000" w:rsidRPr="00000000">
        <w:rPr>
          <w:rtl w:val="0"/>
        </w:rPr>
        <w:t xml:space="preserve">Does the privacy regulation mention any exception case to deny the data subject’s request to delete, access, or rectify their collected data?</w:t>
      </w:r>
    </w:p>
    <w:p w:rsidR="00000000" w:rsidDel="00000000" w:rsidP="00000000" w:rsidRDefault="00000000" w:rsidRPr="00000000" w14:paraId="00000016">
      <w:pPr>
        <w:spacing w:after="240" w:before="240" w:lineRule="auto"/>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