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12"/>
        <w:tblW w:w="10187"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91"/>
        <w:gridCol w:w="4462"/>
        <w:gridCol w:w="1884"/>
        <w:gridCol w:w="850"/>
      </w:tblGrid>
      <w:tr w:rsidR="000D02D6" w:rsidRPr="000D02D6" w14:paraId="38B29D9C" w14:textId="77777777" w:rsidTr="000D02D6">
        <w:trPr>
          <w:trHeight w:val="487"/>
          <w:tblHeader/>
          <w:tblCellSpacing w:w="15" w:type="dxa"/>
        </w:trPr>
        <w:tc>
          <w:tcPr>
            <w:tcW w:w="0" w:type="auto"/>
            <w:tcBorders>
              <w:top w:val="single" w:sz="2" w:space="0" w:color="auto"/>
              <w:left w:val="single" w:sz="2" w:space="0" w:color="auto"/>
              <w:bottom w:val="single" w:sz="4" w:space="0" w:color="auto"/>
              <w:right w:val="single" w:sz="2" w:space="0" w:color="auto"/>
            </w:tcBorders>
            <w:tcMar>
              <w:top w:w="105" w:type="dxa"/>
              <w:left w:w="0" w:type="dxa"/>
              <w:bottom w:w="105" w:type="dxa"/>
              <w:right w:w="0" w:type="dxa"/>
            </w:tcMar>
            <w:hideMark/>
          </w:tcPr>
          <w:p w14:paraId="15335573" w14:textId="77777777" w:rsidR="000D02D6" w:rsidRPr="000D02D6" w:rsidRDefault="000D02D6" w:rsidP="000D02D6">
            <w:pPr>
              <w:rPr>
                <w:b/>
                <w:bCs/>
              </w:rPr>
            </w:pPr>
            <w:r w:rsidRPr="000D02D6">
              <w:rPr>
                <w:b/>
                <w:bCs/>
              </w:rPr>
              <w:t>Generator</w:t>
            </w:r>
          </w:p>
        </w:tc>
        <w:tc>
          <w:tcPr>
            <w:tcW w:w="0" w:type="auto"/>
            <w:tcBorders>
              <w:top w:val="single" w:sz="2" w:space="0" w:color="auto"/>
              <w:left w:val="single" w:sz="2" w:space="0" w:color="auto"/>
              <w:bottom w:val="single" w:sz="4" w:space="0" w:color="auto"/>
              <w:right w:val="single" w:sz="2" w:space="0" w:color="auto"/>
            </w:tcBorders>
            <w:tcMar>
              <w:top w:w="105" w:type="dxa"/>
              <w:left w:w="0" w:type="dxa"/>
              <w:bottom w:w="105" w:type="dxa"/>
              <w:right w:w="0" w:type="dxa"/>
            </w:tcMar>
            <w:hideMark/>
          </w:tcPr>
          <w:p w14:paraId="6D61EB3A" w14:textId="77777777" w:rsidR="000D02D6" w:rsidRPr="000D02D6" w:rsidRDefault="000D02D6" w:rsidP="000D02D6">
            <w:pPr>
              <w:rPr>
                <w:b/>
                <w:bCs/>
              </w:rPr>
            </w:pPr>
            <w:r w:rsidRPr="000D02D6">
              <w:rPr>
                <w:b/>
                <w:bCs/>
              </w:rPr>
              <w:t>Model</w:t>
            </w:r>
          </w:p>
        </w:tc>
        <w:tc>
          <w:tcPr>
            <w:tcW w:w="0" w:type="auto"/>
            <w:tcBorders>
              <w:top w:val="single" w:sz="2" w:space="0" w:color="auto"/>
              <w:left w:val="single" w:sz="2" w:space="0" w:color="auto"/>
              <w:bottom w:val="single" w:sz="4" w:space="0" w:color="auto"/>
              <w:right w:val="single" w:sz="2" w:space="0" w:color="auto"/>
            </w:tcBorders>
            <w:tcMar>
              <w:top w:w="105" w:type="dxa"/>
              <w:left w:w="0" w:type="dxa"/>
              <w:bottom w:w="105" w:type="dxa"/>
              <w:right w:w="0" w:type="dxa"/>
            </w:tcMar>
            <w:hideMark/>
          </w:tcPr>
          <w:p w14:paraId="6089F0BA" w14:textId="77777777" w:rsidR="000D02D6" w:rsidRPr="000D02D6" w:rsidRDefault="000D02D6" w:rsidP="000D02D6">
            <w:pPr>
              <w:rPr>
                <w:b/>
                <w:bCs/>
              </w:rPr>
            </w:pPr>
            <w:r w:rsidRPr="000D02D6">
              <w:rPr>
                <w:b/>
                <w:bCs/>
              </w:rPr>
              <w:t>RMSE</w:t>
            </w:r>
          </w:p>
        </w:tc>
        <w:tc>
          <w:tcPr>
            <w:tcW w:w="0" w:type="auto"/>
            <w:tcBorders>
              <w:top w:val="single" w:sz="2" w:space="0" w:color="auto"/>
              <w:left w:val="single" w:sz="2" w:space="0" w:color="auto"/>
              <w:bottom w:val="single" w:sz="4" w:space="0" w:color="auto"/>
              <w:right w:val="single" w:sz="2" w:space="0" w:color="auto"/>
            </w:tcBorders>
            <w:tcMar>
              <w:top w:w="105" w:type="dxa"/>
              <w:left w:w="0" w:type="dxa"/>
              <w:bottom w:w="105" w:type="dxa"/>
              <w:right w:w="0" w:type="dxa"/>
            </w:tcMar>
            <w:hideMark/>
          </w:tcPr>
          <w:p w14:paraId="26E4F5B3" w14:textId="77777777" w:rsidR="000D02D6" w:rsidRPr="000D02D6" w:rsidRDefault="000D02D6" w:rsidP="000D02D6">
            <w:pPr>
              <w:rPr>
                <w:b/>
                <w:bCs/>
              </w:rPr>
            </w:pPr>
            <w:r w:rsidRPr="000D02D6">
              <w:rPr>
                <w:b/>
                <w:bCs/>
              </w:rPr>
              <w:t>R²</w:t>
            </w:r>
          </w:p>
        </w:tc>
      </w:tr>
      <w:tr w:rsidR="000D02D6" w:rsidRPr="000D02D6" w14:paraId="3EAB3CFB" w14:textId="77777777" w:rsidTr="000D02D6">
        <w:trPr>
          <w:trHeight w:val="475"/>
          <w:tblCellSpacing w:w="15" w:type="dxa"/>
        </w:trPr>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37552B63" w14:textId="77777777" w:rsidR="000D02D6" w:rsidRPr="000D02D6" w:rsidRDefault="000D02D6" w:rsidP="000D02D6">
            <w:r w:rsidRPr="000D02D6">
              <w:t>Smooth coefficient drift</w:t>
            </w:r>
          </w:p>
        </w:tc>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596E33E7" w14:textId="77777777" w:rsidR="000D02D6" w:rsidRPr="000D02D6" w:rsidRDefault="000D02D6" w:rsidP="000D02D6">
            <w:r w:rsidRPr="000D02D6">
              <w:t>Weekly naive</w:t>
            </w:r>
          </w:p>
        </w:tc>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73CA14EF" w14:textId="77777777" w:rsidR="000D02D6" w:rsidRPr="000D02D6" w:rsidRDefault="000D02D6" w:rsidP="000D02D6">
            <w:r w:rsidRPr="000D02D6">
              <w:t>487.14 ± 14.37</w:t>
            </w:r>
          </w:p>
        </w:tc>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2A9203DF" w14:textId="77777777" w:rsidR="000D02D6" w:rsidRPr="000D02D6" w:rsidRDefault="000D02D6" w:rsidP="000D02D6">
            <w:r w:rsidRPr="000D02D6">
              <w:t>-0.753</w:t>
            </w:r>
          </w:p>
        </w:tc>
      </w:tr>
      <w:tr w:rsidR="000D02D6" w:rsidRPr="000D02D6" w14:paraId="7D0C685E" w14:textId="77777777" w:rsidTr="000D02D6">
        <w:trPr>
          <w:trHeight w:val="475"/>
          <w:tblCellSpacing w:w="15" w:type="dxa"/>
        </w:trPr>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4A4F4126" w14:textId="77777777" w:rsidR="000D02D6" w:rsidRPr="000D02D6" w:rsidRDefault="000D02D6" w:rsidP="000D02D6">
            <w:r w:rsidRPr="000D02D6">
              <w:t>Smooth coefficient drift</w:t>
            </w:r>
          </w:p>
        </w:tc>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5D833215" w14:textId="77777777" w:rsidR="000D02D6" w:rsidRPr="000D02D6" w:rsidRDefault="000D02D6" w:rsidP="000D02D6">
            <w:r w:rsidRPr="000D02D6">
              <w:t>Fixed ridge</w:t>
            </w:r>
          </w:p>
        </w:tc>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0D254352" w14:textId="77777777" w:rsidR="000D02D6" w:rsidRPr="000D02D6" w:rsidRDefault="000D02D6" w:rsidP="000D02D6">
            <w:r w:rsidRPr="000D02D6">
              <w:t>74.36 ± 1.45</w:t>
            </w:r>
          </w:p>
        </w:tc>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699465A5" w14:textId="77777777" w:rsidR="000D02D6" w:rsidRPr="000D02D6" w:rsidRDefault="000D02D6" w:rsidP="000D02D6">
            <w:r w:rsidRPr="000D02D6">
              <w:t>0.959</w:t>
            </w:r>
          </w:p>
        </w:tc>
      </w:tr>
      <w:tr w:rsidR="000D02D6" w:rsidRPr="000D02D6" w14:paraId="0534F6ED" w14:textId="77777777" w:rsidTr="000D02D6">
        <w:trPr>
          <w:trHeight w:val="475"/>
          <w:tblCellSpacing w:w="15" w:type="dxa"/>
        </w:trPr>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600CE0E6" w14:textId="77777777" w:rsidR="000D02D6" w:rsidRPr="000D02D6" w:rsidRDefault="000D02D6" w:rsidP="000D02D6">
            <w:r w:rsidRPr="000D02D6">
              <w:t>Smooth coefficient drift</w:t>
            </w:r>
          </w:p>
        </w:tc>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691CB00B" w14:textId="77777777" w:rsidR="000D02D6" w:rsidRPr="000D02D6" w:rsidRDefault="000D02D6" w:rsidP="000D02D6">
            <w:r w:rsidRPr="000D02D6">
              <w:t>Rolling ridge</w:t>
            </w:r>
          </w:p>
        </w:tc>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0C9A83B2" w14:textId="77777777" w:rsidR="000D02D6" w:rsidRPr="000D02D6" w:rsidRDefault="000D02D6" w:rsidP="000D02D6">
            <w:r w:rsidRPr="000D02D6">
              <w:rPr>
                <w:b/>
                <w:bCs/>
              </w:rPr>
              <w:t>67.66 ± 0.85</w:t>
            </w:r>
          </w:p>
        </w:tc>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1EBAF425" w14:textId="77777777" w:rsidR="000D02D6" w:rsidRPr="000D02D6" w:rsidRDefault="000D02D6" w:rsidP="000D02D6">
            <w:r w:rsidRPr="000D02D6">
              <w:rPr>
                <w:b/>
                <w:bCs/>
              </w:rPr>
              <w:t>0.966</w:t>
            </w:r>
          </w:p>
        </w:tc>
      </w:tr>
      <w:tr w:rsidR="000D02D6" w:rsidRPr="000D02D6" w14:paraId="6F586495" w14:textId="77777777" w:rsidTr="000D02D6">
        <w:trPr>
          <w:trHeight w:val="475"/>
          <w:tblCellSpacing w:w="15" w:type="dxa"/>
        </w:trPr>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5BF1A083" w14:textId="77777777" w:rsidR="000D02D6" w:rsidRPr="000D02D6" w:rsidRDefault="000D02D6" w:rsidP="000D02D6">
            <w:r w:rsidRPr="000D02D6">
              <w:t>Smooth coefficient drift</w:t>
            </w:r>
          </w:p>
        </w:tc>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5FA7A731" w14:textId="77777777" w:rsidR="000D02D6" w:rsidRPr="000D02D6" w:rsidRDefault="000D02D6" w:rsidP="000D02D6">
            <w:r w:rsidRPr="000D02D6">
              <w:t>Bayes oracle</w:t>
            </w:r>
          </w:p>
        </w:tc>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3DC5E854" w14:textId="77777777" w:rsidR="000D02D6" w:rsidRPr="000D02D6" w:rsidRDefault="000D02D6" w:rsidP="000D02D6">
            <w:r w:rsidRPr="000D02D6">
              <w:t>49.98 ± 1.06</w:t>
            </w:r>
          </w:p>
        </w:tc>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6C6EBD13" w14:textId="77777777" w:rsidR="000D02D6" w:rsidRPr="000D02D6" w:rsidRDefault="000D02D6" w:rsidP="000D02D6">
            <w:r w:rsidRPr="000D02D6">
              <w:t>0.982</w:t>
            </w:r>
          </w:p>
        </w:tc>
      </w:tr>
      <w:tr w:rsidR="000D02D6" w:rsidRPr="000D02D6" w14:paraId="57BC6A6F" w14:textId="77777777" w:rsidTr="000D02D6">
        <w:trPr>
          <w:trHeight w:val="487"/>
          <w:tblCellSpacing w:w="15" w:type="dxa"/>
        </w:trPr>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2D178A83" w14:textId="77777777" w:rsidR="000D02D6" w:rsidRPr="000D02D6" w:rsidRDefault="000D02D6" w:rsidP="000D02D6">
            <w:r w:rsidRPr="000D02D6">
              <w:t>Hidden daily switch</w:t>
            </w:r>
          </w:p>
        </w:tc>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7B298A18" w14:textId="77777777" w:rsidR="000D02D6" w:rsidRPr="000D02D6" w:rsidRDefault="000D02D6" w:rsidP="000D02D6">
            <w:r w:rsidRPr="000D02D6">
              <w:t>Weekly naive</w:t>
            </w:r>
          </w:p>
        </w:tc>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03A3B801" w14:textId="77777777" w:rsidR="000D02D6" w:rsidRPr="000D02D6" w:rsidRDefault="000D02D6" w:rsidP="000D02D6">
            <w:r w:rsidRPr="000D02D6">
              <w:t>916.78 ± 18.43</w:t>
            </w:r>
          </w:p>
        </w:tc>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3AD6A673" w14:textId="77777777" w:rsidR="000D02D6" w:rsidRPr="000D02D6" w:rsidRDefault="000D02D6" w:rsidP="000D02D6">
            <w:r w:rsidRPr="000D02D6">
              <w:t>-0.939</w:t>
            </w:r>
          </w:p>
        </w:tc>
      </w:tr>
      <w:tr w:rsidR="000D02D6" w:rsidRPr="000D02D6" w14:paraId="7FA9FEC3" w14:textId="77777777" w:rsidTr="000D02D6">
        <w:trPr>
          <w:trHeight w:val="475"/>
          <w:tblCellSpacing w:w="15" w:type="dxa"/>
        </w:trPr>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724C0A4D" w14:textId="77777777" w:rsidR="000D02D6" w:rsidRPr="000D02D6" w:rsidRDefault="000D02D6" w:rsidP="000D02D6">
            <w:r w:rsidRPr="000D02D6">
              <w:t>Hidden daily switch</w:t>
            </w:r>
          </w:p>
        </w:tc>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6A340DFA" w14:textId="77777777" w:rsidR="000D02D6" w:rsidRPr="000D02D6" w:rsidRDefault="000D02D6" w:rsidP="000D02D6">
            <w:r w:rsidRPr="000D02D6">
              <w:t>Fixed ridge</w:t>
            </w:r>
          </w:p>
        </w:tc>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6A092023" w14:textId="77777777" w:rsidR="000D02D6" w:rsidRPr="000D02D6" w:rsidRDefault="000D02D6" w:rsidP="000D02D6">
            <w:r w:rsidRPr="000D02D6">
              <w:t>644.56 ± 7.43</w:t>
            </w:r>
          </w:p>
        </w:tc>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7B22C344" w14:textId="77777777" w:rsidR="000D02D6" w:rsidRPr="000D02D6" w:rsidRDefault="000D02D6" w:rsidP="000D02D6">
            <w:r w:rsidRPr="000D02D6">
              <w:t>0.041</w:t>
            </w:r>
          </w:p>
        </w:tc>
      </w:tr>
      <w:tr w:rsidR="000D02D6" w:rsidRPr="000D02D6" w14:paraId="3C74EBD9" w14:textId="77777777" w:rsidTr="000D02D6">
        <w:trPr>
          <w:trHeight w:val="475"/>
          <w:tblCellSpacing w:w="15" w:type="dxa"/>
        </w:trPr>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379F70CE" w14:textId="77777777" w:rsidR="000D02D6" w:rsidRPr="000D02D6" w:rsidRDefault="000D02D6" w:rsidP="000D02D6">
            <w:r w:rsidRPr="000D02D6">
              <w:t>Hidden daily switch</w:t>
            </w:r>
          </w:p>
        </w:tc>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7AB77350" w14:textId="77777777" w:rsidR="000D02D6" w:rsidRPr="000D02D6" w:rsidRDefault="000D02D6" w:rsidP="000D02D6">
            <w:r w:rsidRPr="000D02D6">
              <w:t>Rolling ridge</w:t>
            </w:r>
          </w:p>
        </w:tc>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6ACFB427" w14:textId="77777777" w:rsidR="000D02D6" w:rsidRPr="000D02D6" w:rsidRDefault="000D02D6" w:rsidP="000D02D6">
            <w:r w:rsidRPr="000D02D6">
              <w:t>651.95 ± 8.97</w:t>
            </w:r>
          </w:p>
        </w:tc>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3D3F322E" w14:textId="77777777" w:rsidR="000D02D6" w:rsidRPr="000D02D6" w:rsidRDefault="000D02D6" w:rsidP="000D02D6">
            <w:r w:rsidRPr="000D02D6">
              <w:t>0.019</w:t>
            </w:r>
          </w:p>
        </w:tc>
      </w:tr>
      <w:tr w:rsidR="000D02D6" w:rsidRPr="000D02D6" w14:paraId="6D0EB550" w14:textId="77777777" w:rsidTr="000D02D6">
        <w:trPr>
          <w:trHeight w:val="475"/>
          <w:tblCellSpacing w:w="15" w:type="dxa"/>
        </w:trPr>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6C88B534" w14:textId="77777777" w:rsidR="000D02D6" w:rsidRPr="000D02D6" w:rsidRDefault="000D02D6" w:rsidP="000D02D6">
            <w:r w:rsidRPr="000D02D6">
              <w:t>Hidden daily switch</w:t>
            </w:r>
          </w:p>
        </w:tc>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539C6FC5" w14:textId="77777777" w:rsidR="000D02D6" w:rsidRPr="000D02D6" w:rsidRDefault="000D02D6" w:rsidP="000D02D6">
            <w:r w:rsidRPr="000D02D6">
              <w:t>Bayes oracle</w:t>
            </w:r>
          </w:p>
        </w:tc>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3378B75A" w14:textId="77777777" w:rsidR="000D02D6" w:rsidRPr="000D02D6" w:rsidRDefault="000D02D6" w:rsidP="000D02D6">
            <w:r w:rsidRPr="000D02D6">
              <w:rPr>
                <w:b/>
                <w:bCs/>
              </w:rPr>
              <w:t>642.79 ± 8.31</w:t>
            </w:r>
          </w:p>
        </w:tc>
        <w:tc>
          <w:tcPr>
            <w:tcW w:w="0" w:type="auto"/>
            <w:tcBorders>
              <w:top w:val="single" w:sz="2" w:space="0" w:color="auto"/>
              <w:left w:val="single" w:sz="2" w:space="0" w:color="auto"/>
              <w:bottom w:val="single" w:sz="4" w:space="0" w:color="auto"/>
              <w:right w:val="single" w:sz="2" w:space="0" w:color="auto"/>
            </w:tcBorders>
            <w:tcMar>
              <w:top w:w="131" w:type="dxa"/>
              <w:left w:w="0" w:type="dxa"/>
              <w:bottom w:w="131" w:type="dxa"/>
              <w:right w:w="0" w:type="dxa"/>
            </w:tcMar>
            <w:hideMark/>
          </w:tcPr>
          <w:p w14:paraId="391EC8EB" w14:textId="77777777" w:rsidR="000D02D6" w:rsidRPr="000D02D6" w:rsidRDefault="000D02D6" w:rsidP="000D02D6">
            <w:r w:rsidRPr="000D02D6">
              <w:rPr>
                <w:b/>
                <w:bCs/>
              </w:rPr>
              <w:t>0.047</w:t>
            </w:r>
          </w:p>
        </w:tc>
      </w:tr>
      <w:tr w:rsidR="000D02D6" w:rsidRPr="000D02D6" w14:paraId="0E881D59" w14:textId="77777777" w:rsidTr="000D02D6">
        <w:trPr>
          <w:trHeight w:val="475"/>
          <w:tblCellSpacing w:w="15" w:type="dxa"/>
        </w:trPr>
        <w:tc>
          <w:tcPr>
            <w:tcW w:w="0" w:type="auto"/>
            <w:tcBorders>
              <w:top w:val="single" w:sz="2" w:space="0" w:color="auto"/>
              <w:left w:val="single" w:sz="2" w:space="0" w:color="auto"/>
              <w:bottom w:val="single" w:sz="2" w:space="0" w:color="auto"/>
              <w:right w:val="single" w:sz="2" w:space="0" w:color="auto"/>
            </w:tcBorders>
            <w:tcMar>
              <w:top w:w="131" w:type="dxa"/>
              <w:left w:w="0" w:type="dxa"/>
              <w:bottom w:w="315" w:type="dxa"/>
              <w:right w:w="0" w:type="dxa"/>
            </w:tcMar>
            <w:hideMark/>
          </w:tcPr>
          <w:p w14:paraId="684EA503" w14:textId="77777777" w:rsidR="000D02D6" w:rsidRPr="000D02D6" w:rsidRDefault="000D02D6" w:rsidP="000D02D6">
            <w:r w:rsidRPr="000D02D6">
              <w:t>Hidden daily switch</w:t>
            </w:r>
          </w:p>
        </w:tc>
        <w:tc>
          <w:tcPr>
            <w:tcW w:w="0" w:type="auto"/>
            <w:tcBorders>
              <w:top w:val="single" w:sz="2" w:space="0" w:color="auto"/>
              <w:left w:val="single" w:sz="2" w:space="0" w:color="auto"/>
              <w:bottom w:val="single" w:sz="2" w:space="0" w:color="auto"/>
              <w:right w:val="single" w:sz="2" w:space="0" w:color="auto"/>
            </w:tcBorders>
            <w:tcMar>
              <w:top w:w="131" w:type="dxa"/>
              <w:left w:w="0" w:type="dxa"/>
              <w:bottom w:w="315" w:type="dxa"/>
              <w:right w:w="0" w:type="dxa"/>
            </w:tcMar>
            <w:hideMark/>
          </w:tcPr>
          <w:p w14:paraId="2C1D541C" w14:textId="77777777" w:rsidR="000D02D6" w:rsidRPr="000D02D6" w:rsidRDefault="000D02D6" w:rsidP="000D02D6">
            <w:r w:rsidRPr="000D02D6">
              <w:t>Hindsight oracle (sees hidden state)</w:t>
            </w:r>
          </w:p>
        </w:tc>
        <w:tc>
          <w:tcPr>
            <w:tcW w:w="0" w:type="auto"/>
            <w:tcBorders>
              <w:top w:val="single" w:sz="2" w:space="0" w:color="auto"/>
              <w:left w:val="single" w:sz="2" w:space="0" w:color="auto"/>
              <w:bottom w:val="single" w:sz="2" w:space="0" w:color="auto"/>
              <w:right w:val="single" w:sz="2" w:space="0" w:color="auto"/>
            </w:tcBorders>
            <w:tcMar>
              <w:top w:w="131" w:type="dxa"/>
              <w:left w:w="0" w:type="dxa"/>
              <w:bottom w:w="315" w:type="dxa"/>
              <w:right w:w="0" w:type="dxa"/>
            </w:tcMar>
            <w:hideMark/>
          </w:tcPr>
          <w:p w14:paraId="7C307ED9" w14:textId="77777777" w:rsidR="000D02D6" w:rsidRPr="000D02D6" w:rsidRDefault="000D02D6" w:rsidP="000D02D6">
            <w:r w:rsidRPr="000D02D6">
              <w:t>49.51 ± 1.29</w:t>
            </w:r>
          </w:p>
        </w:tc>
        <w:tc>
          <w:tcPr>
            <w:tcW w:w="0" w:type="auto"/>
            <w:tcBorders>
              <w:top w:val="single" w:sz="2" w:space="0" w:color="auto"/>
              <w:left w:val="single" w:sz="2" w:space="0" w:color="auto"/>
              <w:bottom w:val="single" w:sz="2" w:space="0" w:color="auto"/>
              <w:right w:val="single" w:sz="2" w:space="0" w:color="auto"/>
            </w:tcBorders>
            <w:tcMar>
              <w:top w:w="131" w:type="dxa"/>
              <w:left w:w="0" w:type="dxa"/>
              <w:bottom w:w="315" w:type="dxa"/>
              <w:right w:w="0" w:type="dxa"/>
            </w:tcMar>
            <w:hideMark/>
          </w:tcPr>
          <w:p w14:paraId="6B7F5260" w14:textId="77777777" w:rsidR="000D02D6" w:rsidRPr="000D02D6" w:rsidRDefault="000D02D6" w:rsidP="000D02D6">
            <w:r w:rsidRPr="000D02D6">
              <w:t>0.994</w:t>
            </w:r>
          </w:p>
        </w:tc>
      </w:tr>
    </w:tbl>
    <w:p w14:paraId="2CA86683" w14:textId="77777777" w:rsidR="000D02D6" w:rsidRDefault="000D02D6" w:rsidP="000D02D6"/>
    <w:p w14:paraId="67672B8C" w14:textId="77777777" w:rsidR="00590776" w:rsidRPr="00590776" w:rsidRDefault="00590776" w:rsidP="00590776">
      <w:pPr>
        <w:rPr>
          <w:b/>
          <w:bCs/>
        </w:rPr>
      </w:pPr>
      <w:r w:rsidRPr="00590776">
        <w:rPr>
          <w:b/>
          <w:bCs/>
        </w:rPr>
        <w:t>Explanation of the Results</w:t>
      </w:r>
    </w:p>
    <w:p w14:paraId="7BFE81A2" w14:textId="77777777" w:rsidR="00590776" w:rsidRPr="00590776" w:rsidRDefault="00590776" w:rsidP="00590776">
      <w:r w:rsidRPr="00590776">
        <w:t>The results compare several forecasting methods on two synthetic bike-rental generators. Each experiment uses 2,400 days of data: the first 1,200 days are used for training, and forecasts are evaluated one day at a time over the remaining 1,200 days. The reported scores are averaged over five runs with different random seeds. The ± value is the variation in RMSE across those runs.</w:t>
      </w:r>
    </w:p>
    <w:p w14:paraId="6DC013A4" w14:textId="77777777" w:rsidR="00590776" w:rsidRPr="00590776" w:rsidRDefault="00590776" w:rsidP="00590776">
      <w:r w:rsidRPr="00590776">
        <w:t>RMSE measures the size of the forecast errors, so lower is better. R² measures how much of the variation in rentals the model explains. An R² near 1 is strong; a negative R² means the model performed worse than simply predicting the test-set average.</w:t>
      </w:r>
    </w:p>
    <w:p w14:paraId="7CBE7B14" w14:textId="77777777" w:rsidR="00590776" w:rsidRPr="00590776" w:rsidRDefault="00590776" w:rsidP="00590776">
      <w:pPr>
        <w:rPr>
          <w:b/>
          <w:bCs/>
        </w:rPr>
      </w:pPr>
      <w:r w:rsidRPr="00590776">
        <w:rPr>
          <w:b/>
          <w:bCs/>
        </w:rPr>
        <w:t>Smooth coefficient drift</w:t>
      </w:r>
    </w:p>
    <w:p w14:paraId="32849BE3" w14:textId="77777777" w:rsidR="00590776" w:rsidRPr="00590776" w:rsidRDefault="00590776" w:rsidP="00590776">
      <w:r w:rsidRPr="00590776">
        <w:lastRenderedPageBreak/>
        <w:t>In the first generator, the effects of temperature and weekends change gradually over time. Because the changes are slow, recent observations still provide useful information about the current relationship between the inputs and rental demand.</w:t>
      </w:r>
    </w:p>
    <w:p w14:paraId="245D236A" w14:textId="77777777" w:rsidR="00590776" w:rsidRPr="00590776" w:rsidRDefault="00590776" w:rsidP="00590776">
      <w:r w:rsidRPr="00590776">
        <w:t>The rolling ridge model refits itself using the latest 365 days of data. It achieves an RMSE of 67.66, much lower than the weekly naive model’s RMSE of 487.14. Its R² of 0.966 also shows that it explains most of the variation in the test data. This result demonstrates that a model can adapt successfully when the generator changes gradually and recent data remains informative.</w:t>
      </w:r>
    </w:p>
    <w:p w14:paraId="24246C15" w14:textId="77777777" w:rsidR="00590776" w:rsidRPr="00590776" w:rsidRDefault="00590776" w:rsidP="00590776">
      <w:pPr>
        <w:rPr>
          <w:b/>
          <w:bCs/>
        </w:rPr>
      </w:pPr>
      <w:r w:rsidRPr="00590776">
        <w:rPr>
          <w:b/>
          <w:bCs/>
        </w:rPr>
        <w:t>Hidden daily switch</w:t>
      </w:r>
    </w:p>
    <w:p w14:paraId="24531B8D" w14:textId="77777777" w:rsidR="00590776" w:rsidRPr="00590776" w:rsidRDefault="00590776" w:rsidP="00590776">
      <w:r w:rsidRPr="00590776">
        <w:t>In the second generator, the temperature effect switches randomly between positive and negative each day. The current sign is hidden from the forecaster, and knowing previous days’ signs does not help predict today’s sign.</w:t>
      </w:r>
    </w:p>
    <w:p w14:paraId="2354B35C" w14:textId="77777777" w:rsidR="00590776" w:rsidRPr="00590776" w:rsidRDefault="00590776" w:rsidP="00590776">
      <w:r w:rsidRPr="00590776">
        <w:t>The rental count is generated using:</w:t>
      </w:r>
    </w:p>
    <w:p w14:paraId="0371A0AD" w14:textId="77777777" w:rsidR="00590776" w:rsidRPr="00590776" w:rsidRDefault="00590776" w:rsidP="00590776">
      <w:pPr>
        <w:rPr>
          <w:lang w:val="fr-FR"/>
        </w:rPr>
      </w:pPr>
      <w:r w:rsidRPr="00590776">
        <w:rPr>
          <w:lang w:val="fr-FR"/>
        </w:rPr>
        <w:t xml:space="preserve">Y_t | </w:t>
      </w:r>
      <w:r w:rsidRPr="00590776">
        <w:t>μ</w:t>
      </w:r>
      <w:r w:rsidRPr="00590776">
        <w:rPr>
          <w:lang w:val="fr-FR"/>
        </w:rPr>
        <w:t>_t ~ Poisson(</w:t>
      </w:r>
      <w:r w:rsidRPr="00590776">
        <w:t>μ</w:t>
      </w:r>
      <w:r w:rsidRPr="00590776">
        <w:rPr>
          <w:lang w:val="fr-FR"/>
        </w:rPr>
        <w:t>_t)</w:t>
      </w:r>
    </w:p>
    <w:p w14:paraId="392DAE91" w14:textId="77777777" w:rsidR="00590776" w:rsidRPr="00590776" w:rsidRDefault="00590776" w:rsidP="00590776">
      <w:proofErr w:type="spellStart"/>
      <w:r w:rsidRPr="00590776">
        <w:t>μ_t</w:t>
      </w:r>
      <w:proofErr w:type="spellEnd"/>
      <w:r w:rsidRPr="00590776">
        <w:t xml:space="preserve"> = </w:t>
      </w:r>
      <w:proofErr w:type="spellStart"/>
      <w:r w:rsidRPr="00590776">
        <w:t>m_t</w:t>
      </w:r>
      <w:proofErr w:type="spellEnd"/>
      <w:r w:rsidRPr="00590776">
        <w:t xml:space="preserve"> + 650 </w:t>
      </w:r>
      <w:proofErr w:type="spellStart"/>
      <w:r w:rsidRPr="00590776">
        <w:t>S_t</w:t>
      </w:r>
      <w:proofErr w:type="spellEnd"/>
      <w:r w:rsidRPr="00590776">
        <w:t xml:space="preserve"> </w:t>
      </w:r>
      <w:proofErr w:type="spellStart"/>
      <w:r w:rsidRPr="00590776">
        <w:t>z_t</w:t>
      </w:r>
      <w:proofErr w:type="spellEnd"/>
    </w:p>
    <w:p w14:paraId="288EC07A" w14:textId="77777777" w:rsidR="00590776" w:rsidRPr="00590776" w:rsidRDefault="00590776" w:rsidP="00590776">
      <w:r w:rsidRPr="00590776">
        <w:t xml:space="preserve">Here, </w:t>
      </w:r>
      <w:proofErr w:type="spellStart"/>
      <w:r w:rsidRPr="00590776">
        <w:t>S_t</w:t>
      </w:r>
      <w:proofErr w:type="spellEnd"/>
      <w:r w:rsidRPr="00590776">
        <w:t xml:space="preserve"> is the hidden daily sign, </w:t>
      </w:r>
      <w:proofErr w:type="spellStart"/>
      <w:r w:rsidRPr="00590776">
        <w:t>z_t</w:t>
      </w:r>
      <w:proofErr w:type="spellEnd"/>
      <w:r w:rsidRPr="00590776">
        <w:t xml:space="preserve"> is the known temperature anomaly, and </w:t>
      </w:r>
      <w:proofErr w:type="spellStart"/>
      <w:r w:rsidRPr="00590776">
        <w:t>m_t</w:t>
      </w:r>
      <w:proofErr w:type="spellEnd"/>
      <w:r w:rsidRPr="00590776">
        <w:t xml:space="preserve"> is the expected demand from the other known inputs. Since the sign is equally likely to be positive or negative, the best forecast before observing that day’s rentals </w:t>
      </w:r>
      <w:proofErr w:type="gramStart"/>
      <w:r w:rsidRPr="00590776">
        <w:t>is</w:t>
      </w:r>
      <w:proofErr w:type="gramEnd"/>
      <w:r w:rsidRPr="00590776">
        <w:t xml:space="preserve"> </w:t>
      </w:r>
      <w:proofErr w:type="spellStart"/>
      <w:r w:rsidRPr="00590776">
        <w:t>m_t</w:t>
      </w:r>
      <w:proofErr w:type="spellEnd"/>
      <w:r w:rsidRPr="00590776">
        <w:t>.</w:t>
      </w:r>
    </w:p>
    <w:p w14:paraId="077ACCF5" w14:textId="77777777" w:rsidR="00590776" w:rsidRPr="00590776" w:rsidRDefault="00590776" w:rsidP="00590776">
      <w:r w:rsidRPr="00590776">
        <w:t>Even this best possible forecast has unavoidable error. The count has Poisson randomness, and the hidden sign adds more variation:</w:t>
      </w:r>
    </w:p>
    <w:p w14:paraId="0D15952B" w14:textId="77777777" w:rsidR="00590776" w:rsidRPr="00590776" w:rsidRDefault="00590776" w:rsidP="00590776">
      <w:pPr>
        <w:rPr>
          <w:lang w:val="fr-FR"/>
        </w:rPr>
      </w:pPr>
      <w:r w:rsidRPr="00590776">
        <w:rPr>
          <w:lang w:val="fr-FR"/>
        </w:rPr>
        <w:t>Var(Y_t | available information) = m_t + 650² z_t²</w:t>
      </w:r>
    </w:p>
    <w:p w14:paraId="10085503" w14:textId="77777777" w:rsidR="00590776" w:rsidRPr="00590776" w:rsidRDefault="00590776" w:rsidP="00590776">
      <w:r w:rsidRPr="00590776">
        <w:t>Any forecast based on the available information has expected squared error at least this large. Averaged over the test data, this gives a theoretical Bayes RMSE of 642.63. The Bayes oracle’s measured RMSE is 642.79, very close to that limit. The rolling model’s RMSE is 651.95, so it also performs near the best possible level.</w:t>
      </w:r>
    </w:p>
    <w:p w14:paraId="2AB20505" w14:textId="77777777" w:rsidR="00590776" w:rsidRPr="00590776" w:rsidRDefault="00590776" w:rsidP="00590776">
      <w:r w:rsidRPr="00590776">
        <w:t>The hindsight oracle gets an RMSE of 49.51 because it is given the hidden sign. A real forecaster does not have that information. The large gap between the Bayes oracle and hindsight oracle shows that the difficulty comes from the hidden, unpredictable daily change. A more complex model cannot recover information that is not available when the forecast is made.</w:t>
      </w:r>
    </w:p>
    <w:p w14:paraId="249893BA" w14:textId="6C3925AC" w:rsidR="0036665F" w:rsidRDefault="0036665F" w:rsidP="00590776"/>
    <w:sectPr w:rsidR="003666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366EC" w14:textId="77777777" w:rsidR="00CA65DA" w:rsidRDefault="00CA65DA" w:rsidP="000D02D6">
      <w:pPr>
        <w:spacing w:after="0" w:line="240" w:lineRule="auto"/>
      </w:pPr>
      <w:r>
        <w:separator/>
      </w:r>
    </w:p>
  </w:endnote>
  <w:endnote w:type="continuationSeparator" w:id="0">
    <w:p w14:paraId="5C30D87C" w14:textId="77777777" w:rsidR="00CA65DA" w:rsidRDefault="00CA65DA" w:rsidP="000D0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B4051" w14:textId="77777777" w:rsidR="00CA65DA" w:rsidRDefault="00CA65DA" w:rsidP="000D02D6">
      <w:pPr>
        <w:spacing w:after="0" w:line="240" w:lineRule="auto"/>
      </w:pPr>
      <w:r>
        <w:separator/>
      </w:r>
    </w:p>
  </w:footnote>
  <w:footnote w:type="continuationSeparator" w:id="0">
    <w:p w14:paraId="4569ED13" w14:textId="77777777" w:rsidR="00CA65DA" w:rsidRDefault="00CA65DA" w:rsidP="000D02D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2D6"/>
    <w:rsid w:val="000B222A"/>
    <w:rsid w:val="000D02D6"/>
    <w:rsid w:val="002117D0"/>
    <w:rsid w:val="0036665F"/>
    <w:rsid w:val="00586576"/>
    <w:rsid w:val="00590776"/>
    <w:rsid w:val="00CA6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0536F"/>
  <w15:chartTrackingRefBased/>
  <w15:docId w15:val="{EFF4773E-3742-4E2F-878E-F91542AF9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2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2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2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2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2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2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2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2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2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2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2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2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2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2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2D6"/>
    <w:rPr>
      <w:rFonts w:eastAsiaTheme="majorEastAsia" w:cstheme="majorBidi"/>
      <w:color w:val="272727" w:themeColor="text1" w:themeTint="D8"/>
    </w:rPr>
  </w:style>
  <w:style w:type="paragraph" w:styleId="Title">
    <w:name w:val="Title"/>
    <w:basedOn w:val="Normal"/>
    <w:next w:val="Normal"/>
    <w:link w:val="TitleChar"/>
    <w:uiPriority w:val="10"/>
    <w:qFormat/>
    <w:rsid w:val="000D0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2D6"/>
    <w:pPr>
      <w:spacing w:before="160"/>
      <w:jc w:val="center"/>
    </w:pPr>
    <w:rPr>
      <w:i/>
      <w:iCs/>
      <w:color w:val="404040" w:themeColor="text1" w:themeTint="BF"/>
    </w:rPr>
  </w:style>
  <w:style w:type="character" w:customStyle="1" w:styleId="QuoteChar">
    <w:name w:val="Quote Char"/>
    <w:basedOn w:val="DefaultParagraphFont"/>
    <w:link w:val="Quote"/>
    <w:uiPriority w:val="29"/>
    <w:rsid w:val="000D02D6"/>
    <w:rPr>
      <w:i/>
      <w:iCs/>
      <w:color w:val="404040" w:themeColor="text1" w:themeTint="BF"/>
    </w:rPr>
  </w:style>
  <w:style w:type="paragraph" w:styleId="ListParagraph">
    <w:name w:val="List Paragraph"/>
    <w:basedOn w:val="Normal"/>
    <w:uiPriority w:val="34"/>
    <w:qFormat/>
    <w:rsid w:val="000D02D6"/>
    <w:pPr>
      <w:ind w:left="720"/>
      <w:contextualSpacing/>
    </w:pPr>
  </w:style>
  <w:style w:type="character" w:styleId="IntenseEmphasis">
    <w:name w:val="Intense Emphasis"/>
    <w:basedOn w:val="DefaultParagraphFont"/>
    <w:uiPriority w:val="21"/>
    <w:qFormat/>
    <w:rsid w:val="000D02D6"/>
    <w:rPr>
      <w:i/>
      <w:iCs/>
      <w:color w:val="2F5496" w:themeColor="accent1" w:themeShade="BF"/>
    </w:rPr>
  </w:style>
  <w:style w:type="paragraph" w:styleId="IntenseQuote">
    <w:name w:val="Intense Quote"/>
    <w:basedOn w:val="Normal"/>
    <w:next w:val="Normal"/>
    <w:link w:val="IntenseQuoteChar"/>
    <w:uiPriority w:val="30"/>
    <w:qFormat/>
    <w:rsid w:val="000D02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2D6"/>
    <w:rPr>
      <w:i/>
      <w:iCs/>
      <w:color w:val="2F5496" w:themeColor="accent1" w:themeShade="BF"/>
    </w:rPr>
  </w:style>
  <w:style w:type="character" w:styleId="IntenseReference">
    <w:name w:val="Intense Reference"/>
    <w:basedOn w:val="DefaultParagraphFont"/>
    <w:uiPriority w:val="32"/>
    <w:qFormat/>
    <w:rsid w:val="000D02D6"/>
    <w:rPr>
      <w:b/>
      <w:bCs/>
      <w:smallCaps/>
      <w:color w:val="2F5496" w:themeColor="accent1" w:themeShade="BF"/>
      <w:spacing w:val="5"/>
    </w:rPr>
  </w:style>
  <w:style w:type="paragraph" w:styleId="Header">
    <w:name w:val="header"/>
    <w:basedOn w:val="Normal"/>
    <w:link w:val="HeaderChar"/>
    <w:uiPriority w:val="99"/>
    <w:unhideWhenUsed/>
    <w:rsid w:val="000D02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02D6"/>
  </w:style>
  <w:style w:type="paragraph" w:styleId="Footer">
    <w:name w:val="footer"/>
    <w:basedOn w:val="Normal"/>
    <w:link w:val="FooterChar"/>
    <w:uiPriority w:val="99"/>
    <w:unhideWhenUsed/>
    <w:rsid w:val="000D02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02D6"/>
  </w:style>
  <w:style w:type="table" w:styleId="TableGrid">
    <w:name w:val="Table Grid"/>
    <w:basedOn w:val="TableNormal"/>
    <w:uiPriority w:val="39"/>
    <w:rsid w:val="000D02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496</Words>
  <Characters>2831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Sanpietro</dc:creator>
  <cp:keywords/>
  <dc:description/>
  <cp:lastModifiedBy>Sean Sanpietro</cp:lastModifiedBy>
  <cp:revision>1</cp:revision>
  <dcterms:created xsi:type="dcterms:W3CDTF">2026-10-19T15:45:00Z</dcterms:created>
  <dcterms:modified xsi:type="dcterms:W3CDTF">2026-10-19T16:08:00Z</dcterms:modified>
</cp:coreProperties>
</file>