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80" w:firstLine="0" w:firstLineChars="0"/>
      </w:pPr>
    </w:p>
    <w:p/>
    <w:p/>
    <w:p>
      <w:pPr>
        <w:ind w:firstLine="883"/>
        <w:jc w:val="center"/>
        <w:rPr>
          <w:rFonts w:ascii="黑体" w:eastAsia="黑体"/>
          <w:b/>
          <w:kern w:val="15"/>
          <w:sz w:val="44"/>
          <w:szCs w:val="44"/>
        </w:rPr>
      </w:pPr>
      <w:r>
        <w:rPr>
          <w:rFonts w:hint="eastAsia" w:ascii="黑体" w:eastAsia="黑体"/>
          <w:b/>
          <w:kern w:val="15"/>
          <w:sz w:val="44"/>
          <w:szCs w:val="44"/>
        </w:rPr>
        <w:t>黑龙江省市场监督管理局</w:t>
      </w:r>
    </w:p>
    <w:p>
      <w:pPr>
        <w:ind w:firstLine="883"/>
        <w:jc w:val="center"/>
        <w:rPr>
          <w:rFonts w:ascii="黑体" w:eastAsia="黑体"/>
          <w:b/>
          <w:kern w:val="15"/>
          <w:sz w:val="44"/>
          <w:szCs w:val="44"/>
        </w:rPr>
      </w:pPr>
      <w:r>
        <w:rPr>
          <w:rFonts w:hint="eastAsia" w:ascii="黑体" w:eastAsia="黑体"/>
          <w:b/>
          <w:kern w:val="15"/>
          <w:sz w:val="44"/>
          <w:szCs w:val="44"/>
        </w:rPr>
        <w:t>2022年度主题库证照库项目</w:t>
      </w:r>
    </w:p>
    <w:p>
      <w:pPr>
        <w:ind w:firstLine="883"/>
        <w:jc w:val="center"/>
        <w:rPr>
          <w:rFonts w:ascii="黑体" w:eastAsia="黑体"/>
          <w:b/>
          <w:kern w:val="15"/>
          <w:sz w:val="44"/>
          <w:szCs w:val="44"/>
        </w:rPr>
      </w:pPr>
      <w:r>
        <w:rPr>
          <w:rFonts w:hint="eastAsia" w:ascii="黑体" w:eastAsia="黑体"/>
          <w:b/>
          <w:kern w:val="15"/>
          <w:sz w:val="44"/>
          <w:szCs w:val="44"/>
        </w:rPr>
        <w:t>可行性研究报告</w:t>
      </w:r>
    </w:p>
    <w:p>
      <w:pPr>
        <w:pStyle w:val="14"/>
        <w:ind w:firstLine="480"/>
      </w:pPr>
    </w:p>
    <w:p>
      <w:pPr>
        <w:spacing w:before="190" w:after="190"/>
        <w:ind w:firstLine="0" w:firstLineChars="0"/>
        <w:jc w:val="left"/>
        <w:rPr>
          <w:b/>
          <w:sz w:val="40"/>
        </w:rPr>
      </w:pPr>
    </w:p>
    <w:p>
      <w:pPr>
        <w:spacing w:before="190" w:after="190"/>
        <w:ind w:firstLine="0" w:firstLineChars="0"/>
        <w:jc w:val="left"/>
        <w:rPr>
          <w:b/>
          <w:sz w:val="40"/>
        </w:rPr>
      </w:pPr>
    </w:p>
    <w:p>
      <w:pPr>
        <w:pStyle w:val="27"/>
        <w:spacing w:before="0" w:after="381" w:afterLines="100"/>
        <w:rPr>
          <w:rFonts w:ascii="Calibri" w:hAnsi="Calibri" w:cs="Calibri"/>
          <w:sz w:val="48"/>
          <w:szCs w:val="48"/>
        </w:rPr>
      </w:pPr>
    </w:p>
    <w:p>
      <w:pPr>
        <w:pStyle w:val="27"/>
        <w:spacing w:before="0" w:after="381" w:afterLines="100"/>
        <w:rPr>
          <w:rFonts w:ascii="Calibri" w:hAnsi="Calibri" w:cs="Calibri"/>
          <w:sz w:val="48"/>
          <w:szCs w:val="48"/>
        </w:rPr>
      </w:pPr>
    </w:p>
    <w:p>
      <w:pPr>
        <w:pStyle w:val="27"/>
        <w:spacing w:before="0" w:after="381" w:afterLines="100"/>
        <w:rPr>
          <w:rFonts w:ascii="Calibri" w:hAnsi="Calibri" w:cs="Calibri"/>
          <w:sz w:val="48"/>
          <w:szCs w:val="48"/>
        </w:rPr>
      </w:pPr>
    </w:p>
    <w:p>
      <w:pPr>
        <w:pStyle w:val="27"/>
        <w:spacing w:before="0" w:after="381" w:afterLines="100"/>
        <w:rPr>
          <w:rFonts w:ascii="Calibri" w:hAnsi="Calibri" w:cs="Calibri"/>
          <w:sz w:val="48"/>
          <w:szCs w:val="48"/>
        </w:rPr>
      </w:pPr>
    </w:p>
    <w:p>
      <w:pPr>
        <w:pStyle w:val="27"/>
        <w:spacing w:before="0" w:after="381" w:afterLines="100"/>
        <w:rPr>
          <w:rFonts w:ascii="Calibri" w:hAnsi="Calibri" w:cs="Calibri"/>
          <w:sz w:val="48"/>
          <w:szCs w:val="48"/>
        </w:rPr>
      </w:pPr>
    </w:p>
    <w:p>
      <w:pPr>
        <w:spacing w:before="190" w:after="190"/>
        <w:ind w:firstLine="643"/>
        <w:jc w:val="center"/>
        <w:rPr>
          <w:rFonts w:ascii="黑体" w:eastAsia="黑体"/>
          <w:b/>
          <w:kern w:val="15"/>
          <w:sz w:val="32"/>
          <w:szCs w:val="32"/>
        </w:rPr>
      </w:pPr>
      <w:r>
        <w:rPr>
          <w:rFonts w:hint="eastAsia" w:ascii="黑体" w:eastAsia="黑体"/>
          <w:b/>
          <w:kern w:val="15"/>
          <w:sz w:val="32"/>
          <w:szCs w:val="32"/>
        </w:rPr>
        <w:t>黑龙江省市场监督管理局</w:t>
      </w:r>
    </w:p>
    <w:p>
      <w:pPr>
        <w:spacing w:before="190" w:after="190"/>
        <w:ind w:firstLine="643"/>
        <w:jc w:val="center"/>
        <w:rPr>
          <w:rFonts w:ascii="黑体" w:eastAsia="黑体"/>
          <w:b/>
          <w:kern w:val="15"/>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titlePg/>
          <w:docGrid w:type="lines" w:linePitch="381" w:charSpace="0"/>
        </w:sectPr>
      </w:pPr>
      <w:r>
        <w:rPr>
          <w:rFonts w:hint="eastAsia" w:ascii="黑体" w:eastAsia="黑体"/>
          <w:b/>
          <w:kern w:val="15"/>
          <w:sz w:val="32"/>
          <w:szCs w:val="32"/>
        </w:rPr>
        <w:t>2022年</w:t>
      </w:r>
      <w:r>
        <w:rPr>
          <w:rFonts w:ascii="黑体" w:eastAsia="黑体"/>
          <w:b/>
          <w:kern w:val="15"/>
          <w:sz w:val="32"/>
          <w:szCs w:val="32"/>
        </w:rPr>
        <w:t>8</w:t>
      </w:r>
      <w:r>
        <w:rPr>
          <w:rFonts w:hint="eastAsia" w:ascii="黑体" w:eastAsia="黑体"/>
          <w:b/>
          <w:kern w:val="15"/>
          <w:sz w:val="32"/>
          <w:szCs w:val="32"/>
        </w:rPr>
        <w:t>月</w:t>
      </w:r>
    </w:p>
    <w:p>
      <w:pPr>
        <w:pStyle w:val="86"/>
        <w:spacing w:before="190" w:after="190"/>
      </w:pPr>
      <w:bookmarkStart w:id="455" w:name="_GoBack"/>
      <w:bookmarkEnd w:id="455"/>
    </w:p>
    <w:p>
      <w:pPr>
        <w:pStyle w:val="86"/>
        <w:spacing w:before="190" w:after="190"/>
      </w:pPr>
    </w:p>
    <w:p>
      <w:pPr>
        <w:pStyle w:val="86"/>
        <w:spacing w:before="190" w:after="190"/>
      </w:pPr>
    </w:p>
    <w:p>
      <w:pPr>
        <w:ind w:firstLine="883"/>
        <w:jc w:val="center"/>
        <w:rPr>
          <w:rFonts w:ascii="黑体" w:eastAsia="黑体"/>
          <w:b/>
          <w:kern w:val="15"/>
          <w:sz w:val="44"/>
          <w:szCs w:val="44"/>
        </w:rPr>
      </w:pPr>
      <w:r>
        <w:rPr>
          <w:rFonts w:hint="eastAsia" w:ascii="黑体" w:eastAsia="黑体"/>
          <w:b/>
          <w:kern w:val="15"/>
          <w:sz w:val="44"/>
          <w:szCs w:val="44"/>
        </w:rPr>
        <w:t>黑龙江省市场监督管理局</w:t>
      </w:r>
    </w:p>
    <w:p>
      <w:pPr>
        <w:ind w:firstLine="883"/>
        <w:jc w:val="center"/>
        <w:rPr>
          <w:rFonts w:ascii="黑体" w:eastAsia="黑体"/>
          <w:b/>
          <w:kern w:val="15"/>
          <w:sz w:val="44"/>
          <w:szCs w:val="44"/>
        </w:rPr>
      </w:pPr>
      <w:r>
        <w:rPr>
          <w:rFonts w:hint="eastAsia" w:ascii="黑体" w:eastAsia="黑体"/>
          <w:b/>
          <w:kern w:val="15"/>
          <w:sz w:val="44"/>
          <w:szCs w:val="44"/>
        </w:rPr>
        <w:t>2022年度主题库证照库项目</w:t>
      </w:r>
    </w:p>
    <w:p>
      <w:pPr>
        <w:ind w:firstLine="883"/>
        <w:jc w:val="center"/>
        <w:rPr>
          <w:rFonts w:ascii="黑体" w:eastAsia="黑体"/>
          <w:b/>
          <w:kern w:val="15"/>
          <w:sz w:val="44"/>
          <w:szCs w:val="44"/>
        </w:rPr>
      </w:pPr>
      <w:r>
        <w:rPr>
          <w:rFonts w:hint="eastAsia" w:ascii="黑体" w:eastAsia="黑体"/>
          <w:b/>
          <w:kern w:val="15"/>
          <w:sz w:val="44"/>
          <w:szCs w:val="44"/>
        </w:rPr>
        <w:t>可行性研究报告</w:t>
      </w:r>
    </w:p>
    <w:p>
      <w:pPr>
        <w:ind w:firstLine="0" w:firstLineChars="0"/>
        <w:jc w:val="center"/>
        <w:rPr>
          <w:b/>
          <w:sz w:val="40"/>
        </w:rPr>
      </w:pPr>
    </w:p>
    <w:p>
      <w:pPr>
        <w:pStyle w:val="29"/>
        <w:tabs>
          <w:tab w:val="left" w:pos="420"/>
        </w:tabs>
        <w:ind w:left="480" w:firstLine="360"/>
        <w:rPr>
          <w:rFonts w:eastAsia="黑体"/>
          <w:sz w:val="18"/>
          <w:szCs w:val="18"/>
        </w:rPr>
      </w:pPr>
    </w:p>
    <w:p>
      <w:pPr>
        <w:pStyle w:val="29"/>
        <w:tabs>
          <w:tab w:val="left" w:pos="420"/>
        </w:tabs>
        <w:ind w:left="480" w:firstLine="360"/>
        <w:rPr>
          <w:rFonts w:eastAsia="黑体"/>
          <w:sz w:val="18"/>
          <w:szCs w:val="18"/>
        </w:rPr>
      </w:pPr>
    </w:p>
    <w:p>
      <w:pPr>
        <w:pStyle w:val="29"/>
        <w:tabs>
          <w:tab w:val="left" w:pos="420"/>
        </w:tabs>
        <w:ind w:left="480" w:firstLine="360"/>
        <w:rPr>
          <w:rFonts w:eastAsia="黑体"/>
          <w:sz w:val="18"/>
          <w:szCs w:val="18"/>
        </w:rPr>
      </w:pPr>
    </w:p>
    <w:p>
      <w:pPr>
        <w:pStyle w:val="29"/>
        <w:tabs>
          <w:tab w:val="left" w:pos="420"/>
        </w:tabs>
        <w:ind w:left="480" w:firstLine="360"/>
        <w:rPr>
          <w:rFonts w:eastAsia="黑体"/>
          <w:sz w:val="18"/>
          <w:szCs w:val="18"/>
        </w:rPr>
      </w:pPr>
    </w:p>
    <w:tbl>
      <w:tblPr>
        <w:tblStyle w:val="30"/>
        <w:tblW w:w="0" w:type="auto"/>
        <w:jc w:val="center"/>
        <w:tblLayout w:type="fixed"/>
        <w:tblCellMar>
          <w:top w:w="0" w:type="dxa"/>
          <w:left w:w="108" w:type="dxa"/>
          <w:bottom w:w="0" w:type="dxa"/>
          <w:right w:w="108" w:type="dxa"/>
        </w:tblCellMar>
      </w:tblPr>
      <w:tblGrid>
        <w:gridCol w:w="2824"/>
        <w:gridCol w:w="4077"/>
      </w:tblGrid>
      <w:tr>
        <w:tblPrEx>
          <w:tblCellMar>
            <w:top w:w="0" w:type="dxa"/>
            <w:left w:w="108" w:type="dxa"/>
            <w:bottom w:w="0" w:type="dxa"/>
            <w:right w:w="108" w:type="dxa"/>
          </w:tblCellMar>
        </w:tblPrEx>
        <w:trPr>
          <w:trHeight w:val="737" w:hRule="atLeast"/>
          <w:jc w:val="center"/>
        </w:trPr>
        <w:tc>
          <w:tcPr>
            <w:tcW w:w="2824" w:type="dxa"/>
            <w:vAlign w:val="center"/>
          </w:tcPr>
          <w:p>
            <w:pPr>
              <w:snapToGrid w:val="0"/>
              <w:ind w:firstLine="640"/>
              <w:jc w:val="distribute"/>
              <w:rPr>
                <w:rFonts w:ascii="宋体" w:hAnsi="宋体"/>
                <w:spacing w:val="10"/>
                <w:sz w:val="30"/>
                <w:szCs w:val="30"/>
              </w:rPr>
            </w:pPr>
            <w:r>
              <w:rPr>
                <w:rFonts w:hint="eastAsia" w:ascii="宋体" w:hAnsi="宋体"/>
                <w:spacing w:val="10"/>
                <w:sz w:val="30"/>
                <w:szCs w:val="30"/>
              </w:rPr>
              <w:t>总  经  理</w:t>
            </w:r>
          </w:p>
        </w:tc>
        <w:tc>
          <w:tcPr>
            <w:tcW w:w="4077" w:type="dxa"/>
            <w:tcMar>
              <w:left w:w="142" w:type="dxa"/>
              <w:right w:w="142" w:type="dxa"/>
            </w:tcMar>
            <w:vAlign w:val="center"/>
          </w:tcPr>
          <w:p>
            <w:pPr>
              <w:snapToGrid w:val="0"/>
              <w:ind w:firstLine="0" w:firstLineChars="0"/>
              <w:jc w:val="left"/>
              <w:rPr>
                <w:rFonts w:ascii="宋体" w:hAnsi="宋体"/>
                <w:sz w:val="30"/>
                <w:szCs w:val="30"/>
              </w:rPr>
            </w:pPr>
            <w:r>
              <w:rPr>
                <w:rFonts w:hint="eastAsia" w:ascii="宋体" w:hAnsi="宋体"/>
                <w:sz w:val="30"/>
                <w:szCs w:val="30"/>
              </w:rPr>
              <w:t>郭  庄</w:t>
            </w:r>
          </w:p>
        </w:tc>
      </w:tr>
      <w:tr>
        <w:tblPrEx>
          <w:tblCellMar>
            <w:top w:w="0" w:type="dxa"/>
            <w:left w:w="108" w:type="dxa"/>
            <w:bottom w:w="0" w:type="dxa"/>
            <w:right w:w="108" w:type="dxa"/>
          </w:tblCellMar>
        </w:tblPrEx>
        <w:trPr>
          <w:trHeight w:val="737" w:hRule="atLeast"/>
          <w:jc w:val="center"/>
        </w:trPr>
        <w:tc>
          <w:tcPr>
            <w:tcW w:w="2824" w:type="dxa"/>
            <w:vAlign w:val="center"/>
          </w:tcPr>
          <w:p>
            <w:pPr>
              <w:snapToGrid w:val="0"/>
              <w:ind w:firstLine="640"/>
              <w:jc w:val="distribute"/>
              <w:rPr>
                <w:rFonts w:ascii="宋体" w:hAnsi="宋体"/>
                <w:spacing w:val="10"/>
                <w:sz w:val="30"/>
                <w:szCs w:val="30"/>
              </w:rPr>
            </w:pPr>
            <w:r>
              <w:rPr>
                <w:rFonts w:hint="eastAsia" w:ascii="宋体" w:hAnsi="宋体"/>
                <w:spacing w:val="10"/>
                <w:sz w:val="30"/>
                <w:szCs w:val="30"/>
              </w:rPr>
              <w:t>主管经理</w:t>
            </w:r>
            <w:r>
              <w:rPr>
                <w:rFonts w:ascii="宋体" w:hAnsi="宋体"/>
                <w:spacing w:val="10"/>
                <w:sz w:val="30"/>
                <w:szCs w:val="30"/>
              </w:rPr>
              <w:t xml:space="preserve">      </w:t>
            </w:r>
          </w:p>
        </w:tc>
        <w:tc>
          <w:tcPr>
            <w:tcW w:w="4077" w:type="dxa"/>
            <w:tcMar>
              <w:left w:w="142" w:type="dxa"/>
              <w:right w:w="142" w:type="dxa"/>
            </w:tcMar>
            <w:vAlign w:val="center"/>
          </w:tcPr>
          <w:p>
            <w:pPr>
              <w:snapToGrid w:val="0"/>
              <w:ind w:firstLine="0" w:firstLineChars="0"/>
              <w:jc w:val="left"/>
              <w:rPr>
                <w:rFonts w:ascii="宋体" w:hAnsi="宋体"/>
                <w:sz w:val="30"/>
                <w:szCs w:val="30"/>
              </w:rPr>
            </w:pPr>
            <w:r>
              <w:rPr>
                <w:rFonts w:hint="eastAsia" w:ascii="宋体" w:hAnsi="宋体"/>
                <w:sz w:val="30"/>
                <w:szCs w:val="30"/>
              </w:rPr>
              <w:t>王天旭</w:t>
            </w:r>
          </w:p>
        </w:tc>
      </w:tr>
      <w:tr>
        <w:tblPrEx>
          <w:tblCellMar>
            <w:top w:w="0" w:type="dxa"/>
            <w:left w:w="108" w:type="dxa"/>
            <w:bottom w:w="0" w:type="dxa"/>
            <w:right w:w="108" w:type="dxa"/>
          </w:tblCellMar>
        </w:tblPrEx>
        <w:trPr>
          <w:trHeight w:val="737" w:hRule="atLeast"/>
          <w:jc w:val="center"/>
        </w:trPr>
        <w:tc>
          <w:tcPr>
            <w:tcW w:w="2824" w:type="dxa"/>
            <w:vAlign w:val="center"/>
          </w:tcPr>
          <w:p>
            <w:pPr>
              <w:snapToGrid w:val="0"/>
              <w:ind w:firstLine="552"/>
              <w:jc w:val="distribute"/>
              <w:rPr>
                <w:rFonts w:ascii="宋体" w:hAnsi="宋体"/>
                <w:sz w:val="30"/>
                <w:szCs w:val="30"/>
              </w:rPr>
            </w:pPr>
            <w:r>
              <w:rPr>
                <w:rFonts w:ascii="宋体" w:hAnsi="宋体"/>
                <w:spacing w:val="-12"/>
                <w:sz w:val="30"/>
                <w:szCs w:val="30"/>
              </w:rPr>
              <w:t>项目</w:t>
            </w:r>
            <w:r>
              <w:rPr>
                <w:rFonts w:hint="eastAsia" w:ascii="宋体" w:hAnsi="宋体"/>
                <w:sz w:val="30"/>
                <w:szCs w:val="30"/>
              </w:rPr>
              <w:t>总负责人</w:t>
            </w:r>
          </w:p>
        </w:tc>
        <w:tc>
          <w:tcPr>
            <w:tcW w:w="4077" w:type="dxa"/>
            <w:tcMar>
              <w:left w:w="142" w:type="dxa"/>
              <w:right w:w="142" w:type="dxa"/>
            </w:tcMar>
            <w:vAlign w:val="center"/>
          </w:tcPr>
          <w:p>
            <w:pPr>
              <w:snapToGrid w:val="0"/>
              <w:ind w:firstLine="0" w:firstLineChars="0"/>
              <w:jc w:val="left"/>
              <w:rPr>
                <w:rFonts w:ascii="宋体" w:hAnsi="宋体"/>
                <w:sz w:val="30"/>
                <w:szCs w:val="30"/>
              </w:rPr>
            </w:pPr>
            <w:r>
              <w:rPr>
                <w:rFonts w:hint="eastAsia" w:ascii="宋体" w:hAnsi="宋体"/>
                <w:sz w:val="30"/>
                <w:szCs w:val="30"/>
              </w:rPr>
              <w:t>田  虹</w:t>
            </w:r>
          </w:p>
        </w:tc>
      </w:tr>
      <w:tr>
        <w:tblPrEx>
          <w:tblCellMar>
            <w:top w:w="0" w:type="dxa"/>
            <w:left w:w="108" w:type="dxa"/>
            <w:bottom w:w="0" w:type="dxa"/>
            <w:right w:w="108" w:type="dxa"/>
          </w:tblCellMar>
        </w:tblPrEx>
        <w:trPr>
          <w:trHeight w:val="737" w:hRule="atLeast"/>
          <w:jc w:val="center"/>
        </w:trPr>
        <w:tc>
          <w:tcPr>
            <w:tcW w:w="2824" w:type="dxa"/>
            <w:vAlign w:val="center"/>
          </w:tcPr>
          <w:p>
            <w:pPr>
              <w:snapToGrid w:val="0"/>
              <w:ind w:firstLine="552"/>
              <w:jc w:val="distribute"/>
              <w:rPr>
                <w:rFonts w:ascii="宋体" w:hAnsi="宋体"/>
                <w:spacing w:val="-12"/>
                <w:sz w:val="30"/>
                <w:szCs w:val="30"/>
              </w:rPr>
            </w:pPr>
            <w:r>
              <w:rPr>
                <w:rFonts w:hint="eastAsia" w:ascii="宋体" w:hAnsi="宋体"/>
                <w:spacing w:val="-12"/>
                <w:sz w:val="30"/>
                <w:szCs w:val="30"/>
              </w:rPr>
              <w:t>编制人员</w:t>
            </w:r>
          </w:p>
        </w:tc>
        <w:tc>
          <w:tcPr>
            <w:tcW w:w="4077" w:type="dxa"/>
            <w:tcMar>
              <w:left w:w="142" w:type="dxa"/>
              <w:right w:w="142" w:type="dxa"/>
            </w:tcMar>
            <w:vAlign w:val="center"/>
          </w:tcPr>
          <w:p>
            <w:pPr>
              <w:snapToGrid w:val="0"/>
              <w:ind w:firstLine="0" w:firstLineChars="0"/>
              <w:jc w:val="left"/>
              <w:rPr>
                <w:rFonts w:ascii="宋体" w:hAnsi="宋体"/>
                <w:sz w:val="30"/>
                <w:szCs w:val="30"/>
              </w:rPr>
            </w:pPr>
            <w:r>
              <w:rPr>
                <w:rFonts w:hint="eastAsia" w:ascii="宋体" w:hAnsi="宋体"/>
                <w:sz w:val="30"/>
                <w:szCs w:val="30"/>
              </w:rPr>
              <w:t>任晓东  刘思扬  高兴盛</w:t>
            </w:r>
          </w:p>
        </w:tc>
      </w:tr>
    </w:tbl>
    <w:p>
      <w:pPr>
        <w:pStyle w:val="86"/>
        <w:spacing w:before="190" w:after="190"/>
        <w:sectPr>
          <w:headerReference r:id="rId12" w:type="first"/>
          <w:footerReference r:id="rId14" w:type="first"/>
          <w:headerReference r:id="rId11" w:type="default"/>
          <w:footerReference r:id="rId13" w:type="default"/>
          <w:pgSz w:w="11906" w:h="16838"/>
          <w:pgMar w:top="1440" w:right="1800" w:bottom="1440" w:left="1800" w:header="851" w:footer="992" w:gutter="0"/>
          <w:cols w:space="425" w:num="1"/>
          <w:titlePg/>
          <w:docGrid w:type="lines" w:linePitch="381" w:charSpace="0"/>
        </w:sectPr>
      </w:pPr>
    </w:p>
    <w:sdt>
      <w:sdtPr>
        <w:rPr>
          <w:rFonts w:ascii="宋体" w:hAnsi="宋体" w:eastAsia="宋体" w:cs="仿宋"/>
          <w:b/>
          <w:color w:val="auto"/>
          <w:kern w:val="2"/>
          <w:sz w:val="24"/>
          <w:szCs w:val="24"/>
          <w:lang w:val="zh-CN"/>
        </w:rPr>
        <w:id w:val="-2049065090"/>
      </w:sdtPr>
      <w:sdtEndPr>
        <w:rPr>
          <w:rFonts w:ascii="宋体" w:hAnsi="宋体" w:eastAsia="宋体" w:cs="仿宋"/>
          <w:b/>
          <w:bCs/>
          <w:color w:val="000000" w:themeColor="text1"/>
          <w:kern w:val="2"/>
          <w:sz w:val="21"/>
          <w:szCs w:val="21"/>
          <w:lang w:val="zh-CN"/>
          <w14:textFill>
            <w14:solidFill>
              <w14:schemeClr w14:val="tx1"/>
            </w14:solidFill>
          </w14:textFill>
        </w:rPr>
      </w:sdtEndPr>
      <w:sdtContent>
        <w:p>
          <w:pPr>
            <w:pStyle w:val="53"/>
            <w:jc w:val="center"/>
            <w:rPr>
              <w:rFonts w:ascii="宋体" w:hAnsi="宋体" w:eastAsia="宋体"/>
              <w:b/>
              <w:color w:val="auto"/>
            </w:rPr>
          </w:pPr>
          <w:r>
            <w:rPr>
              <w:rFonts w:ascii="宋体" w:hAnsi="宋体" w:eastAsia="宋体"/>
              <w:b/>
              <w:color w:val="auto"/>
              <w:lang w:val="zh-CN"/>
            </w:rPr>
            <w:t>目录</w:t>
          </w:r>
        </w:p>
        <w:p>
          <w:pPr>
            <w:pStyle w:val="22"/>
            <w:tabs>
              <w:tab w:val="right" w:leader="dot" w:pos="8306"/>
              <w:tab w:val="clear" w:pos="1680"/>
              <w:tab w:val="clear" w:pos="8296"/>
            </w:tabs>
          </w:pPr>
          <w:r>
            <w:rPr>
              <w:sz w:val="24"/>
            </w:rPr>
            <w:fldChar w:fldCharType="begin"/>
          </w:r>
          <w:r>
            <w:rPr>
              <w:sz w:val="24"/>
            </w:rPr>
            <w:instrText xml:space="preserve"> TOC \o "1-3" \h \z \u </w:instrText>
          </w:r>
          <w:r>
            <w:rPr>
              <w:sz w:val="24"/>
            </w:rPr>
            <w:fldChar w:fldCharType="separate"/>
          </w:r>
          <w:r>
            <w:fldChar w:fldCharType="begin"/>
          </w:r>
          <w:r>
            <w:instrText xml:space="preserve"> HYPERLINK \l _Toc3916 </w:instrText>
          </w:r>
          <w:r>
            <w:fldChar w:fldCharType="separate"/>
          </w:r>
          <w:r>
            <w:rPr>
              <w:rFonts w:hint="eastAsia"/>
            </w:rPr>
            <w:t>第一章. 项目概述</w:t>
          </w:r>
          <w:r>
            <w:tab/>
          </w:r>
          <w:r>
            <w:fldChar w:fldCharType="begin"/>
          </w:r>
          <w:r>
            <w:instrText xml:space="preserve"> PAGEREF _Toc3916 \h </w:instrText>
          </w:r>
          <w:r>
            <w:fldChar w:fldCharType="separate"/>
          </w:r>
          <w:r>
            <w:t>1</w:t>
          </w:r>
          <w:r>
            <w:fldChar w:fldCharType="end"/>
          </w:r>
          <w: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_Toc32481 </w:instrText>
          </w:r>
          <w:r>
            <w:rPr>
              <w:rFonts w:ascii="宋体" w:hAnsi="宋体"/>
              <w:bCs/>
              <w:lang w:val="zh-CN"/>
            </w:rPr>
            <w:fldChar w:fldCharType="separate"/>
          </w:r>
          <w:r>
            <w:rPr>
              <w:rFonts w:hint="eastAsia"/>
            </w:rPr>
            <w:t>1.1. 项目名称</w:t>
          </w:r>
          <w:r>
            <w:tab/>
          </w:r>
          <w:r>
            <w:fldChar w:fldCharType="begin"/>
          </w:r>
          <w:r>
            <w:instrText xml:space="preserve"> PAGEREF _Toc32481 \h </w:instrText>
          </w:r>
          <w:r>
            <w:fldChar w:fldCharType="separate"/>
          </w:r>
          <w:r>
            <w:t>1</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_Toc10561 </w:instrText>
          </w:r>
          <w:r>
            <w:rPr>
              <w:rFonts w:ascii="宋体" w:hAnsi="宋体"/>
              <w:bCs/>
              <w:lang w:val="zh-CN"/>
            </w:rPr>
            <w:fldChar w:fldCharType="separate"/>
          </w:r>
          <w:r>
            <w:rPr>
              <w:rFonts w:hint="eastAsia"/>
            </w:rPr>
            <w:t>1.2. 项目建设单位概况和负责人、项目责任人</w:t>
          </w:r>
          <w:r>
            <w:tab/>
          </w:r>
          <w:r>
            <w:fldChar w:fldCharType="begin"/>
          </w:r>
          <w:r>
            <w:instrText xml:space="preserve"> PAGEREF _Toc10561 \h </w:instrText>
          </w:r>
          <w:r>
            <w:fldChar w:fldCharType="separate"/>
          </w:r>
          <w:r>
            <w:t>1</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_Toc13367 </w:instrText>
          </w:r>
          <w:r>
            <w:rPr>
              <w:rFonts w:ascii="宋体" w:hAnsi="宋体"/>
              <w:bCs/>
              <w:lang w:val="zh-CN"/>
            </w:rPr>
            <w:fldChar w:fldCharType="separate"/>
          </w:r>
          <w:r>
            <w:rPr>
              <w:rFonts w:hint="eastAsia"/>
            </w:rPr>
            <w:t>1.3. 可研编制单位</w:t>
          </w:r>
          <w:r>
            <w:tab/>
          </w:r>
          <w:r>
            <w:fldChar w:fldCharType="begin"/>
          </w:r>
          <w:r>
            <w:instrText xml:space="preserve"> PAGEREF _Toc13367 \h </w:instrText>
          </w:r>
          <w:r>
            <w:fldChar w:fldCharType="separate"/>
          </w:r>
          <w:r>
            <w:t>1</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_Toc21703 </w:instrText>
          </w:r>
          <w:r>
            <w:rPr>
              <w:rFonts w:ascii="宋体" w:hAnsi="宋体"/>
              <w:bCs/>
              <w:lang w:val="zh-CN"/>
            </w:rPr>
            <w:fldChar w:fldCharType="separate"/>
          </w:r>
          <w:r>
            <w:rPr>
              <w:rFonts w:hint="eastAsia"/>
            </w:rPr>
            <w:t>1.4. 编制依据</w:t>
          </w:r>
          <w:r>
            <w:tab/>
          </w:r>
          <w:r>
            <w:fldChar w:fldCharType="begin"/>
          </w:r>
          <w:r>
            <w:instrText xml:space="preserve"> PAGEREF _Toc21703 \h </w:instrText>
          </w:r>
          <w:r>
            <w:fldChar w:fldCharType="separate"/>
          </w:r>
          <w:r>
            <w:t>1</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_Toc20396 </w:instrText>
          </w:r>
          <w:r>
            <w:rPr>
              <w:rFonts w:ascii="宋体" w:hAnsi="宋体"/>
              <w:bCs/>
              <w:lang w:val="zh-CN"/>
            </w:rPr>
            <w:fldChar w:fldCharType="separate"/>
          </w:r>
          <w:r>
            <w:rPr>
              <w:rFonts w:hint="eastAsia"/>
            </w:rPr>
            <w:t>1.4.1. 政策依据</w:t>
          </w:r>
          <w:r>
            <w:tab/>
          </w:r>
          <w:r>
            <w:fldChar w:fldCharType="begin"/>
          </w:r>
          <w:r>
            <w:instrText xml:space="preserve"> PAGEREF _Toc20396 \h </w:instrText>
          </w:r>
          <w:r>
            <w:fldChar w:fldCharType="separate"/>
          </w:r>
          <w:r>
            <w:t>1</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_Toc9837 </w:instrText>
          </w:r>
          <w:r>
            <w:rPr>
              <w:rFonts w:ascii="宋体" w:hAnsi="宋体"/>
              <w:bCs/>
              <w:lang w:val="zh-CN"/>
            </w:rPr>
            <w:fldChar w:fldCharType="separate"/>
          </w:r>
          <w:r>
            <w:rPr>
              <w:rFonts w:hint="eastAsia"/>
            </w:rPr>
            <w:t>1.4.2. 标准规范</w:t>
          </w:r>
          <w:r>
            <w:tab/>
          </w:r>
          <w:r>
            <w:fldChar w:fldCharType="begin"/>
          </w:r>
          <w:r>
            <w:instrText xml:space="preserve"> PAGEREF _Toc9837 \h </w:instrText>
          </w:r>
          <w:r>
            <w:fldChar w:fldCharType="separate"/>
          </w:r>
          <w:r>
            <w:t>1</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_Toc29773 </w:instrText>
          </w:r>
          <w:r>
            <w:rPr>
              <w:rFonts w:ascii="宋体" w:hAnsi="宋体"/>
              <w:bCs/>
              <w:lang w:val="zh-CN"/>
            </w:rPr>
            <w:fldChar w:fldCharType="separate"/>
          </w:r>
          <w:r>
            <w:rPr>
              <w:rFonts w:hint="eastAsia"/>
            </w:rPr>
            <w:t>1.5. 项目建设目标、规模、内容、建设期</w:t>
          </w:r>
          <w:r>
            <w:tab/>
          </w:r>
          <w:r>
            <w:fldChar w:fldCharType="begin"/>
          </w:r>
          <w:r>
            <w:instrText xml:space="preserve"> PAGEREF _Toc29773 \h </w:instrText>
          </w:r>
          <w:r>
            <w:fldChar w:fldCharType="separate"/>
          </w:r>
          <w:r>
            <w:t>3</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_Toc23285 </w:instrText>
          </w:r>
          <w:r>
            <w:rPr>
              <w:rFonts w:ascii="宋体" w:hAnsi="宋体"/>
              <w:bCs/>
              <w:lang w:val="zh-CN"/>
            </w:rPr>
            <w:fldChar w:fldCharType="separate"/>
          </w:r>
          <w:r>
            <w:rPr>
              <w:rFonts w:hint="eastAsia"/>
            </w:rPr>
            <w:t>1.5.1. 建设目标</w:t>
          </w:r>
          <w:r>
            <w:tab/>
          </w:r>
          <w:r>
            <w:fldChar w:fldCharType="begin"/>
          </w:r>
          <w:r>
            <w:instrText xml:space="preserve"> PAGEREF _Toc23285 \h </w:instrText>
          </w:r>
          <w:r>
            <w:fldChar w:fldCharType="separate"/>
          </w:r>
          <w:r>
            <w:t>3</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_Toc8718 </w:instrText>
          </w:r>
          <w:r>
            <w:rPr>
              <w:rFonts w:ascii="宋体" w:hAnsi="宋体"/>
              <w:bCs/>
              <w:lang w:val="zh-CN"/>
            </w:rPr>
            <w:fldChar w:fldCharType="separate"/>
          </w:r>
          <w:r>
            <w:rPr>
              <w:rFonts w:hint="eastAsia"/>
            </w:rPr>
            <w:t>1.5.2. 建设规模</w:t>
          </w:r>
          <w:r>
            <w:tab/>
          </w:r>
          <w:r>
            <w:fldChar w:fldCharType="begin"/>
          </w:r>
          <w:r>
            <w:instrText xml:space="preserve"> PAGEREF _Toc8718 \h </w:instrText>
          </w:r>
          <w:r>
            <w:fldChar w:fldCharType="separate"/>
          </w:r>
          <w:r>
            <w:t>3</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_Toc22464 </w:instrText>
          </w:r>
          <w:r>
            <w:rPr>
              <w:rFonts w:ascii="宋体" w:hAnsi="宋体"/>
              <w:bCs/>
              <w:lang w:val="zh-CN"/>
            </w:rPr>
            <w:fldChar w:fldCharType="separate"/>
          </w:r>
          <w:r>
            <w:rPr>
              <w:rFonts w:hint="eastAsia"/>
            </w:rPr>
            <w:t>1.5.3. 建设内容</w:t>
          </w:r>
          <w:r>
            <w:tab/>
          </w:r>
          <w:r>
            <w:fldChar w:fldCharType="begin"/>
          </w:r>
          <w:r>
            <w:instrText xml:space="preserve"> PAGEREF _Toc22464 \h </w:instrText>
          </w:r>
          <w:r>
            <w:fldChar w:fldCharType="separate"/>
          </w:r>
          <w:r>
            <w:t>3</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_Toc24872 </w:instrText>
          </w:r>
          <w:r>
            <w:rPr>
              <w:rFonts w:ascii="宋体" w:hAnsi="宋体"/>
              <w:bCs/>
              <w:lang w:val="zh-CN"/>
            </w:rPr>
            <w:fldChar w:fldCharType="separate"/>
          </w:r>
          <w:r>
            <w:rPr>
              <w:rFonts w:hint="eastAsia"/>
            </w:rPr>
            <w:t>1.5.4. 建设期</w:t>
          </w:r>
          <w:r>
            <w:tab/>
          </w:r>
          <w:r>
            <w:fldChar w:fldCharType="begin"/>
          </w:r>
          <w:r>
            <w:instrText xml:space="preserve"> PAGEREF _Toc24872 \h </w:instrText>
          </w:r>
          <w:r>
            <w:fldChar w:fldCharType="separate"/>
          </w:r>
          <w:r>
            <w:t>4</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_Toc9004 </w:instrText>
          </w:r>
          <w:r>
            <w:rPr>
              <w:rFonts w:ascii="宋体" w:hAnsi="宋体"/>
              <w:bCs/>
              <w:lang w:val="zh-CN"/>
            </w:rPr>
            <w:fldChar w:fldCharType="separate"/>
          </w:r>
          <w:r>
            <w:rPr>
              <w:rFonts w:hint="eastAsia"/>
            </w:rPr>
            <w:t xml:space="preserve">1.5.5. </w:t>
          </w:r>
          <w:r>
            <w:t>项目总投资及资金来源</w:t>
          </w:r>
          <w:r>
            <w:tab/>
          </w:r>
          <w:r>
            <w:fldChar w:fldCharType="begin"/>
          </w:r>
          <w:r>
            <w:instrText xml:space="preserve"> PAGEREF _Toc9004 \h </w:instrText>
          </w:r>
          <w:r>
            <w:fldChar w:fldCharType="separate"/>
          </w:r>
          <w:r>
            <w:t>4</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_Toc26967 </w:instrText>
          </w:r>
          <w:r>
            <w:rPr>
              <w:rFonts w:ascii="宋体" w:hAnsi="宋体"/>
              <w:bCs/>
              <w:lang w:val="zh-CN"/>
            </w:rPr>
            <w:fldChar w:fldCharType="separate"/>
          </w:r>
          <w:r>
            <w:rPr>
              <w:rFonts w:hint="eastAsia"/>
            </w:rPr>
            <w:t>1.6. 经济与社会效益分析</w:t>
          </w:r>
          <w:r>
            <w:tab/>
          </w:r>
          <w:r>
            <w:fldChar w:fldCharType="begin"/>
          </w:r>
          <w:r>
            <w:instrText xml:space="preserve"> PAGEREF _Toc26967 \h </w:instrText>
          </w:r>
          <w:r>
            <w:fldChar w:fldCharType="separate"/>
          </w:r>
          <w:r>
            <w:t>4</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_Toc15708 </w:instrText>
          </w:r>
          <w:r>
            <w:rPr>
              <w:rFonts w:ascii="宋体" w:hAnsi="宋体"/>
              <w:bCs/>
              <w:lang w:val="zh-CN"/>
            </w:rPr>
            <w:fldChar w:fldCharType="separate"/>
          </w:r>
          <w:r>
            <w:rPr>
              <w:rFonts w:hint="eastAsia"/>
            </w:rPr>
            <w:t>1.7. 主要结论和建议</w:t>
          </w:r>
          <w:r>
            <w:tab/>
          </w:r>
          <w:r>
            <w:fldChar w:fldCharType="begin"/>
          </w:r>
          <w:r>
            <w:instrText xml:space="preserve"> PAGEREF _Toc15708 \h </w:instrText>
          </w:r>
          <w:r>
            <w:fldChar w:fldCharType="separate"/>
          </w:r>
          <w:r>
            <w:t>5</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_Toc11312 </w:instrText>
          </w:r>
          <w:r>
            <w:rPr>
              <w:rFonts w:ascii="宋体" w:hAnsi="宋体"/>
              <w:bCs/>
              <w:lang w:val="zh-CN"/>
            </w:rPr>
            <w:fldChar w:fldCharType="separate"/>
          </w:r>
          <w:r>
            <w:rPr>
              <w:rFonts w:hint="eastAsia"/>
            </w:rPr>
            <w:t>第二章. 项目建设单位情况</w:t>
          </w:r>
          <w:r>
            <w:tab/>
          </w:r>
          <w:r>
            <w:fldChar w:fldCharType="begin"/>
          </w:r>
          <w:r>
            <w:instrText xml:space="preserve"> PAGEREF _Toc11312 \h </w:instrText>
          </w:r>
          <w:r>
            <w:fldChar w:fldCharType="separate"/>
          </w:r>
          <w:r>
            <w:t>7</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_Toc17344 </w:instrText>
          </w:r>
          <w:r>
            <w:rPr>
              <w:rFonts w:ascii="宋体" w:hAnsi="宋体"/>
              <w:bCs/>
              <w:lang w:val="zh-CN"/>
            </w:rPr>
            <w:fldChar w:fldCharType="separate"/>
          </w:r>
          <w:r>
            <w:rPr>
              <w:rFonts w:hint="eastAsia"/>
            </w:rPr>
            <w:t xml:space="preserve">2.1. </w:t>
          </w:r>
          <w:r>
            <w:t>项目建设单位与职能</w:t>
          </w:r>
          <w:r>
            <w:tab/>
          </w:r>
          <w:r>
            <w:fldChar w:fldCharType="begin"/>
          </w:r>
          <w:r>
            <w:instrText xml:space="preserve"> PAGEREF _Toc17344 \h </w:instrText>
          </w:r>
          <w:r>
            <w:fldChar w:fldCharType="separate"/>
          </w:r>
          <w:r>
            <w:t>7</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_Toc8923 </w:instrText>
          </w:r>
          <w:r>
            <w:rPr>
              <w:rFonts w:ascii="宋体" w:hAnsi="宋体"/>
              <w:bCs/>
              <w:lang w:val="zh-CN"/>
            </w:rPr>
            <w:fldChar w:fldCharType="separate"/>
          </w:r>
          <w:r>
            <w:rPr>
              <w:rFonts w:hint="eastAsia"/>
            </w:rPr>
            <w:t xml:space="preserve">2.2. </w:t>
          </w:r>
          <w:r>
            <w:t>项目实施机构与职责</w:t>
          </w:r>
          <w:r>
            <w:tab/>
          </w:r>
          <w:r>
            <w:fldChar w:fldCharType="begin"/>
          </w:r>
          <w:r>
            <w:instrText xml:space="preserve"> PAGEREF _Toc8923 \h </w:instrText>
          </w:r>
          <w:r>
            <w:fldChar w:fldCharType="separate"/>
          </w:r>
          <w:r>
            <w:t>8</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_Toc24148 </w:instrText>
          </w:r>
          <w:r>
            <w:rPr>
              <w:rFonts w:ascii="宋体" w:hAnsi="宋体"/>
              <w:bCs/>
              <w:lang w:val="zh-CN"/>
            </w:rPr>
            <w:fldChar w:fldCharType="separate"/>
          </w:r>
          <w:r>
            <w:rPr>
              <w:rFonts w:hint="eastAsia"/>
            </w:rPr>
            <w:t>第三章. 需求分析和项目建设的必要性</w:t>
          </w:r>
          <w:r>
            <w:tab/>
          </w:r>
          <w:r>
            <w:fldChar w:fldCharType="begin"/>
          </w:r>
          <w:r>
            <w:instrText xml:space="preserve"> PAGEREF _Toc24148 \h </w:instrText>
          </w:r>
          <w:r>
            <w:fldChar w:fldCharType="separate"/>
          </w:r>
          <w:r>
            <w:t>10</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_Toc765 </w:instrText>
          </w:r>
          <w:r>
            <w:rPr>
              <w:rFonts w:ascii="宋体" w:hAnsi="宋体"/>
              <w:bCs/>
              <w:lang w:val="zh-CN"/>
            </w:rPr>
            <w:fldChar w:fldCharType="separate"/>
          </w:r>
          <w:r>
            <w:rPr>
              <w:rFonts w:hint="eastAsia"/>
            </w:rPr>
            <w:t>3.1. 与政务职能相关的社会问题和政务目标分析</w:t>
          </w:r>
          <w:r>
            <w:tab/>
          </w:r>
          <w:r>
            <w:fldChar w:fldCharType="begin"/>
          </w:r>
          <w:r>
            <w:instrText xml:space="preserve"> PAGEREF _Toc765 \h </w:instrText>
          </w:r>
          <w:r>
            <w:fldChar w:fldCharType="separate"/>
          </w:r>
          <w:r>
            <w:t>10</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_Toc11126 </w:instrText>
          </w:r>
          <w:r>
            <w:rPr>
              <w:rFonts w:ascii="宋体" w:hAnsi="宋体"/>
              <w:bCs/>
              <w:lang w:val="zh-CN"/>
            </w:rPr>
            <w:fldChar w:fldCharType="separate"/>
          </w:r>
          <w:r>
            <w:rPr>
              <w:rFonts w:hint="eastAsia"/>
            </w:rPr>
            <w:t>3.2. 业务需求、业务量分析</w:t>
          </w:r>
          <w:r>
            <w:tab/>
          </w:r>
          <w:r>
            <w:fldChar w:fldCharType="begin"/>
          </w:r>
          <w:r>
            <w:instrText xml:space="preserve"> PAGEREF _Toc11126 \h </w:instrText>
          </w:r>
          <w:r>
            <w:fldChar w:fldCharType="separate"/>
          </w:r>
          <w:r>
            <w:t>10</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_Toc23448 </w:instrText>
          </w:r>
          <w:r>
            <w:rPr>
              <w:rFonts w:ascii="宋体" w:hAnsi="宋体"/>
              <w:bCs/>
              <w:lang w:val="zh-CN"/>
            </w:rPr>
            <w:fldChar w:fldCharType="separate"/>
          </w:r>
          <w:r>
            <w:rPr>
              <w:rFonts w:hint="eastAsia"/>
            </w:rPr>
            <w:t>3.2.1. 业务需求分析</w:t>
          </w:r>
          <w:r>
            <w:tab/>
          </w:r>
          <w:r>
            <w:fldChar w:fldCharType="begin"/>
          </w:r>
          <w:r>
            <w:instrText xml:space="preserve"> PAGEREF _Toc23448 \h </w:instrText>
          </w:r>
          <w:r>
            <w:fldChar w:fldCharType="separate"/>
          </w:r>
          <w:r>
            <w:t>10</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_Toc18366 </w:instrText>
          </w:r>
          <w:r>
            <w:rPr>
              <w:rFonts w:ascii="宋体" w:hAnsi="宋体"/>
              <w:bCs/>
              <w:lang w:val="zh-CN"/>
            </w:rPr>
            <w:fldChar w:fldCharType="separate"/>
          </w:r>
          <w:r>
            <w:rPr>
              <w:rFonts w:hint="eastAsia"/>
            </w:rPr>
            <w:t>3.2.2. 系统功能需求分析</w:t>
          </w:r>
          <w:r>
            <w:tab/>
          </w:r>
          <w:r>
            <w:fldChar w:fldCharType="begin"/>
          </w:r>
          <w:r>
            <w:instrText xml:space="preserve"> PAGEREF _Toc18366 \h </w:instrText>
          </w:r>
          <w:r>
            <w:fldChar w:fldCharType="separate"/>
          </w:r>
          <w:r>
            <w:t>12</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_Toc25117 </w:instrText>
          </w:r>
          <w:r>
            <w:rPr>
              <w:rFonts w:ascii="宋体" w:hAnsi="宋体"/>
              <w:bCs/>
              <w:lang w:val="zh-CN"/>
            </w:rPr>
            <w:fldChar w:fldCharType="separate"/>
          </w:r>
          <w:r>
            <w:rPr>
              <w:rFonts w:hint="eastAsia"/>
            </w:rPr>
            <w:t>3.2.3. 系统性能需求分析</w:t>
          </w:r>
          <w:r>
            <w:tab/>
          </w:r>
          <w:r>
            <w:fldChar w:fldCharType="begin"/>
          </w:r>
          <w:r>
            <w:instrText xml:space="preserve"> PAGEREF _Toc25117 \h </w:instrText>
          </w:r>
          <w:r>
            <w:fldChar w:fldCharType="separate"/>
          </w:r>
          <w:r>
            <w:t>14</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_Toc14652 </w:instrText>
          </w:r>
          <w:r>
            <w:rPr>
              <w:rFonts w:ascii="宋体" w:hAnsi="宋体"/>
              <w:bCs/>
              <w:lang w:val="zh-CN"/>
            </w:rPr>
            <w:fldChar w:fldCharType="separate"/>
          </w:r>
          <w:r>
            <w:rPr>
              <w:rFonts w:hint="eastAsia"/>
            </w:rPr>
            <w:t>3.3. 信息系统装备和应用现状与差距</w:t>
          </w:r>
          <w:r>
            <w:tab/>
          </w:r>
          <w:r>
            <w:fldChar w:fldCharType="begin"/>
          </w:r>
          <w:r>
            <w:instrText xml:space="preserve"> PAGEREF _Toc14652 \h </w:instrText>
          </w:r>
          <w:r>
            <w:fldChar w:fldCharType="separate"/>
          </w:r>
          <w:r>
            <w:t>21</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_Toc14617 </w:instrText>
          </w:r>
          <w:r>
            <w:rPr>
              <w:rFonts w:ascii="宋体" w:hAnsi="宋体"/>
              <w:bCs/>
              <w:lang w:val="zh-CN"/>
            </w:rPr>
            <w:fldChar w:fldCharType="separate"/>
          </w:r>
          <w:r>
            <w:rPr>
              <w:rFonts w:hint="eastAsia"/>
            </w:rPr>
            <w:t xml:space="preserve">3.3.1. </w:t>
          </w:r>
          <w:r>
            <w:t>信息系统装备</w:t>
          </w:r>
          <w:r>
            <w:tab/>
          </w:r>
          <w:r>
            <w:fldChar w:fldCharType="begin"/>
          </w:r>
          <w:r>
            <w:instrText xml:space="preserve"> PAGEREF _Toc14617 \h </w:instrText>
          </w:r>
          <w:r>
            <w:fldChar w:fldCharType="separate"/>
          </w:r>
          <w:r>
            <w:t>21</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_Toc521 </w:instrText>
          </w:r>
          <w:r>
            <w:rPr>
              <w:rFonts w:ascii="宋体" w:hAnsi="宋体"/>
              <w:bCs/>
              <w:lang w:val="zh-CN"/>
            </w:rPr>
            <w:fldChar w:fldCharType="separate"/>
          </w:r>
          <w:r>
            <w:rPr>
              <w:rFonts w:hint="eastAsia"/>
            </w:rPr>
            <w:t>3.3.2. 信息化现状</w:t>
          </w:r>
          <w:r>
            <w:tab/>
          </w:r>
          <w:r>
            <w:fldChar w:fldCharType="begin"/>
          </w:r>
          <w:r>
            <w:instrText xml:space="preserve"> PAGEREF _Toc521 \h </w:instrText>
          </w:r>
          <w:r>
            <w:fldChar w:fldCharType="separate"/>
          </w:r>
          <w:r>
            <w:t>21</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_Toc1298 </w:instrText>
          </w:r>
          <w:r>
            <w:rPr>
              <w:rFonts w:ascii="宋体" w:hAnsi="宋体"/>
              <w:bCs/>
              <w:lang w:val="zh-CN"/>
            </w:rPr>
            <w:fldChar w:fldCharType="separate"/>
          </w:r>
          <w:r>
            <w:rPr>
              <w:rFonts w:hint="eastAsia"/>
            </w:rPr>
            <w:t xml:space="preserve">3.3.3. </w:t>
          </w:r>
          <w:r>
            <w:t>网络系统现状</w:t>
          </w:r>
          <w:r>
            <w:tab/>
          </w:r>
          <w:r>
            <w:fldChar w:fldCharType="begin"/>
          </w:r>
          <w:r>
            <w:instrText xml:space="preserve"> PAGEREF _Toc1298 \h </w:instrText>
          </w:r>
          <w:r>
            <w:fldChar w:fldCharType="separate"/>
          </w:r>
          <w:r>
            <w:t>24</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_Toc31767 </w:instrText>
          </w:r>
          <w:r>
            <w:rPr>
              <w:rFonts w:ascii="宋体" w:hAnsi="宋体"/>
              <w:bCs/>
              <w:lang w:val="zh-CN"/>
            </w:rPr>
            <w:fldChar w:fldCharType="separate"/>
          </w:r>
          <w:r>
            <w:rPr>
              <w:rFonts w:hint="eastAsia"/>
            </w:rPr>
            <w:t xml:space="preserve">3.3.4. </w:t>
          </w:r>
          <w:r>
            <w:t>存在的主要问题和差距</w:t>
          </w:r>
          <w:r>
            <w:tab/>
          </w:r>
          <w:r>
            <w:fldChar w:fldCharType="begin"/>
          </w:r>
          <w:r>
            <w:instrText xml:space="preserve"> PAGEREF _Toc31767 \h </w:instrText>
          </w:r>
          <w:r>
            <w:fldChar w:fldCharType="separate"/>
          </w:r>
          <w:r>
            <w:t>25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_Toc2458 </w:instrText>
          </w:r>
          <w:r>
            <w:rPr>
              <w:rFonts w:ascii="宋体" w:hAnsi="宋体"/>
              <w:bCs/>
              <w:lang w:val="zh-CN"/>
            </w:rPr>
            <w:fldChar w:fldCharType="separate"/>
          </w:r>
          <w:r>
            <w:rPr>
              <w:rFonts w:hint="eastAsia"/>
            </w:rPr>
            <w:t>3.4. 项目建设的必要性</w:t>
          </w:r>
          <w:r>
            <w:tab/>
          </w:r>
          <w:r>
            <w:fldChar w:fldCharType="begin"/>
          </w:r>
          <w:r>
            <w:instrText xml:space="preserve"> PAGEREF _Toc2458 \h </w:instrText>
          </w:r>
          <w:r>
            <w:fldChar w:fldCharType="separate"/>
          </w:r>
          <w:r>
            <w:t>25</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_Toc28817 </w:instrText>
          </w:r>
          <w:r>
            <w:rPr>
              <w:rFonts w:ascii="宋体" w:hAnsi="宋体"/>
              <w:bCs/>
              <w:lang w:val="zh-CN"/>
            </w:rPr>
            <w:fldChar w:fldCharType="separate"/>
          </w:r>
          <w:r>
            <w:rPr>
              <w:rFonts w:hint="eastAsia"/>
            </w:rPr>
            <w:t>第四章. 总体建设方案</w:t>
          </w:r>
          <w:r>
            <w:tab/>
          </w:r>
          <w:r>
            <w:fldChar w:fldCharType="begin"/>
          </w:r>
          <w:r>
            <w:instrText xml:space="preserve"> PAGEREF _Toc28817 \h </w:instrText>
          </w:r>
          <w:r>
            <w:fldChar w:fldCharType="separate"/>
          </w:r>
          <w:r>
            <w:t>27</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_Toc6043 </w:instrText>
          </w:r>
          <w:r>
            <w:rPr>
              <w:rFonts w:ascii="宋体" w:hAnsi="宋体"/>
              <w:bCs/>
              <w:lang w:val="zh-CN"/>
            </w:rPr>
            <w:fldChar w:fldCharType="separate"/>
          </w:r>
          <w:r>
            <w:rPr>
              <w:rFonts w:hint="eastAsia"/>
            </w:rPr>
            <w:t>4.1. 建设原则和策略</w:t>
          </w:r>
          <w:r>
            <w:tab/>
          </w:r>
          <w:r>
            <w:fldChar w:fldCharType="begin"/>
          </w:r>
          <w:r>
            <w:instrText xml:space="preserve"> PAGEREF _Toc6043 \h </w:instrText>
          </w:r>
          <w:r>
            <w:fldChar w:fldCharType="separate"/>
          </w:r>
          <w:r>
            <w:t>27</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_Toc12124 </w:instrText>
          </w:r>
          <w:r>
            <w:rPr>
              <w:rFonts w:ascii="宋体" w:hAnsi="宋体"/>
              <w:bCs/>
              <w:lang w:val="zh-CN"/>
            </w:rPr>
            <w:fldChar w:fldCharType="separate"/>
          </w:r>
          <w:r>
            <w:rPr>
              <w:rFonts w:hint="eastAsia"/>
            </w:rPr>
            <w:t xml:space="preserve">4.1.1. </w:t>
          </w:r>
          <w:r>
            <w:t>建设原则</w:t>
          </w:r>
          <w:r>
            <w:tab/>
          </w:r>
          <w:r>
            <w:fldChar w:fldCharType="begin"/>
          </w:r>
          <w:r>
            <w:instrText xml:space="preserve"> PAGEREF _Toc12124 \h </w:instrText>
          </w:r>
          <w:r>
            <w:fldChar w:fldCharType="separate"/>
          </w:r>
          <w:r>
            <w:t>27</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_Toc8044 </w:instrText>
          </w:r>
          <w:r>
            <w:rPr>
              <w:rFonts w:ascii="宋体" w:hAnsi="宋体"/>
              <w:bCs/>
              <w:lang w:val="zh-CN"/>
            </w:rPr>
            <w:fldChar w:fldCharType="separate"/>
          </w:r>
          <w:r>
            <w:rPr>
              <w:rFonts w:hint="eastAsia"/>
            </w:rPr>
            <w:t xml:space="preserve">4.1.2. </w:t>
          </w:r>
          <w:r>
            <w:t>建设策略</w:t>
          </w:r>
          <w:r>
            <w:tab/>
          </w:r>
          <w:r>
            <w:fldChar w:fldCharType="begin"/>
          </w:r>
          <w:r>
            <w:instrText xml:space="preserve"> PAGEREF _Toc8044 \h </w:instrText>
          </w:r>
          <w:r>
            <w:fldChar w:fldCharType="separate"/>
          </w:r>
          <w:r>
            <w:t>28</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_Toc20337 </w:instrText>
          </w:r>
          <w:r>
            <w:rPr>
              <w:rFonts w:ascii="宋体" w:hAnsi="宋体"/>
              <w:bCs/>
              <w:lang w:val="zh-CN"/>
            </w:rPr>
            <w:fldChar w:fldCharType="separate"/>
          </w:r>
          <w:r>
            <w:rPr>
              <w:rFonts w:hint="eastAsia"/>
            </w:rPr>
            <w:t>4.2. 总体目标与分期目标</w:t>
          </w:r>
          <w:r>
            <w:tab/>
          </w:r>
          <w:r>
            <w:fldChar w:fldCharType="begin"/>
          </w:r>
          <w:r>
            <w:instrText xml:space="preserve"> PAGEREF _Toc20337 \h </w:instrText>
          </w:r>
          <w:r>
            <w:fldChar w:fldCharType="separate"/>
          </w:r>
          <w:r>
            <w:t>29</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_Toc3125 </w:instrText>
          </w:r>
          <w:r>
            <w:rPr>
              <w:rFonts w:ascii="宋体" w:hAnsi="宋体"/>
              <w:bCs/>
              <w:lang w:val="zh-CN"/>
            </w:rPr>
            <w:fldChar w:fldCharType="separate"/>
          </w:r>
          <w:r>
            <w:rPr>
              <w:rFonts w:hint="eastAsia"/>
            </w:rPr>
            <w:t>4.2.1. 建设目标</w:t>
          </w:r>
          <w:r>
            <w:tab/>
          </w:r>
          <w:r>
            <w:fldChar w:fldCharType="begin"/>
          </w:r>
          <w:r>
            <w:instrText xml:space="preserve"> PAGEREF _Toc3125 \h </w:instrText>
          </w:r>
          <w:r>
            <w:fldChar w:fldCharType="separate"/>
          </w:r>
          <w:r>
            <w:t>29</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_Toc18211 </w:instrText>
          </w:r>
          <w:r>
            <w:rPr>
              <w:rFonts w:ascii="宋体" w:hAnsi="宋体"/>
              <w:bCs/>
              <w:lang w:val="zh-CN"/>
            </w:rPr>
            <w:fldChar w:fldCharType="separate"/>
          </w:r>
          <w:r>
            <w:rPr>
              <w:rFonts w:hint="eastAsia"/>
            </w:rPr>
            <w:t>4.2.2. 总体建设任务与分期建设内容</w:t>
          </w:r>
          <w:r>
            <w:tab/>
          </w:r>
          <w:r>
            <w:fldChar w:fldCharType="begin"/>
          </w:r>
          <w:r>
            <w:instrText xml:space="preserve"> PAGEREF _Toc18211 \h </w:instrText>
          </w:r>
          <w:r>
            <w:fldChar w:fldCharType="separate"/>
          </w:r>
          <w:r>
            <w:t>30</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_Toc31643 </w:instrText>
          </w:r>
          <w:r>
            <w:rPr>
              <w:rFonts w:ascii="宋体" w:hAnsi="宋体"/>
              <w:bCs/>
              <w:lang w:val="zh-CN"/>
            </w:rPr>
            <w:fldChar w:fldCharType="separate"/>
          </w:r>
          <w:r>
            <w:rPr>
              <w:rFonts w:hint="eastAsia"/>
            </w:rPr>
            <w:t>4.3. 总体设计方案</w:t>
          </w:r>
          <w:r>
            <w:tab/>
          </w:r>
          <w:r>
            <w:fldChar w:fldCharType="begin"/>
          </w:r>
          <w:r>
            <w:instrText xml:space="preserve"> PAGEREF _Toc31643 \h </w:instrText>
          </w:r>
          <w:r>
            <w:fldChar w:fldCharType="separate"/>
          </w:r>
          <w:r>
            <w:t>30</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_Toc17304 </w:instrText>
          </w:r>
          <w:r>
            <w:rPr>
              <w:rFonts w:ascii="宋体" w:hAnsi="宋体"/>
              <w:bCs/>
              <w:lang w:val="zh-CN"/>
            </w:rPr>
            <w:fldChar w:fldCharType="separate"/>
          </w:r>
          <w:r>
            <w:rPr>
              <w:rFonts w:hint="eastAsia"/>
            </w:rPr>
            <w:t>4.3.1. 整体架构</w:t>
          </w:r>
          <w:r>
            <w:tab/>
          </w:r>
          <w:r>
            <w:fldChar w:fldCharType="begin"/>
          </w:r>
          <w:r>
            <w:instrText xml:space="preserve"> PAGEREF _Toc17304 \h </w:instrText>
          </w:r>
          <w:r>
            <w:fldChar w:fldCharType="separate"/>
          </w:r>
          <w:r>
            <w:t>30</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_Toc15328 </w:instrText>
          </w:r>
          <w:r>
            <w:rPr>
              <w:rFonts w:ascii="宋体" w:hAnsi="宋体"/>
              <w:bCs/>
              <w:lang w:val="zh-CN"/>
            </w:rPr>
            <w:fldChar w:fldCharType="separate"/>
          </w:r>
          <w:r>
            <w:rPr>
              <w:rFonts w:hint="eastAsia"/>
            </w:rPr>
            <w:t>4.3.2. 应用架构</w:t>
          </w:r>
          <w:r>
            <w:tab/>
          </w:r>
          <w:r>
            <w:fldChar w:fldCharType="begin"/>
          </w:r>
          <w:r>
            <w:instrText xml:space="preserve"> PAGEREF _Toc15328 \h </w:instrText>
          </w:r>
          <w:r>
            <w:fldChar w:fldCharType="separate"/>
          </w:r>
          <w:r>
            <w:t>33</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_Toc8441 </w:instrText>
          </w:r>
          <w:r>
            <w:rPr>
              <w:rFonts w:ascii="宋体" w:hAnsi="宋体"/>
              <w:bCs/>
              <w:lang w:val="zh-CN"/>
            </w:rPr>
            <w:fldChar w:fldCharType="separate"/>
          </w:r>
          <w:r>
            <w:rPr>
              <w:rFonts w:hint="eastAsia"/>
            </w:rPr>
            <w:t>4.3.3. 关键技术</w:t>
          </w:r>
          <w:r>
            <w:tab/>
          </w:r>
          <w:r>
            <w:fldChar w:fldCharType="begin"/>
          </w:r>
          <w:r>
            <w:instrText xml:space="preserve"> PAGEREF _Toc8441 \h </w:instrText>
          </w:r>
          <w:r>
            <w:fldChar w:fldCharType="separate"/>
          </w:r>
          <w:r>
            <w:t>34</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_Toc3023 </w:instrText>
          </w:r>
          <w:r>
            <w:rPr>
              <w:rFonts w:ascii="宋体" w:hAnsi="宋体"/>
              <w:bCs/>
              <w:lang w:val="zh-CN"/>
            </w:rPr>
            <w:fldChar w:fldCharType="separate"/>
          </w:r>
          <w:r>
            <w:rPr>
              <w:rFonts w:hint="eastAsia"/>
            </w:rPr>
            <w:t>4.3.4. 国产化适配</w:t>
          </w:r>
          <w:r>
            <w:tab/>
          </w:r>
          <w:r>
            <w:fldChar w:fldCharType="begin"/>
          </w:r>
          <w:r>
            <w:instrText xml:space="preserve"> PAGEREF _Toc3023 \h </w:instrText>
          </w:r>
          <w:r>
            <w:fldChar w:fldCharType="separate"/>
          </w:r>
          <w:r>
            <w:t>35</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_Toc12576 </w:instrText>
          </w:r>
          <w:r>
            <w:rPr>
              <w:rFonts w:ascii="宋体" w:hAnsi="宋体"/>
              <w:bCs/>
              <w:lang w:val="zh-CN"/>
            </w:rPr>
            <w:fldChar w:fldCharType="separate"/>
          </w:r>
          <w:r>
            <w:rPr>
              <w:rFonts w:hint="eastAsia"/>
            </w:rPr>
            <w:t>第五章. 本期项目建设方案</w:t>
          </w:r>
          <w:r>
            <w:tab/>
          </w:r>
          <w:r>
            <w:fldChar w:fldCharType="begin"/>
          </w:r>
          <w:r>
            <w:instrText xml:space="preserve"> PAGEREF _Toc12576 \h </w:instrText>
          </w:r>
          <w:r>
            <w:fldChar w:fldCharType="separate"/>
          </w:r>
          <w:r>
            <w:t>36</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_Toc13094 </w:instrText>
          </w:r>
          <w:r>
            <w:rPr>
              <w:rFonts w:ascii="宋体" w:hAnsi="宋体"/>
              <w:bCs/>
              <w:lang w:val="zh-CN"/>
            </w:rPr>
            <w:fldChar w:fldCharType="separate"/>
          </w:r>
          <w:r>
            <w:rPr>
              <w:rFonts w:hint="eastAsia"/>
            </w:rPr>
            <w:t>5.1. 建设目标、规模与内容</w:t>
          </w:r>
          <w:r>
            <w:tab/>
          </w:r>
          <w:r>
            <w:fldChar w:fldCharType="begin"/>
          </w:r>
          <w:r>
            <w:instrText xml:space="preserve"> PAGEREF _Toc13094 \h </w:instrText>
          </w:r>
          <w:r>
            <w:fldChar w:fldCharType="separate"/>
          </w:r>
          <w:r>
            <w:t>36</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_Toc11477 </w:instrText>
          </w:r>
          <w:r>
            <w:rPr>
              <w:rFonts w:ascii="宋体" w:hAnsi="宋体"/>
              <w:bCs/>
              <w:lang w:val="zh-CN"/>
            </w:rPr>
            <w:fldChar w:fldCharType="separate"/>
          </w:r>
          <w:r>
            <w:rPr>
              <w:rFonts w:hint="eastAsia"/>
            </w:rPr>
            <w:t>5.2. 建设内容</w:t>
          </w:r>
          <w:r>
            <w:tab/>
          </w:r>
          <w:r>
            <w:fldChar w:fldCharType="begin"/>
          </w:r>
          <w:r>
            <w:instrText xml:space="preserve"> PAGEREF _Toc11477 \h </w:instrText>
          </w:r>
          <w:r>
            <w:fldChar w:fldCharType="separate"/>
          </w:r>
          <w:r>
            <w:t>36</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_Toc32624 </w:instrText>
          </w:r>
          <w:r>
            <w:rPr>
              <w:rFonts w:ascii="宋体" w:hAnsi="宋体"/>
              <w:bCs/>
              <w:lang w:val="zh-CN"/>
            </w:rPr>
            <w:fldChar w:fldCharType="separate"/>
          </w:r>
          <w:r>
            <w:rPr>
              <w:rFonts w:hint="eastAsia"/>
            </w:rPr>
            <w:t>5.3. 标准规范建设内容</w:t>
          </w:r>
          <w:r>
            <w:tab/>
          </w:r>
          <w:r>
            <w:fldChar w:fldCharType="begin"/>
          </w:r>
          <w:r>
            <w:instrText xml:space="preserve"> PAGEREF _Toc32624 \h </w:instrText>
          </w:r>
          <w:r>
            <w:fldChar w:fldCharType="separate"/>
          </w:r>
          <w:r>
            <w:t>38</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_Toc19419 </w:instrText>
          </w:r>
          <w:r>
            <w:rPr>
              <w:rFonts w:ascii="宋体" w:hAnsi="宋体"/>
              <w:bCs/>
              <w:lang w:val="zh-CN"/>
            </w:rPr>
            <w:fldChar w:fldCharType="separate"/>
          </w:r>
          <w:r>
            <w:rPr>
              <w:rFonts w:hint="eastAsia"/>
            </w:rPr>
            <w:t>5.3.1. 标准规范体系</w:t>
          </w:r>
          <w:r>
            <w:tab/>
          </w:r>
          <w:r>
            <w:fldChar w:fldCharType="begin"/>
          </w:r>
          <w:r>
            <w:instrText xml:space="preserve"> PAGEREF _Toc19419 \h </w:instrText>
          </w:r>
          <w:r>
            <w:fldChar w:fldCharType="separate"/>
          </w:r>
          <w:r>
            <w:t>39</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_Toc20570 </w:instrText>
          </w:r>
          <w:r>
            <w:rPr>
              <w:rFonts w:ascii="宋体" w:hAnsi="宋体"/>
              <w:bCs/>
              <w:lang w:val="zh-CN"/>
            </w:rPr>
            <w:fldChar w:fldCharType="separate"/>
          </w:r>
          <w:r>
            <w:rPr>
              <w:rFonts w:hint="eastAsia"/>
            </w:rPr>
            <w:t>5.3.2. 标准规范要求</w:t>
          </w:r>
          <w:r>
            <w:tab/>
          </w:r>
          <w:r>
            <w:fldChar w:fldCharType="begin"/>
          </w:r>
          <w:r>
            <w:instrText xml:space="preserve"> PAGEREF _Toc20570 \h </w:instrText>
          </w:r>
          <w:r>
            <w:fldChar w:fldCharType="separate"/>
          </w:r>
          <w:r>
            <w:t>39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_Toc8782 </w:instrText>
          </w:r>
          <w:r>
            <w:rPr>
              <w:rFonts w:ascii="宋体" w:hAnsi="宋体"/>
              <w:bCs/>
              <w:lang w:val="zh-CN"/>
            </w:rPr>
            <w:fldChar w:fldCharType="separate"/>
          </w:r>
          <w:r>
            <w:rPr>
              <w:rFonts w:hint="eastAsia"/>
            </w:rPr>
            <w:t>5.4. 应用支撑平台和应用系统建设方案</w:t>
          </w:r>
          <w:r>
            <w:tab/>
          </w:r>
          <w:r>
            <w:fldChar w:fldCharType="begin"/>
          </w:r>
          <w:r>
            <w:instrText xml:space="preserve"> PAGEREF _Toc8782 \h </w:instrText>
          </w:r>
          <w:r>
            <w:fldChar w:fldCharType="separate"/>
          </w:r>
          <w:r>
            <w:t>43</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_Toc30733 </w:instrText>
          </w:r>
          <w:r>
            <w:rPr>
              <w:rFonts w:ascii="宋体" w:hAnsi="宋体"/>
              <w:bCs/>
              <w:lang w:val="zh-CN"/>
            </w:rPr>
            <w:fldChar w:fldCharType="separate"/>
          </w:r>
          <w:r>
            <w:rPr>
              <w:rFonts w:hint="eastAsia"/>
            </w:rPr>
            <w:t>5.4.1. 数据质量综合管理平台</w:t>
          </w:r>
          <w:r>
            <w:tab/>
          </w:r>
          <w:r>
            <w:fldChar w:fldCharType="begin"/>
          </w:r>
          <w:r>
            <w:instrText xml:space="preserve"> PAGEREF _Toc30733 \h </w:instrText>
          </w:r>
          <w:r>
            <w:fldChar w:fldCharType="separate"/>
          </w:r>
          <w:r>
            <w:t>43</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_Toc5678 </w:instrText>
          </w:r>
          <w:r>
            <w:rPr>
              <w:rFonts w:ascii="宋体" w:hAnsi="宋体"/>
              <w:bCs/>
              <w:lang w:val="zh-CN"/>
            </w:rPr>
            <w:fldChar w:fldCharType="separate"/>
          </w:r>
          <w:r>
            <w:rPr>
              <w:rFonts w:hint="eastAsia"/>
            </w:rPr>
            <w:t>5.4.2. 监管大脑主题库应用平台</w:t>
          </w:r>
          <w:r>
            <w:tab/>
          </w:r>
          <w:r>
            <w:fldChar w:fldCharType="begin"/>
          </w:r>
          <w:r>
            <w:instrText xml:space="preserve"> PAGEREF _Toc5678 \h </w:instrText>
          </w:r>
          <w:r>
            <w:fldChar w:fldCharType="separate"/>
          </w:r>
          <w:r>
            <w:t>94</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_Toc5918 </w:instrText>
          </w:r>
          <w:r>
            <w:rPr>
              <w:rFonts w:ascii="宋体" w:hAnsi="宋体"/>
              <w:bCs/>
              <w:lang w:val="zh-CN"/>
            </w:rPr>
            <w:fldChar w:fldCharType="separate"/>
          </w:r>
          <w:r>
            <w:rPr>
              <w:rFonts w:hint="eastAsia"/>
            </w:rPr>
            <w:t>5.4.3. 证照库平台</w:t>
          </w:r>
          <w:r>
            <w:tab/>
          </w:r>
          <w:r>
            <w:fldChar w:fldCharType="begin"/>
          </w:r>
          <w:r>
            <w:instrText xml:space="preserve"> PAGEREF _Toc5918 \h </w:instrText>
          </w:r>
          <w:r>
            <w:fldChar w:fldCharType="separate"/>
          </w:r>
          <w:r>
            <w:t>147</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_Toc5642 </w:instrText>
          </w:r>
          <w:r>
            <w:rPr>
              <w:rFonts w:ascii="宋体" w:hAnsi="宋体"/>
              <w:bCs/>
              <w:lang w:val="zh-CN"/>
            </w:rPr>
            <w:fldChar w:fldCharType="separate"/>
          </w:r>
          <w:r>
            <w:rPr>
              <w:rFonts w:hint="eastAsia"/>
            </w:rPr>
            <w:t>5.5. 政务云I</w:t>
          </w:r>
          <w:r>
            <w:t>T</w:t>
          </w:r>
          <w:r>
            <w:rPr>
              <w:rFonts w:hint="eastAsia"/>
            </w:rPr>
            <w:t>资源需求</w:t>
          </w:r>
          <w:r>
            <w:tab/>
          </w:r>
          <w:r>
            <w:fldChar w:fldCharType="begin"/>
          </w:r>
          <w:r>
            <w:instrText xml:space="preserve"> PAGEREF _Toc5642 \h </w:instrText>
          </w:r>
          <w:r>
            <w:fldChar w:fldCharType="separate"/>
          </w:r>
          <w:r>
            <w:t>151</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_Toc6399 </w:instrText>
          </w:r>
          <w:r>
            <w:rPr>
              <w:rFonts w:ascii="宋体" w:hAnsi="宋体"/>
              <w:bCs/>
              <w:lang w:val="zh-CN"/>
            </w:rPr>
            <w:fldChar w:fldCharType="separate"/>
          </w:r>
          <w:r>
            <w:rPr>
              <w:rFonts w:hint="eastAsia"/>
            </w:rPr>
            <w:t>5.6. 网络系统建设方案</w:t>
          </w:r>
          <w:r>
            <w:tab/>
          </w:r>
          <w:r>
            <w:fldChar w:fldCharType="begin"/>
          </w:r>
          <w:r>
            <w:instrText xml:space="preserve"> PAGEREF _Toc6399 \h </w:instrText>
          </w:r>
          <w:r>
            <w:fldChar w:fldCharType="separate"/>
          </w:r>
          <w:r>
            <w:t>155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_Toc16930 </w:instrText>
          </w:r>
          <w:r>
            <w:rPr>
              <w:rFonts w:ascii="宋体" w:hAnsi="宋体"/>
              <w:bCs/>
              <w:lang w:val="zh-CN"/>
            </w:rPr>
            <w:fldChar w:fldCharType="separate"/>
          </w:r>
          <w:r>
            <w:rPr>
              <w:rFonts w:hint="eastAsia"/>
            </w:rPr>
            <w:t>5.7. 安全系统建设方案</w:t>
          </w:r>
          <w:r>
            <w:tab/>
          </w:r>
          <w:r>
            <w:fldChar w:fldCharType="begin"/>
          </w:r>
          <w:r>
            <w:instrText xml:space="preserve"> PAGEREF _Toc16930 \h </w:instrText>
          </w:r>
          <w:r>
            <w:fldChar w:fldCharType="separate"/>
          </w:r>
          <w:r>
            <w:t>155</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_Toc23847 </w:instrText>
          </w:r>
          <w:r>
            <w:rPr>
              <w:rFonts w:ascii="宋体" w:hAnsi="宋体"/>
              <w:bCs/>
              <w:lang w:val="zh-CN"/>
            </w:rPr>
            <w:fldChar w:fldCharType="separate"/>
          </w:r>
          <w:r>
            <w:rPr>
              <w:rFonts w:hint="eastAsia"/>
            </w:rPr>
            <w:t>5.7.1. 等保定级方案</w:t>
          </w:r>
          <w:r>
            <w:tab/>
          </w:r>
          <w:r>
            <w:fldChar w:fldCharType="begin"/>
          </w:r>
          <w:r>
            <w:instrText xml:space="preserve"> PAGEREF _Toc23847 \h </w:instrText>
          </w:r>
          <w:r>
            <w:fldChar w:fldCharType="separate"/>
          </w:r>
          <w:r>
            <w:t>155</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_Toc890 </w:instrText>
          </w:r>
          <w:r>
            <w:rPr>
              <w:rFonts w:ascii="宋体" w:hAnsi="宋体"/>
              <w:bCs/>
              <w:lang w:val="zh-CN"/>
            </w:rPr>
            <w:fldChar w:fldCharType="separate"/>
          </w:r>
          <w:r>
            <w:rPr>
              <w:rFonts w:hint="eastAsia"/>
            </w:rPr>
            <w:t>5.7.2. 系统安全设计方案</w:t>
          </w:r>
          <w:r>
            <w:tab/>
          </w:r>
          <w:r>
            <w:fldChar w:fldCharType="begin"/>
          </w:r>
          <w:r>
            <w:instrText xml:space="preserve"> PAGEREF _Toc890 \h </w:instrText>
          </w:r>
          <w:r>
            <w:fldChar w:fldCharType="separate"/>
          </w:r>
          <w:r>
            <w:t>155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_Toc14921 </w:instrText>
          </w:r>
          <w:r>
            <w:rPr>
              <w:rFonts w:ascii="宋体" w:hAnsi="宋体"/>
              <w:bCs/>
              <w:lang w:val="zh-CN"/>
            </w:rPr>
            <w:fldChar w:fldCharType="separate"/>
          </w:r>
          <w:r>
            <w:rPr>
              <w:rFonts w:hint="eastAsia"/>
            </w:rPr>
            <w:t>5.8. 运行维护系统建设方案</w:t>
          </w:r>
          <w:r>
            <w:tab/>
          </w:r>
          <w:r>
            <w:fldChar w:fldCharType="begin"/>
          </w:r>
          <w:r>
            <w:instrText xml:space="preserve"> PAGEREF _Toc14921 \h </w:instrText>
          </w:r>
          <w:r>
            <w:fldChar w:fldCharType="separate"/>
          </w:r>
          <w:r>
            <w:t>156</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_Toc10424 </w:instrText>
          </w:r>
          <w:r>
            <w:rPr>
              <w:rFonts w:ascii="宋体" w:hAnsi="宋体"/>
              <w:bCs/>
              <w:lang w:val="zh-CN"/>
            </w:rPr>
            <w:fldChar w:fldCharType="separate"/>
          </w:r>
          <w:r>
            <w:rPr>
              <w:rFonts w:hint="eastAsia"/>
            </w:rPr>
            <w:t>5.8.1. 运行维护管理原则</w:t>
          </w:r>
          <w:r>
            <w:tab/>
          </w:r>
          <w:r>
            <w:fldChar w:fldCharType="begin"/>
          </w:r>
          <w:r>
            <w:instrText xml:space="preserve"> PAGEREF _Toc10424 \h </w:instrText>
          </w:r>
          <w:r>
            <w:fldChar w:fldCharType="separate"/>
          </w:r>
          <w:r>
            <w:t>156</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_Toc13381 </w:instrText>
          </w:r>
          <w:r>
            <w:rPr>
              <w:rFonts w:ascii="宋体" w:hAnsi="宋体"/>
              <w:bCs/>
              <w:lang w:val="zh-CN"/>
            </w:rPr>
            <w:fldChar w:fldCharType="separate"/>
          </w:r>
          <w:r>
            <w:rPr>
              <w:rFonts w:hint="eastAsia"/>
            </w:rPr>
            <w:t>5.8.2. 建立运行维护管理机构和保障机制</w:t>
          </w:r>
          <w:r>
            <w:tab/>
          </w:r>
          <w:r>
            <w:fldChar w:fldCharType="begin"/>
          </w:r>
          <w:r>
            <w:instrText xml:space="preserve"> PAGEREF _Toc13381 \h </w:instrText>
          </w:r>
          <w:r>
            <w:fldChar w:fldCharType="separate"/>
          </w:r>
          <w:r>
            <w:t>156</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_Toc7876 </w:instrText>
          </w:r>
          <w:r>
            <w:rPr>
              <w:rFonts w:ascii="宋体" w:hAnsi="宋体"/>
              <w:bCs/>
              <w:lang w:val="zh-CN"/>
            </w:rPr>
            <w:fldChar w:fldCharType="separate"/>
          </w:r>
          <w:r>
            <w:rPr>
              <w:rFonts w:hint="eastAsia"/>
            </w:rPr>
            <w:t>5.8.3. 运行维护管理内容</w:t>
          </w:r>
          <w:r>
            <w:tab/>
          </w:r>
          <w:r>
            <w:fldChar w:fldCharType="begin"/>
          </w:r>
          <w:r>
            <w:instrText xml:space="preserve"> PAGEREF _Toc7876 \h </w:instrText>
          </w:r>
          <w:r>
            <w:fldChar w:fldCharType="separate"/>
          </w:r>
          <w:r>
            <w:t>157</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_Toc17091 </w:instrText>
          </w:r>
          <w:r>
            <w:rPr>
              <w:rFonts w:ascii="宋体" w:hAnsi="宋体"/>
              <w:bCs/>
              <w:lang w:val="zh-CN"/>
            </w:rPr>
            <w:fldChar w:fldCharType="separate"/>
          </w:r>
          <w:r>
            <w:rPr>
              <w:rFonts w:hint="eastAsia"/>
            </w:rPr>
            <w:t>5.8.4. 软件平台运行维护规划</w:t>
          </w:r>
          <w:r>
            <w:tab/>
          </w:r>
          <w:r>
            <w:fldChar w:fldCharType="begin"/>
          </w:r>
          <w:r>
            <w:instrText xml:space="preserve"> PAGEREF _Toc17091 \h </w:instrText>
          </w:r>
          <w:r>
            <w:fldChar w:fldCharType="separate"/>
          </w:r>
          <w:r>
            <w:t>157</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_Toc19325 </w:instrText>
          </w:r>
          <w:r>
            <w:rPr>
              <w:rFonts w:ascii="宋体" w:hAnsi="宋体"/>
              <w:bCs/>
              <w:lang w:val="zh-CN"/>
            </w:rPr>
            <w:fldChar w:fldCharType="separate"/>
          </w:r>
          <w:r>
            <w:rPr>
              <w:rFonts w:hint="eastAsia"/>
            </w:rPr>
            <w:t>5.8.5. 安全保障系统运行维护规划</w:t>
          </w:r>
          <w:r>
            <w:tab/>
          </w:r>
          <w:r>
            <w:fldChar w:fldCharType="begin"/>
          </w:r>
          <w:r>
            <w:instrText xml:space="preserve"> PAGEREF _Toc19325 \h </w:instrText>
          </w:r>
          <w:r>
            <w:fldChar w:fldCharType="separate"/>
          </w:r>
          <w:r>
            <w:t>159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_Toc13725 </w:instrText>
          </w:r>
          <w:r>
            <w:rPr>
              <w:rFonts w:ascii="宋体" w:hAnsi="宋体"/>
              <w:bCs/>
              <w:lang w:val="zh-CN"/>
            </w:rPr>
            <w:fldChar w:fldCharType="separate"/>
          </w:r>
          <w:r>
            <w:rPr>
              <w:rFonts w:hint="eastAsia"/>
            </w:rPr>
            <w:t>5.9. 机房及配套工程建设方案</w:t>
          </w:r>
          <w:r>
            <w:tab/>
          </w:r>
          <w:r>
            <w:fldChar w:fldCharType="begin"/>
          </w:r>
          <w:r>
            <w:instrText xml:space="preserve"> PAGEREF _Toc13725 \h </w:instrText>
          </w:r>
          <w:r>
            <w:fldChar w:fldCharType="separate"/>
          </w:r>
          <w:r>
            <w:t>159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_Toc769 </w:instrText>
          </w:r>
          <w:r>
            <w:rPr>
              <w:rFonts w:ascii="宋体" w:hAnsi="宋体"/>
              <w:bCs/>
              <w:lang w:val="zh-CN"/>
            </w:rPr>
            <w:fldChar w:fldCharType="separate"/>
          </w:r>
          <w:r>
            <w:rPr>
              <w:rFonts w:hint="eastAsia"/>
            </w:rPr>
            <w:t>5.10. 密码应用方案</w:t>
          </w:r>
          <w:r>
            <w:tab/>
          </w:r>
          <w:r>
            <w:fldChar w:fldCharType="begin"/>
          </w:r>
          <w:r>
            <w:instrText xml:space="preserve"> PAGEREF _Toc769 \h </w:instrText>
          </w:r>
          <w:r>
            <w:fldChar w:fldCharType="separate"/>
          </w:r>
          <w:r>
            <w:t>159</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_Toc28024 </w:instrText>
          </w:r>
          <w:r>
            <w:rPr>
              <w:rFonts w:ascii="宋体" w:hAnsi="宋体"/>
              <w:bCs/>
              <w:lang w:val="zh-CN"/>
            </w:rPr>
            <w:fldChar w:fldCharType="separate"/>
          </w:r>
          <w:r>
            <w:rPr>
              <w:rFonts w:hint="eastAsia"/>
            </w:rPr>
            <w:t>5.10.1. 安全管理方案</w:t>
          </w:r>
          <w:r>
            <w:tab/>
          </w:r>
          <w:r>
            <w:fldChar w:fldCharType="begin"/>
          </w:r>
          <w:r>
            <w:instrText xml:space="preserve"> PAGEREF _Toc28024 \h </w:instrText>
          </w:r>
          <w:r>
            <w:fldChar w:fldCharType="separate"/>
          </w:r>
          <w:r>
            <w:t>159</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_Toc5215 </w:instrText>
          </w:r>
          <w:r>
            <w:rPr>
              <w:rFonts w:ascii="宋体" w:hAnsi="宋体"/>
              <w:bCs/>
              <w:lang w:val="zh-CN"/>
            </w:rPr>
            <w:fldChar w:fldCharType="separate"/>
          </w:r>
          <w:r>
            <w:rPr>
              <w:rFonts w:hint="eastAsia"/>
            </w:rPr>
            <w:t>5.10.2. 实施保障方案</w:t>
          </w:r>
          <w:r>
            <w:tab/>
          </w:r>
          <w:r>
            <w:fldChar w:fldCharType="begin"/>
          </w:r>
          <w:r>
            <w:instrText xml:space="preserve"> PAGEREF _Toc5215 \h </w:instrText>
          </w:r>
          <w:r>
            <w:fldChar w:fldCharType="separate"/>
          </w:r>
          <w:r>
            <w:t>161</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_Toc4665 </w:instrText>
          </w:r>
          <w:r>
            <w:rPr>
              <w:rFonts w:ascii="宋体" w:hAnsi="宋体"/>
              <w:bCs/>
              <w:lang w:val="zh-CN"/>
            </w:rPr>
            <w:fldChar w:fldCharType="separate"/>
          </w:r>
          <w:r>
            <w:rPr>
              <w:rFonts w:hint="eastAsia"/>
            </w:rPr>
            <w:t>第六章. 政务信息资源共享</w:t>
          </w:r>
          <w:r>
            <w:tab/>
          </w:r>
          <w:r>
            <w:fldChar w:fldCharType="begin"/>
          </w:r>
          <w:r>
            <w:instrText xml:space="preserve"> PAGEREF _Toc4665 \h </w:instrText>
          </w:r>
          <w:r>
            <w:fldChar w:fldCharType="separate"/>
          </w:r>
          <w:r>
            <w:t>163</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_Toc4265 </w:instrText>
          </w:r>
          <w:r>
            <w:rPr>
              <w:rFonts w:ascii="宋体" w:hAnsi="宋体"/>
              <w:bCs/>
              <w:lang w:val="zh-CN"/>
            </w:rPr>
            <w:fldChar w:fldCharType="separate"/>
          </w:r>
          <w:r>
            <w:rPr>
              <w:rFonts w:hint="eastAsia"/>
            </w:rPr>
            <w:t>6.1. 政务信息资源共享方式</w:t>
          </w:r>
          <w:r>
            <w:tab/>
          </w:r>
          <w:r>
            <w:fldChar w:fldCharType="begin"/>
          </w:r>
          <w:r>
            <w:instrText xml:space="preserve"> PAGEREF _Toc4265 \h </w:instrText>
          </w:r>
          <w:r>
            <w:fldChar w:fldCharType="separate"/>
          </w:r>
          <w:r>
            <w:t>163</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_Toc32332 </w:instrText>
          </w:r>
          <w:r>
            <w:rPr>
              <w:rFonts w:ascii="宋体" w:hAnsi="宋体"/>
              <w:bCs/>
              <w:lang w:val="zh-CN"/>
            </w:rPr>
            <w:fldChar w:fldCharType="separate"/>
          </w:r>
          <w:r>
            <w:rPr>
              <w:rFonts w:hint="eastAsia"/>
            </w:rPr>
            <w:t>6.2. 信息资源共享目录</w:t>
          </w:r>
          <w:r>
            <w:tab/>
          </w:r>
          <w:r>
            <w:fldChar w:fldCharType="begin"/>
          </w:r>
          <w:r>
            <w:instrText xml:space="preserve"> PAGEREF _Toc32332 \h </w:instrText>
          </w:r>
          <w:r>
            <w:fldChar w:fldCharType="separate"/>
          </w:r>
          <w:r>
            <w:t>163</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_Toc18367 </w:instrText>
          </w:r>
          <w:r>
            <w:rPr>
              <w:rFonts w:ascii="宋体" w:hAnsi="宋体"/>
              <w:bCs/>
              <w:lang w:val="zh-CN"/>
            </w:rPr>
            <w:fldChar w:fldCharType="separate"/>
          </w:r>
          <w:r>
            <w:rPr>
              <w:rFonts w:hint="eastAsia"/>
            </w:rPr>
            <w:t>6.3. 政务资源信息共享清单</w:t>
          </w:r>
          <w:r>
            <w:tab/>
          </w:r>
          <w:r>
            <w:fldChar w:fldCharType="begin"/>
          </w:r>
          <w:r>
            <w:instrText xml:space="preserve"> PAGEREF _Toc18367 \h </w:instrText>
          </w:r>
          <w:r>
            <w:fldChar w:fldCharType="separate"/>
          </w:r>
          <w:r>
            <w:t>164</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_Toc3268 </w:instrText>
          </w:r>
          <w:r>
            <w:rPr>
              <w:rFonts w:ascii="宋体" w:hAnsi="宋体"/>
              <w:bCs/>
              <w:lang w:val="zh-CN"/>
            </w:rPr>
            <w:fldChar w:fldCharType="separate"/>
          </w:r>
          <w:r>
            <w:rPr>
              <w:rFonts w:hint="eastAsia"/>
            </w:rPr>
            <w:t>6.4. 与省一体化平台对接事项</w:t>
          </w:r>
          <w:r>
            <w:tab/>
          </w:r>
          <w:r>
            <w:fldChar w:fldCharType="begin"/>
          </w:r>
          <w:r>
            <w:instrText xml:space="preserve"> PAGEREF _Toc3268 \h </w:instrText>
          </w:r>
          <w:r>
            <w:fldChar w:fldCharType="separate"/>
          </w:r>
          <w:r>
            <w:t>173</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_Toc4171 </w:instrText>
          </w:r>
          <w:r>
            <w:rPr>
              <w:rFonts w:ascii="宋体" w:hAnsi="宋体"/>
              <w:bCs/>
              <w:lang w:val="zh-CN"/>
            </w:rPr>
            <w:fldChar w:fldCharType="separate"/>
          </w:r>
          <w:r>
            <w:rPr>
              <w:rFonts w:hint="eastAsia"/>
            </w:rPr>
            <w:t>6.5. 与省“互联网+监管”系统对接</w:t>
          </w:r>
          <w:r>
            <w:tab/>
          </w:r>
          <w:r>
            <w:fldChar w:fldCharType="begin"/>
          </w:r>
          <w:r>
            <w:instrText xml:space="preserve"> PAGEREF _Toc4171 \h </w:instrText>
          </w:r>
          <w:r>
            <w:fldChar w:fldCharType="separate"/>
          </w:r>
          <w:r>
            <w:t>173</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_Toc10722 </w:instrText>
          </w:r>
          <w:r>
            <w:rPr>
              <w:rFonts w:ascii="宋体" w:hAnsi="宋体"/>
              <w:bCs/>
              <w:lang w:val="zh-CN"/>
            </w:rPr>
            <w:fldChar w:fldCharType="separate"/>
          </w:r>
          <w:r>
            <w:rPr>
              <w:rFonts w:hint="eastAsia"/>
            </w:rPr>
            <w:t>6.6. 与</w:t>
          </w:r>
          <w:r>
            <w:t>“全省事”对接</w:t>
          </w:r>
          <w:r>
            <w:tab/>
          </w:r>
          <w:r>
            <w:fldChar w:fldCharType="begin"/>
          </w:r>
          <w:r>
            <w:instrText xml:space="preserve"> PAGEREF _Toc10722 \h </w:instrText>
          </w:r>
          <w:r>
            <w:fldChar w:fldCharType="separate"/>
          </w:r>
          <w:r>
            <w:t>173</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_Toc23751 </w:instrText>
          </w:r>
          <w:r>
            <w:rPr>
              <w:rFonts w:ascii="宋体" w:hAnsi="宋体"/>
              <w:bCs/>
              <w:lang w:val="zh-CN"/>
            </w:rPr>
            <w:fldChar w:fldCharType="separate"/>
          </w:r>
          <w:r>
            <w:rPr>
              <w:rFonts w:hint="eastAsia"/>
            </w:rPr>
            <w:t xml:space="preserve">第七章. </w:t>
          </w:r>
          <w:r>
            <w:t>项目招标方案</w:t>
          </w:r>
          <w:r>
            <w:tab/>
          </w:r>
          <w:r>
            <w:fldChar w:fldCharType="begin"/>
          </w:r>
          <w:r>
            <w:instrText xml:space="preserve"> PAGEREF _Toc23751 \h </w:instrText>
          </w:r>
          <w:r>
            <w:fldChar w:fldCharType="separate"/>
          </w:r>
          <w:r>
            <w:t>174</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_Toc16526 </w:instrText>
          </w:r>
          <w:r>
            <w:rPr>
              <w:rFonts w:ascii="宋体" w:hAnsi="宋体"/>
              <w:bCs/>
              <w:lang w:val="zh-CN"/>
            </w:rPr>
            <w:fldChar w:fldCharType="separate"/>
          </w:r>
          <w:r>
            <w:rPr>
              <w:rFonts w:hint="eastAsia"/>
            </w:rPr>
            <w:t xml:space="preserve">7.1. </w:t>
          </w:r>
          <w:r>
            <w:t>招标范围</w:t>
          </w:r>
          <w:r>
            <w:tab/>
          </w:r>
          <w:r>
            <w:fldChar w:fldCharType="begin"/>
          </w:r>
          <w:r>
            <w:instrText xml:space="preserve"> PAGEREF _Toc16526 \h </w:instrText>
          </w:r>
          <w:r>
            <w:fldChar w:fldCharType="separate"/>
          </w:r>
          <w:r>
            <w:t>174</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_Toc28034 </w:instrText>
          </w:r>
          <w:r>
            <w:rPr>
              <w:rFonts w:ascii="宋体" w:hAnsi="宋体"/>
              <w:bCs/>
              <w:lang w:val="zh-CN"/>
            </w:rPr>
            <w:fldChar w:fldCharType="separate"/>
          </w:r>
          <w:r>
            <w:rPr>
              <w:rFonts w:hint="eastAsia"/>
            </w:rPr>
            <w:t xml:space="preserve">7.2. </w:t>
          </w:r>
          <w:r>
            <w:t>招标组织形式与招标方式</w:t>
          </w:r>
          <w:r>
            <w:tab/>
          </w:r>
          <w:r>
            <w:fldChar w:fldCharType="begin"/>
          </w:r>
          <w:r>
            <w:instrText xml:space="preserve"> PAGEREF _Toc28034 \h </w:instrText>
          </w:r>
          <w:r>
            <w:fldChar w:fldCharType="separate"/>
          </w:r>
          <w:r>
            <w:t>174</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_Toc12286 </w:instrText>
          </w:r>
          <w:r>
            <w:rPr>
              <w:rFonts w:ascii="宋体" w:hAnsi="宋体"/>
              <w:bCs/>
              <w:lang w:val="zh-CN"/>
            </w:rPr>
            <w:fldChar w:fldCharType="separate"/>
          </w:r>
          <w:r>
            <w:rPr>
              <w:rFonts w:hint="eastAsia"/>
            </w:rPr>
            <w:t xml:space="preserve">第八章. </w:t>
          </w:r>
          <w:r>
            <w:t>环保、消防、职业安全和卫生</w:t>
          </w:r>
          <w:r>
            <w:tab/>
          </w:r>
          <w:r>
            <w:fldChar w:fldCharType="begin"/>
          </w:r>
          <w:r>
            <w:instrText xml:space="preserve"> PAGEREF _Toc12286 \h </w:instrText>
          </w:r>
          <w:r>
            <w:fldChar w:fldCharType="separate"/>
          </w:r>
          <w:r>
            <w:t>175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_Toc22999 </w:instrText>
          </w:r>
          <w:r>
            <w:rPr>
              <w:rFonts w:ascii="宋体" w:hAnsi="宋体"/>
              <w:bCs/>
              <w:lang w:val="zh-CN"/>
            </w:rPr>
            <w:fldChar w:fldCharType="separate"/>
          </w:r>
          <w:r>
            <w:rPr>
              <w:rFonts w:hint="eastAsia"/>
            </w:rPr>
            <w:t>8.1. 环境影响及保护措施</w:t>
          </w:r>
          <w:r>
            <w:tab/>
          </w:r>
          <w:r>
            <w:fldChar w:fldCharType="begin"/>
          </w:r>
          <w:r>
            <w:instrText xml:space="preserve"> PAGEREF _Toc22999 \h </w:instrText>
          </w:r>
          <w:r>
            <w:fldChar w:fldCharType="separate"/>
          </w:r>
          <w:r>
            <w:t>175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_Toc7716 </w:instrText>
          </w:r>
          <w:r>
            <w:rPr>
              <w:rFonts w:ascii="宋体" w:hAnsi="宋体"/>
              <w:bCs/>
              <w:lang w:val="zh-CN"/>
            </w:rPr>
            <w:fldChar w:fldCharType="separate"/>
          </w:r>
          <w:r>
            <w:rPr>
              <w:rFonts w:hint="eastAsia"/>
            </w:rPr>
            <w:t>8.2. 环境要求</w:t>
          </w:r>
          <w:r>
            <w:tab/>
          </w:r>
          <w:r>
            <w:fldChar w:fldCharType="begin"/>
          </w:r>
          <w:r>
            <w:instrText xml:space="preserve"> PAGEREF _Toc7716 \h </w:instrText>
          </w:r>
          <w:r>
            <w:fldChar w:fldCharType="separate"/>
          </w:r>
          <w:r>
            <w:t>175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_Toc3492 </w:instrText>
          </w:r>
          <w:r>
            <w:rPr>
              <w:rFonts w:ascii="宋体" w:hAnsi="宋体"/>
              <w:bCs/>
              <w:lang w:val="zh-CN"/>
            </w:rPr>
            <w:fldChar w:fldCharType="separate"/>
          </w:r>
          <w:r>
            <w:rPr>
              <w:rFonts w:hint="eastAsia"/>
            </w:rPr>
            <w:t>8.3. 环保措施</w:t>
          </w:r>
          <w:r>
            <w:tab/>
          </w:r>
          <w:r>
            <w:fldChar w:fldCharType="begin"/>
          </w:r>
          <w:r>
            <w:instrText xml:space="preserve"> PAGEREF _Toc3492 \h </w:instrText>
          </w:r>
          <w:r>
            <w:fldChar w:fldCharType="separate"/>
          </w:r>
          <w:r>
            <w:t>175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_Toc17433 </w:instrText>
          </w:r>
          <w:r>
            <w:rPr>
              <w:rFonts w:ascii="宋体" w:hAnsi="宋体"/>
              <w:bCs/>
              <w:lang w:val="zh-CN"/>
            </w:rPr>
            <w:fldChar w:fldCharType="separate"/>
          </w:r>
          <w:r>
            <w:rPr>
              <w:rFonts w:hint="eastAsia"/>
            </w:rPr>
            <w:t>8.4. 职业安全和卫生措施</w:t>
          </w:r>
          <w:r>
            <w:tab/>
          </w:r>
          <w:r>
            <w:fldChar w:fldCharType="begin"/>
          </w:r>
          <w:r>
            <w:instrText xml:space="preserve"> PAGEREF _Toc17433 \h </w:instrText>
          </w:r>
          <w:r>
            <w:fldChar w:fldCharType="separate"/>
          </w:r>
          <w:r>
            <w:t>175</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_Toc9033 </w:instrText>
          </w:r>
          <w:r>
            <w:rPr>
              <w:rFonts w:ascii="宋体" w:hAnsi="宋体"/>
              <w:bCs/>
              <w:lang w:val="zh-CN"/>
            </w:rPr>
            <w:fldChar w:fldCharType="separate"/>
          </w:r>
          <w:r>
            <w:rPr>
              <w:rFonts w:hint="eastAsia"/>
            </w:rPr>
            <w:t xml:space="preserve">第九章. </w:t>
          </w:r>
          <w:r>
            <w:t>节能分析</w:t>
          </w:r>
          <w:r>
            <w:tab/>
          </w:r>
          <w:r>
            <w:fldChar w:fldCharType="begin"/>
          </w:r>
          <w:r>
            <w:instrText xml:space="preserve"> PAGEREF _Toc9033 \h </w:instrText>
          </w:r>
          <w:r>
            <w:fldChar w:fldCharType="separate"/>
          </w:r>
          <w:r>
            <w:t>177</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_Toc2492 </w:instrText>
          </w:r>
          <w:r>
            <w:rPr>
              <w:rFonts w:ascii="宋体" w:hAnsi="宋体"/>
              <w:bCs/>
              <w:lang w:val="zh-CN"/>
            </w:rPr>
            <w:fldChar w:fldCharType="separate"/>
          </w:r>
          <w:r>
            <w:rPr>
              <w:rFonts w:hint="eastAsia"/>
            </w:rPr>
            <w:t xml:space="preserve">9.1. </w:t>
          </w:r>
          <w:r>
            <w:t>用能标准及节能设计规范</w:t>
          </w:r>
          <w:r>
            <w:tab/>
          </w:r>
          <w:r>
            <w:fldChar w:fldCharType="begin"/>
          </w:r>
          <w:r>
            <w:instrText xml:space="preserve"> PAGEREF _Toc2492 \h </w:instrText>
          </w:r>
          <w:r>
            <w:fldChar w:fldCharType="separate"/>
          </w:r>
          <w:r>
            <w:t>177</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_Toc26443 </w:instrText>
          </w:r>
          <w:r>
            <w:rPr>
              <w:rFonts w:ascii="宋体" w:hAnsi="宋体"/>
              <w:bCs/>
              <w:lang w:val="zh-CN"/>
            </w:rPr>
            <w:fldChar w:fldCharType="separate"/>
          </w:r>
          <w:r>
            <w:rPr>
              <w:rFonts w:hint="eastAsia"/>
            </w:rPr>
            <w:t>9.2. 能耗种类和数量分析</w:t>
          </w:r>
          <w:r>
            <w:tab/>
          </w:r>
          <w:r>
            <w:fldChar w:fldCharType="begin"/>
          </w:r>
          <w:r>
            <w:instrText xml:space="preserve"> PAGEREF _Toc26443 \h </w:instrText>
          </w:r>
          <w:r>
            <w:fldChar w:fldCharType="separate"/>
          </w:r>
          <w:r>
            <w:t>177</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_Toc1301 </w:instrText>
          </w:r>
          <w:r>
            <w:rPr>
              <w:rFonts w:ascii="宋体" w:hAnsi="宋体"/>
              <w:bCs/>
              <w:lang w:val="zh-CN"/>
            </w:rPr>
            <w:fldChar w:fldCharType="separate"/>
          </w:r>
          <w:r>
            <w:rPr>
              <w:rFonts w:hint="eastAsia"/>
            </w:rPr>
            <w:t xml:space="preserve">第十章. </w:t>
          </w:r>
          <w:r>
            <w:t>项目组织机构和人员培训</w:t>
          </w:r>
          <w:r>
            <w:tab/>
          </w:r>
          <w:r>
            <w:fldChar w:fldCharType="begin"/>
          </w:r>
          <w:r>
            <w:instrText xml:space="preserve"> PAGEREF _Toc1301 \h </w:instrText>
          </w:r>
          <w:r>
            <w:fldChar w:fldCharType="separate"/>
          </w:r>
          <w:r>
            <w:t>179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_Toc3270 </w:instrText>
          </w:r>
          <w:r>
            <w:rPr>
              <w:rFonts w:ascii="宋体" w:hAnsi="宋体"/>
              <w:bCs/>
              <w:lang w:val="zh-CN"/>
            </w:rPr>
            <w:fldChar w:fldCharType="separate"/>
          </w:r>
          <w:r>
            <w:rPr>
              <w:rFonts w:hint="eastAsia"/>
            </w:rPr>
            <w:t xml:space="preserve">10.1. </w:t>
          </w:r>
          <w:r>
            <w:t>领导和管理机构</w:t>
          </w:r>
          <w:r>
            <w:tab/>
          </w:r>
          <w:r>
            <w:fldChar w:fldCharType="begin"/>
          </w:r>
          <w:r>
            <w:instrText xml:space="preserve"> PAGEREF _Toc3270 \h </w:instrText>
          </w:r>
          <w:r>
            <w:fldChar w:fldCharType="separate"/>
          </w:r>
          <w:r>
            <w:t>179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_Toc1339 </w:instrText>
          </w:r>
          <w:r>
            <w:rPr>
              <w:rFonts w:ascii="宋体" w:hAnsi="宋体"/>
              <w:bCs/>
              <w:lang w:val="zh-CN"/>
            </w:rPr>
            <w:fldChar w:fldCharType="separate"/>
          </w:r>
          <w:r>
            <w:rPr>
              <w:rFonts w:hint="eastAsia"/>
            </w:rPr>
            <w:t xml:space="preserve">10.2. </w:t>
          </w:r>
          <w:r>
            <w:t>项目实施机构</w:t>
          </w:r>
          <w:r>
            <w:tab/>
          </w:r>
          <w:r>
            <w:fldChar w:fldCharType="begin"/>
          </w:r>
          <w:r>
            <w:instrText xml:space="preserve"> PAGEREF _Toc1339 \h </w:instrText>
          </w:r>
          <w:r>
            <w:fldChar w:fldCharType="separate"/>
          </w:r>
          <w:r>
            <w:t>179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_Toc5425 </w:instrText>
          </w:r>
          <w:r>
            <w:rPr>
              <w:rFonts w:ascii="宋体" w:hAnsi="宋体"/>
              <w:bCs/>
              <w:lang w:val="zh-CN"/>
            </w:rPr>
            <w:fldChar w:fldCharType="separate"/>
          </w:r>
          <w:r>
            <w:rPr>
              <w:rFonts w:hint="eastAsia"/>
            </w:rPr>
            <w:t xml:space="preserve">10.3. </w:t>
          </w:r>
          <w:r>
            <w:t>运行维护机构</w:t>
          </w:r>
          <w:r>
            <w:tab/>
          </w:r>
          <w:r>
            <w:fldChar w:fldCharType="begin"/>
          </w:r>
          <w:r>
            <w:instrText xml:space="preserve"> PAGEREF _Toc5425 \h </w:instrText>
          </w:r>
          <w:r>
            <w:fldChar w:fldCharType="separate"/>
          </w:r>
          <w:r>
            <w:t>179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_Toc16770 </w:instrText>
          </w:r>
          <w:r>
            <w:rPr>
              <w:rFonts w:ascii="宋体" w:hAnsi="宋体"/>
              <w:bCs/>
              <w:lang w:val="zh-CN"/>
            </w:rPr>
            <w:fldChar w:fldCharType="separate"/>
          </w:r>
          <w:r>
            <w:rPr>
              <w:rFonts w:hint="eastAsia"/>
            </w:rPr>
            <w:t xml:space="preserve">10.4. </w:t>
          </w:r>
          <w:r>
            <w:t>技术力量和人员配置</w:t>
          </w:r>
          <w:r>
            <w:tab/>
          </w:r>
          <w:r>
            <w:fldChar w:fldCharType="begin"/>
          </w:r>
          <w:r>
            <w:instrText xml:space="preserve"> PAGEREF _Toc16770 \h </w:instrText>
          </w:r>
          <w:r>
            <w:fldChar w:fldCharType="separate"/>
          </w:r>
          <w:r>
            <w:t>179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_Toc3940 </w:instrText>
          </w:r>
          <w:r>
            <w:rPr>
              <w:rFonts w:ascii="宋体" w:hAnsi="宋体"/>
              <w:bCs/>
              <w:lang w:val="zh-CN"/>
            </w:rPr>
            <w:fldChar w:fldCharType="separate"/>
          </w:r>
          <w:r>
            <w:rPr>
              <w:rFonts w:hint="eastAsia"/>
            </w:rPr>
            <w:t xml:space="preserve">10.5. </w:t>
          </w:r>
          <w:r>
            <w:t>人员培训方案</w:t>
          </w:r>
          <w:r>
            <w:tab/>
          </w:r>
          <w:r>
            <w:fldChar w:fldCharType="begin"/>
          </w:r>
          <w:r>
            <w:instrText xml:space="preserve"> PAGEREF _Toc3940 \h </w:instrText>
          </w:r>
          <w:r>
            <w:fldChar w:fldCharType="separate"/>
          </w:r>
          <w:r>
            <w:t>180</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_Toc14058 </w:instrText>
          </w:r>
          <w:r>
            <w:rPr>
              <w:rFonts w:ascii="宋体" w:hAnsi="宋体"/>
              <w:bCs/>
              <w:lang w:val="zh-CN"/>
            </w:rPr>
            <w:fldChar w:fldCharType="separate"/>
          </w:r>
          <w:r>
            <w:rPr>
              <w:rFonts w:hint="eastAsia"/>
            </w:rPr>
            <w:t xml:space="preserve">10.5.1. </w:t>
          </w:r>
          <w:r>
            <w:t>项目培训对象</w:t>
          </w:r>
          <w:r>
            <w:tab/>
          </w:r>
          <w:r>
            <w:fldChar w:fldCharType="begin"/>
          </w:r>
          <w:r>
            <w:instrText xml:space="preserve"> PAGEREF _Toc14058 \h </w:instrText>
          </w:r>
          <w:r>
            <w:fldChar w:fldCharType="separate"/>
          </w:r>
          <w:r>
            <w:t>181</w:t>
          </w:r>
          <w:r>
            <w:fldChar w:fldCharType="end"/>
          </w:r>
          <w:r>
            <w:rPr>
              <w:rFonts w:ascii="宋体" w:hAnsi="宋体"/>
              <w:bCs/>
              <w:lang w:val="zh-CN"/>
            </w:rPr>
            <w:fldChar w:fldCharType="end"/>
          </w:r>
        </w:p>
        <w:p>
          <w:pPr>
            <w:pStyle w:val="17"/>
            <w:tabs>
              <w:tab w:val="right" w:leader="dot" w:pos="8306"/>
              <w:tab w:val="clear" w:pos="2520"/>
              <w:tab w:val="clear" w:pos="8296"/>
            </w:tabs>
          </w:pPr>
          <w:r>
            <w:rPr>
              <w:rFonts w:ascii="宋体" w:hAnsi="宋体"/>
              <w:bCs/>
              <w:lang w:val="zh-CN"/>
            </w:rPr>
            <w:fldChar w:fldCharType="begin"/>
          </w:r>
          <w:r>
            <w:rPr>
              <w:rFonts w:ascii="宋体" w:hAnsi="宋体"/>
              <w:bCs/>
              <w:lang w:val="zh-CN"/>
            </w:rPr>
            <w:instrText xml:space="preserve"> HYPERLINK \l _Toc12228 </w:instrText>
          </w:r>
          <w:r>
            <w:rPr>
              <w:rFonts w:ascii="宋体" w:hAnsi="宋体"/>
              <w:bCs/>
              <w:lang w:val="zh-CN"/>
            </w:rPr>
            <w:fldChar w:fldCharType="separate"/>
          </w:r>
          <w:r>
            <w:rPr>
              <w:rFonts w:hint="eastAsia"/>
            </w:rPr>
            <w:t xml:space="preserve">10.5.2. </w:t>
          </w:r>
          <w:r>
            <w:t>培训计划</w:t>
          </w:r>
          <w:r>
            <w:tab/>
          </w:r>
          <w:r>
            <w:fldChar w:fldCharType="begin"/>
          </w:r>
          <w:r>
            <w:instrText xml:space="preserve"> PAGEREF _Toc12228 \h </w:instrText>
          </w:r>
          <w:r>
            <w:fldChar w:fldCharType="separate"/>
          </w:r>
          <w:r>
            <w:t>181</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_Toc20002 </w:instrText>
          </w:r>
          <w:r>
            <w:rPr>
              <w:rFonts w:ascii="宋体" w:hAnsi="宋体"/>
              <w:bCs/>
              <w:lang w:val="zh-CN"/>
            </w:rPr>
            <w:fldChar w:fldCharType="separate"/>
          </w:r>
          <w:r>
            <w:rPr>
              <w:rFonts w:hint="eastAsia"/>
            </w:rPr>
            <w:t>第十一章. 项目实施进度</w:t>
          </w:r>
          <w:r>
            <w:tab/>
          </w:r>
          <w:r>
            <w:fldChar w:fldCharType="begin"/>
          </w:r>
          <w:r>
            <w:instrText xml:space="preserve"> PAGEREF _Toc20002 \h </w:instrText>
          </w:r>
          <w:r>
            <w:fldChar w:fldCharType="separate"/>
          </w:r>
          <w:r>
            <w:t>183</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_Toc4790 </w:instrText>
          </w:r>
          <w:r>
            <w:rPr>
              <w:rFonts w:ascii="宋体" w:hAnsi="宋体"/>
              <w:bCs/>
              <w:lang w:val="zh-CN"/>
            </w:rPr>
            <w:fldChar w:fldCharType="separate"/>
          </w:r>
          <w:r>
            <w:rPr>
              <w:rFonts w:hint="eastAsia"/>
            </w:rPr>
            <w:t>11.1. 项目建设期</w:t>
          </w:r>
          <w:r>
            <w:tab/>
          </w:r>
          <w:r>
            <w:fldChar w:fldCharType="begin"/>
          </w:r>
          <w:r>
            <w:instrText xml:space="preserve"> PAGEREF _Toc4790 \h </w:instrText>
          </w:r>
          <w:r>
            <w:fldChar w:fldCharType="separate"/>
          </w:r>
          <w:r>
            <w:t>183</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_Toc30371 </w:instrText>
          </w:r>
          <w:r>
            <w:rPr>
              <w:rFonts w:ascii="宋体" w:hAnsi="宋体"/>
              <w:bCs/>
              <w:lang w:val="zh-CN"/>
            </w:rPr>
            <w:fldChar w:fldCharType="separate"/>
          </w:r>
          <w:r>
            <w:rPr>
              <w:rFonts w:hint="eastAsia"/>
            </w:rPr>
            <w:t>11.2. 实施进度计划</w:t>
          </w:r>
          <w:r>
            <w:tab/>
          </w:r>
          <w:r>
            <w:fldChar w:fldCharType="begin"/>
          </w:r>
          <w:r>
            <w:instrText xml:space="preserve"> PAGEREF _Toc30371 \h </w:instrText>
          </w:r>
          <w:r>
            <w:fldChar w:fldCharType="separate"/>
          </w:r>
          <w:r>
            <w:t>183</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_Toc1970 </w:instrText>
          </w:r>
          <w:r>
            <w:rPr>
              <w:rFonts w:ascii="宋体" w:hAnsi="宋体"/>
              <w:bCs/>
              <w:lang w:val="zh-CN"/>
            </w:rPr>
            <w:fldChar w:fldCharType="separate"/>
          </w:r>
          <w:r>
            <w:rPr>
              <w:rFonts w:hint="eastAsia"/>
            </w:rPr>
            <w:t>11.3. 项目实施进度管理方案</w:t>
          </w:r>
          <w:r>
            <w:tab/>
          </w:r>
          <w:r>
            <w:fldChar w:fldCharType="begin"/>
          </w:r>
          <w:r>
            <w:instrText xml:space="preserve"> PAGEREF _Toc1970 \h </w:instrText>
          </w:r>
          <w:r>
            <w:fldChar w:fldCharType="separate"/>
          </w:r>
          <w:r>
            <w:t>183</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_Toc14158 </w:instrText>
          </w:r>
          <w:r>
            <w:rPr>
              <w:rFonts w:ascii="宋体" w:hAnsi="宋体"/>
              <w:bCs/>
              <w:lang w:val="zh-CN"/>
            </w:rPr>
            <w:fldChar w:fldCharType="separate"/>
          </w:r>
          <w:r>
            <w:rPr>
              <w:rFonts w:hint="eastAsia"/>
            </w:rPr>
            <w:t xml:space="preserve">第十二章. </w:t>
          </w:r>
          <w:r>
            <w:t>投资估算和资金来源</w:t>
          </w:r>
          <w:r>
            <w:tab/>
          </w:r>
          <w:r>
            <w:fldChar w:fldCharType="begin"/>
          </w:r>
          <w:r>
            <w:instrText xml:space="preserve"> PAGEREF _Toc14158 \h </w:instrText>
          </w:r>
          <w:r>
            <w:fldChar w:fldCharType="separate"/>
          </w:r>
          <w:r>
            <w:t>185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_Toc32321 </w:instrText>
          </w:r>
          <w:r>
            <w:rPr>
              <w:rFonts w:ascii="宋体" w:hAnsi="宋体"/>
              <w:bCs/>
              <w:lang w:val="zh-CN"/>
            </w:rPr>
            <w:fldChar w:fldCharType="separate"/>
          </w:r>
          <w:r>
            <w:rPr>
              <w:rFonts w:hint="eastAsia"/>
            </w:rPr>
            <w:t xml:space="preserve">12.1. </w:t>
          </w:r>
          <w:r>
            <w:t>投资估算的有关说明</w:t>
          </w:r>
          <w:r>
            <w:tab/>
          </w:r>
          <w:r>
            <w:fldChar w:fldCharType="begin"/>
          </w:r>
          <w:r>
            <w:instrText xml:space="preserve"> PAGEREF _Toc32321 \h </w:instrText>
          </w:r>
          <w:r>
            <w:fldChar w:fldCharType="separate"/>
          </w:r>
          <w:r>
            <w:t>185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_Toc4358 </w:instrText>
          </w:r>
          <w:r>
            <w:rPr>
              <w:rFonts w:ascii="宋体" w:hAnsi="宋体"/>
              <w:bCs/>
              <w:lang w:val="zh-CN"/>
            </w:rPr>
            <w:fldChar w:fldCharType="separate"/>
          </w:r>
          <w:r>
            <w:rPr>
              <w:rFonts w:hint="eastAsia"/>
            </w:rPr>
            <w:t xml:space="preserve">12.2. </w:t>
          </w:r>
          <w:r>
            <w:t>项目总投资估算</w:t>
          </w:r>
          <w:r>
            <w:tab/>
          </w:r>
          <w:r>
            <w:fldChar w:fldCharType="begin"/>
          </w:r>
          <w:r>
            <w:instrText xml:space="preserve"> PAGEREF _Toc4358 \h </w:instrText>
          </w:r>
          <w:r>
            <w:fldChar w:fldCharType="separate"/>
          </w:r>
          <w:r>
            <w:t>185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_Toc9992 </w:instrText>
          </w:r>
          <w:r>
            <w:rPr>
              <w:rFonts w:ascii="宋体" w:hAnsi="宋体"/>
              <w:bCs/>
              <w:lang w:val="zh-CN"/>
            </w:rPr>
            <w:fldChar w:fldCharType="separate"/>
          </w:r>
          <w:r>
            <w:rPr>
              <w:rFonts w:hint="eastAsia"/>
            </w:rPr>
            <w:t xml:space="preserve">12.3. </w:t>
          </w:r>
          <w:r>
            <w:t>资金来源与落实情况</w:t>
          </w:r>
          <w:r>
            <w:tab/>
          </w:r>
          <w:r>
            <w:fldChar w:fldCharType="begin"/>
          </w:r>
          <w:r>
            <w:instrText xml:space="preserve"> PAGEREF _Toc9992 \h </w:instrText>
          </w:r>
          <w:r>
            <w:fldChar w:fldCharType="separate"/>
          </w:r>
          <w:r>
            <w:t>185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_Toc10879 </w:instrText>
          </w:r>
          <w:r>
            <w:rPr>
              <w:rFonts w:ascii="宋体" w:hAnsi="宋体"/>
              <w:bCs/>
              <w:lang w:val="zh-CN"/>
            </w:rPr>
            <w:fldChar w:fldCharType="separate"/>
          </w:r>
          <w:r>
            <w:rPr>
              <w:rFonts w:hint="eastAsia"/>
            </w:rPr>
            <w:t xml:space="preserve">12.4. </w:t>
          </w:r>
          <w:r>
            <w:t>资金使用计划</w:t>
          </w:r>
          <w:r>
            <w:tab/>
          </w:r>
          <w:r>
            <w:fldChar w:fldCharType="begin"/>
          </w:r>
          <w:r>
            <w:instrText xml:space="preserve"> PAGEREF _Toc10879 \h </w:instrText>
          </w:r>
          <w:r>
            <w:fldChar w:fldCharType="separate"/>
          </w:r>
          <w:r>
            <w:t>185</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_Toc32341 </w:instrText>
          </w:r>
          <w:r>
            <w:rPr>
              <w:rFonts w:ascii="宋体" w:hAnsi="宋体"/>
              <w:bCs/>
              <w:lang w:val="zh-CN"/>
            </w:rPr>
            <w:fldChar w:fldCharType="separate"/>
          </w:r>
          <w:r>
            <w:rPr>
              <w:rFonts w:hint="eastAsia"/>
            </w:rPr>
            <w:t xml:space="preserve">12.5. </w:t>
          </w:r>
          <w:r>
            <w:t>项目运行维护经费估算</w:t>
          </w:r>
          <w:r>
            <w:tab/>
          </w:r>
          <w:r>
            <w:fldChar w:fldCharType="begin"/>
          </w:r>
          <w:r>
            <w:instrText xml:space="preserve"> PAGEREF _Toc32341 \h </w:instrText>
          </w:r>
          <w:r>
            <w:fldChar w:fldCharType="separate"/>
          </w:r>
          <w:r>
            <w:t>186</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_Toc7183 </w:instrText>
          </w:r>
          <w:r>
            <w:rPr>
              <w:rFonts w:ascii="宋体" w:hAnsi="宋体"/>
              <w:bCs/>
              <w:lang w:val="zh-CN"/>
            </w:rPr>
            <w:fldChar w:fldCharType="separate"/>
          </w:r>
          <w:r>
            <w:rPr>
              <w:rFonts w:hint="eastAsia"/>
            </w:rPr>
            <w:t>第十三章. 效益与指标评价分析</w:t>
          </w:r>
          <w:r>
            <w:tab/>
          </w:r>
          <w:r>
            <w:fldChar w:fldCharType="begin"/>
          </w:r>
          <w:r>
            <w:instrText xml:space="preserve"> PAGEREF _Toc7183 \h </w:instrText>
          </w:r>
          <w:r>
            <w:fldChar w:fldCharType="separate"/>
          </w:r>
          <w:r>
            <w:t>187</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_Toc7006 </w:instrText>
          </w:r>
          <w:r>
            <w:rPr>
              <w:rFonts w:ascii="宋体" w:hAnsi="宋体"/>
              <w:bCs/>
              <w:lang w:val="zh-CN"/>
            </w:rPr>
            <w:fldChar w:fldCharType="separate"/>
          </w:r>
          <w:r>
            <w:rPr>
              <w:rFonts w:hint="eastAsia"/>
            </w:rPr>
            <w:t>13.1. 经济效益分析</w:t>
          </w:r>
          <w:r>
            <w:tab/>
          </w:r>
          <w:r>
            <w:fldChar w:fldCharType="begin"/>
          </w:r>
          <w:r>
            <w:instrText xml:space="preserve"> PAGEREF _Toc7006 \h </w:instrText>
          </w:r>
          <w:r>
            <w:fldChar w:fldCharType="separate"/>
          </w:r>
          <w:r>
            <w:t>187</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_Toc26472 </w:instrText>
          </w:r>
          <w:r>
            <w:rPr>
              <w:rFonts w:ascii="宋体" w:hAnsi="宋体"/>
              <w:bCs/>
              <w:lang w:val="zh-CN"/>
            </w:rPr>
            <w:fldChar w:fldCharType="separate"/>
          </w:r>
          <w:r>
            <w:rPr>
              <w:rFonts w:hint="eastAsia"/>
            </w:rPr>
            <w:t>13.2. 社会效益分析</w:t>
          </w:r>
          <w:r>
            <w:tab/>
          </w:r>
          <w:r>
            <w:fldChar w:fldCharType="begin"/>
          </w:r>
          <w:r>
            <w:instrText xml:space="preserve"> PAGEREF _Toc26472 \h </w:instrText>
          </w:r>
          <w:r>
            <w:fldChar w:fldCharType="separate"/>
          </w:r>
          <w:r>
            <w:t>187</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_Toc27419 </w:instrText>
          </w:r>
          <w:r>
            <w:rPr>
              <w:rFonts w:ascii="宋体" w:hAnsi="宋体"/>
              <w:bCs/>
              <w:lang w:val="zh-CN"/>
            </w:rPr>
            <w:fldChar w:fldCharType="separate"/>
          </w:r>
          <w:r>
            <w:rPr>
              <w:rFonts w:hint="eastAsia"/>
            </w:rPr>
            <w:t>13.3. 效益与指标评价分析</w:t>
          </w:r>
          <w:r>
            <w:tab/>
          </w:r>
          <w:r>
            <w:fldChar w:fldCharType="begin"/>
          </w:r>
          <w:r>
            <w:instrText xml:space="preserve"> PAGEREF _Toc27419 \h </w:instrText>
          </w:r>
          <w:r>
            <w:fldChar w:fldCharType="separate"/>
          </w:r>
          <w:r>
            <w:t>187</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_Toc6020 </w:instrText>
          </w:r>
          <w:r>
            <w:rPr>
              <w:rFonts w:ascii="宋体" w:hAnsi="宋体"/>
              <w:bCs/>
              <w:lang w:val="zh-CN"/>
            </w:rPr>
            <w:fldChar w:fldCharType="separate"/>
          </w:r>
          <w:r>
            <w:rPr>
              <w:rFonts w:hint="eastAsia"/>
            </w:rPr>
            <w:t>第十四章. 项目风险与风险管理</w:t>
          </w:r>
          <w:r>
            <w:tab/>
          </w:r>
          <w:r>
            <w:fldChar w:fldCharType="begin"/>
          </w:r>
          <w:r>
            <w:instrText xml:space="preserve"> PAGEREF _Toc6020 \h </w:instrText>
          </w:r>
          <w:r>
            <w:fldChar w:fldCharType="separate"/>
          </w:r>
          <w:r>
            <w:t>189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_Toc24302 </w:instrText>
          </w:r>
          <w:r>
            <w:rPr>
              <w:rFonts w:ascii="宋体" w:hAnsi="宋体"/>
              <w:bCs/>
              <w:lang w:val="zh-CN"/>
            </w:rPr>
            <w:fldChar w:fldCharType="separate"/>
          </w:r>
          <w:r>
            <w:rPr>
              <w:rFonts w:hint="eastAsia"/>
            </w:rPr>
            <w:t>14.1. 风险识别和分析</w:t>
          </w:r>
          <w:r>
            <w:tab/>
          </w:r>
          <w:r>
            <w:fldChar w:fldCharType="begin"/>
          </w:r>
          <w:r>
            <w:instrText xml:space="preserve"> PAGEREF _Toc24302 \h </w:instrText>
          </w:r>
          <w:r>
            <w:fldChar w:fldCharType="separate"/>
          </w:r>
          <w:r>
            <w:t>189</w:t>
          </w:r>
          <w:r>
            <w:fldChar w:fldCharType="end"/>
          </w:r>
          <w:r>
            <w:rPr>
              <w:rFonts w:ascii="宋体" w:hAnsi="宋体"/>
              <w:bCs/>
              <w:lang w:val="zh-CN"/>
            </w:rPr>
            <w:fldChar w:fldCharType="end"/>
          </w:r>
        </w:p>
        <w:p>
          <w:pPr>
            <w:pStyle w:val="25"/>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_Toc2349 </w:instrText>
          </w:r>
          <w:r>
            <w:rPr>
              <w:rFonts w:ascii="宋体" w:hAnsi="宋体"/>
              <w:bCs/>
              <w:lang w:val="zh-CN"/>
            </w:rPr>
            <w:fldChar w:fldCharType="separate"/>
          </w:r>
          <w:r>
            <w:rPr>
              <w:rFonts w:hint="eastAsia"/>
            </w:rPr>
            <w:t>14.2. 风险对策和管理</w:t>
          </w:r>
          <w:r>
            <w:tab/>
          </w:r>
          <w:r>
            <w:fldChar w:fldCharType="begin"/>
          </w:r>
          <w:r>
            <w:instrText xml:space="preserve"> PAGEREF _Toc2349 \h </w:instrText>
          </w:r>
          <w:r>
            <w:fldChar w:fldCharType="separate"/>
          </w:r>
          <w:r>
            <w:t>190</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_Toc5548 </w:instrText>
          </w:r>
          <w:r>
            <w:rPr>
              <w:rFonts w:ascii="宋体" w:hAnsi="宋体"/>
              <w:bCs/>
              <w:lang w:val="zh-CN"/>
            </w:rPr>
            <w:fldChar w:fldCharType="separate"/>
          </w:r>
          <w:r>
            <w:rPr>
              <w:rFonts w:hint="eastAsia"/>
            </w:rPr>
            <w:t>附表1</w:t>
          </w:r>
          <w:r>
            <w:t>项目总投资估算表</w:t>
          </w:r>
          <w:r>
            <w:tab/>
          </w:r>
          <w:r>
            <w:fldChar w:fldCharType="begin"/>
          </w:r>
          <w:r>
            <w:instrText xml:space="preserve"> PAGEREF _Toc5548 \h </w:instrText>
          </w:r>
          <w:r>
            <w:fldChar w:fldCharType="separate"/>
          </w:r>
          <w:r>
            <w:t>191</w:t>
          </w:r>
          <w:r>
            <w:fldChar w:fldCharType="end"/>
          </w:r>
          <w:r>
            <w:rPr>
              <w:rFonts w:ascii="宋体" w:hAnsi="宋体"/>
              <w:bCs/>
              <w:lang w:val="zh-CN"/>
            </w:rPr>
            <w:fldChar w:fldCharType="end"/>
          </w:r>
        </w:p>
        <w:p>
          <w:pPr>
            <w:pStyle w:val="22"/>
            <w:tabs>
              <w:tab w:val="right" w:leader="dot" w:pos="8306"/>
              <w:tab w:val="clear" w:pos="1680"/>
              <w:tab w:val="clear" w:pos="8296"/>
            </w:tabs>
          </w:pPr>
          <w:r>
            <w:rPr>
              <w:rFonts w:ascii="宋体" w:hAnsi="宋体"/>
              <w:bCs/>
              <w:lang w:val="zh-CN"/>
            </w:rPr>
            <w:fldChar w:fldCharType="begin"/>
          </w:r>
          <w:r>
            <w:rPr>
              <w:rFonts w:ascii="宋体" w:hAnsi="宋体"/>
              <w:bCs/>
              <w:lang w:val="zh-CN"/>
            </w:rPr>
            <w:instrText xml:space="preserve"> HYPERLINK \l _Toc26728 </w:instrText>
          </w:r>
          <w:r>
            <w:rPr>
              <w:rFonts w:ascii="宋体" w:hAnsi="宋体"/>
              <w:bCs/>
              <w:lang w:val="zh-CN"/>
            </w:rPr>
            <w:fldChar w:fldCharType="separate"/>
          </w:r>
          <w:r>
            <w:rPr>
              <w:rFonts w:hint="eastAsia"/>
            </w:rPr>
            <w:t>附表2应用系统软件开发工作量清单</w:t>
          </w:r>
          <w:r>
            <w:tab/>
          </w:r>
          <w:r>
            <w:fldChar w:fldCharType="begin"/>
          </w:r>
          <w:r>
            <w:instrText xml:space="preserve"> PAGEREF _Toc26728 \h </w:instrText>
          </w:r>
          <w:r>
            <w:fldChar w:fldCharType="separate"/>
          </w:r>
          <w:r>
            <w:t>192</w:t>
          </w:r>
          <w:r>
            <w:fldChar w:fldCharType="end"/>
          </w:r>
          <w:r>
            <w:rPr>
              <w:rFonts w:ascii="宋体" w:hAnsi="宋体"/>
              <w:bCs/>
              <w:lang w:val="zh-CN"/>
            </w:rPr>
            <w:fldChar w:fldCharType="end"/>
          </w:r>
        </w:p>
        <w:p>
          <w:pPr>
            <w:tabs>
              <w:tab w:val="right" w:pos="8306"/>
            </w:tabs>
            <w:spacing w:line="276" w:lineRule="auto"/>
            <w:ind w:firstLine="0" w:firstLineChars="0"/>
            <w:rPr>
              <w:rFonts w:ascii="宋体" w:hAnsi="宋体"/>
              <w:b/>
              <w:bCs/>
              <w:sz w:val="21"/>
              <w:szCs w:val="21"/>
              <w:lang w:val="zh-CN"/>
            </w:rPr>
          </w:pPr>
          <w:r>
            <w:rPr>
              <w:rFonts w:ascii="宋体" w:hAnsi="宋体"/>
              <w:bCs/>
              <w:lang w:val="zh-CN"/>
            </w:rPr>
            <w:fldChar w:fldCharType="end"/>
          </w:r>
        </w:p>
      </w:sdtContent>
    </w:sdt>
    <w:p>
      <w:pPr>
        <w:ind w:firstLine="0" w:firstLineChars="0"/>
        <w:sectPr>
          <w:headerReference r:id="rId15" w:type="default"/>
          <w:footerReference r:id="rId16" w:type="default"/>
          <w:pgSz w:w="11906" w:h="16838"/>
          <w:pgMar w:top="1440" w:right="1800" w:bottom="1440" w:left="1800" w:header="851" w:footer="992" w:gutter="0"/>
          <w:pgNumType w:fmt="upperRoman" w:start="1"/>
          <w:cols w:space="425" w:num="1"/>
          <w:docGrid w:type="lines" w:linePitch="312" w:charSpace="0"/>
        </w:sectPr>
      </w:pPr>
      <w:bookmarkStart w:id="0" w:name="_Toc93395096"/>
      <w:bookmarkStart w:id="1" w:name="_Toc99092948"/>
    </w:p>
    <w:p>
      <w:pPr>
        <w:pStyle w:val="2"/>
        <w:bidi w:val="0"/>
      </w:pPr>
      <w:bookmarkStart w:id="2" w:name="_Toc3916"/>
      <w:r>
        <w:rPr>
          <w:rFonts w:hint="eastAsia"/>
        </w:rPr>
        <w:t>项目</w:t>
      </w:r>
      <w:bookmarkEnd w:id="0"/>
      <w:r>
        <w:rPr>
          <w:rFonts w:hint="eastAsia"/>
        </w:rPr>
        <w:t>概述</w:t>
      </w:r>
      <w:bookmarkEnd w:id="1"/>
      <w:bookmarkEnd w:id="2"/>
    </w:p>
    <w:p>
      <w:pPr>
        <w:pStyle w:val="3"/>
      </w:pPr>
      <w:bookmarkStart w:id="3" w:name="_Toc93395097"/>
      <w:bookmarkStart w:id="4" w:name="_Toc32481"/>
      <w:bookmarkStart w:id="5" w:name="_Toc99092949"/>
      <w:r>
        <w:rPr>
          <w:rFonts w:hint="eastAsia"/>
        </w:rPr>
        <w:t>项目名称</w:t>
      </w:r>
      <w:bookmarkEnd w:id="3"/>
      <w:bookmarkEnd w:id="4"/>
      <w:bookmarkEnd w:id="5"/>
    </w:p>
    <w:p>
      <w:r>
        <w:rPr>
          <w:rFonts w:hint="eastAsia"/>
        </w:rPr>
        <w:t>黑龙江省市场监管局2</w:t>
      </w:r>
      <w:r>
        <w:t>022</w:t>
      </w:r>
      <w:r>
        <w:rPr>
          <w:rFonts w:hint="eastAsia"/>
        </w:rPr>
        <w:t>年主题库证照库建设项目。</w:t>
      </w:r>
    </w:p>
    <w:p>
      <w:pPr>
        <w:pStyle w:val="3"/>
      </w:pPr>
      <w:bookmarkStart w:id="6" w:name="_Toc10561"/>
      <w:bookmarkStart w:id="7" w:name="_Toc99092950"/>
      <w:bookmarkStart w:id="8" w:name="_Toc93395098"/>
      <w:r>
        <w:rPr>
          <w:rFonts w:hint="eastAsia"/>
        </w:rPr>
        <w:t>项目建设单位概况和负责人、项目责任人</w:t>
      </w:r>
      <w:bookmarkEnd w:id="6"/>
      <w:bookmarkEnd w:id="7"/>
      <w:bookmarkEnd w:id="8"/>
    </w:p>
    <w:p>
      <w:r>
        <w:rPr>
          <w:rFonts w:hint="eastAsia"/>
        </w:rPr>
        <w:t>建设单位：黑龙江省市场监督管理局。</w:t>
      </w:r>
    </w:p>
    <w:p>
      <w:r>
        <w:rPr>
          <w:rFonts w:hint="eastAsia"/>
        </w:rPr>
        <w:t>建设单位项目负责人：朱天晨。</w:t>
      </w:r>
    </w:p>
    <w:p>
      <w:pPr>
        <w:pStyle w:val="3"/>
      </w:pPr>
      <w:bookmarkStart w:id="9" w:name="_Toc99028680"/>
      <w:bookmarkStart w:id="10" w:name="_Toc99092951"/>
      <w:bookmarkStart w:id="11" w:name="_Toc13367"/>
      <w:r>
        <w:rPr>
          <w:rFonts w:hint="eastAsia"/>
        </w:rPr>
        <w:t>可研编制单位</w:t>
      </w:r>
      <w:bookmarkEnd w:id="9"/>
      <w:bookmarkEnd w:id="10"/>
      <w:bookmarkEnd w:id="11"/>
    </w:p>
    <w:p>
      <w:r>
        <w:rPr>
          <w:rFonts w:hint="eastAsia"/>
        </w:rPr>
        <w:t>国脉通信规划设计有限公司</w:t>
      </w:r>
    </w:p>
    <w:p>
      <w:pPr>
        <w:pStyle w:val="3"/>
      </w:pPr>
      <w:bookmarkStart w:id="12" w:name="_Toc99092952"/>
      <w:bookmarkStart w:id="13" w:name="_Toc21703"/>
      <w:bookmarkStart w:id="14" w:name="_Toc93395099"/>
      <w:r>
        <w:rPr>
          <w:rFonts w:hint="eastAsia"/>
        </w:rPr>
        <w:t>编制依据</w:t>
      </w:r>
      <w:bookmarkEnd w:id="12"/>
      <w:bookmarkEnd w:id="13"/>
      <w:bookmarkEnd w:id="14"/>
    </w:p>
    <w:p>
      <w:pPr>
        <w:pStyle w:val="4"/>
        <w:ind w:left="240" w:leftChars="0" w:firstLineChars="0"/>
      </w:pPr>
      <w:bookmarkStart w:id="15" w:name="_Toc99092954"/>
      <w:bookmarkStart w:id="16" w:name="_Toc20396"/>
      <w:bookmarkStart w:id="17" w:name="_Toc99092953"/>
      <w:bookmarkStart w:id="18" w:name="_Toc78909655"/>
      <w:bookmarkStart w:id="19" w:name="_Toc78909654"/>
      <w:r>
        <w:rPr>
          <w:rFonts w:hint="eastAsia"/>
        </w:rPr>
        <w:t>政策</w:t>
      </w:r>
      <w:bookmarkEnd w:id="15"/>
      <w:r>
        <w:rPr>
          <w:rFonts w:hint="eastAsia"/>
        </w:rPr>
        <w:t>依据</w:t>
      </w:r>
      <w:bookmarkEnd w:id="16"/>
    </w:p>
    <w:p>
      <w:pPr>
        <w:ind w:firstLine="440"/>
        <w:rPr>
          <w:rFonts w:ascii="宋体" w:hAnsi="宋体"/>
          <w:sz w:val="24"/>
          <w:szCs w:val="24"/>
        </w:rPr>
      </w:pPr>
      <w:r>
        <w:rPr>
          <w:rFonts w:hint="eastAsia" w:ascii="宋体" w:hAnsi="宋体"/>
          <w:sz w:val="24"/>
          <w:szCs w:val="24"/>
        </w:rPr>
        <w:t>《市场监管总局办公厅关于开展市场主体数据质量提升行动的通知》（市监注发〔2021〕19号）；</w:t>
      </w:r>
    </w:p>
    <w:p>
      <w:pPr>
        <w:ind w:firstLine="440"/>
        <w:rPr>
          <w:rFonts w:ascii="宋体" w:hAnsi="宋体"/>
          <w:sz w:val="24"/>
          <w:szCs w:val="24"/>
        </w:rPr>
      </w:pPr>
      <w:r>
        <w:rPr>
          <w:rFonts w:hint="eastAsia" w:ascii="宋体" w:hAnsi="宋体"/>
          <w:sz w:val="24"/>
          <w:szCs w:val="24"/>
        </w:rPr>
        <w:t>《市场监管总局办公厅关于印发《市场主体数据质量评价指南（第一版）》的通知》（市监注发〔</w:t>
      </w:r>
      <w:r>
        <w:rPr>
          <w:rFonts w:ascii="宋体" w:hAnsi="宋体"/>
          <w:sz w:val="24"/>
          <w:szCs w:val="24"/>
        </w:rPr>
        <w:t>2021〕48号）</w:t>
      </w:r>
      <w:r>
        <w:rPr>
          <w:rFonts w:hint="eastAsia" w:ascii="宋体" w:hAnsi="宋体"/>
          <w:sz w:val="24"/>
          <w:szCs w:val="24"/>
        </w:rPr>
        <w:t>；</w:t>
      </w:r>
    </w:p>
    <w:p>
      <w:pPr>
        <w:ind w:firstLine="440"/>
        <w:rPr>
          <w:rFonts w:ascii="宋体" w:hAnsi="宋体"/>
          <w:sz w:val="24"/>
          <w:szCs w:val="24"/>
        </w:rPr>
      </w:pPr>
      <w:r>
        <w:rPr>
          <w:rFonts w:hint="eastAsia" w:ascii="宋体" w:hAnsi="宋体"/>
          <w:sz w:val="24"/>
          <w:szCs w:val="24"/>
        </w:rPr>
        <w:t>《市场监管总局关于加强信息化工作的指导意见》（国市监办发〔2021〕2号）；</w:t>
      </w:r>
    </w:p>
    <w:p>
      <w:pPr>
        <w:ind w:firstLine="440"/>
        <w:rPr>
          <w:rFonts w:ascii="宋体" w:hAnsi="宋体"/>
          <w:sz w:val="24"/>
          <w:szCs w:val="24"/>
        </w:rPr>
      </w:pPr>
      <w:r>
        <w:rPr>
          <w:rFonts w:ascii="宋体" w:hAnsi="宋体"/>
          <w:sz w:val="24"/>
          <w:szCs w:val="24"/>
        </w:rPr>
        <w:t>《国务院关于印发“十三五”市场监管规划的通知》（国发</w:t>
      </w:r>
      <w:r>
        <w:rPr>
          <w:rFonts w:hint="eastAsia" w:ascii="宋体" w:hAnsi="宋体"/>
          <w:sz w:val="24"/>
          <w:szCs w:val="24"/>
        </w:rPr>
        <w:t>〔2017〕6号）；</w:t>
      </w:r>
    </w:p>
    <w:p>
      <w:pPr>
        <w:ind w:firstLine="440"/>
        <w:rPr>
          <w:rFonts w:ascii="宋体" w:hAnsi="宋体"/>
          <w:sz w:val="24"/>
          <w:szCs w:val="24"/>
        </w:rPr>
      </w:pPr>
      <w:r>
        <w:rPr>
          <w:rFonts w:ascii="宋体" w:hAnsi="宋体"/>
          <w:sz w:val="24"/>
          <w:szCs w:val="24"/>
        </w:rPr>
        <w:t>《市场监管总局关于充分发挥职能作用 落实深化“证照分离”改革任务的通知》（国市监注发〔2021〕36 号）</w:t>
      </w:r>
      <w:r>
        <w:rPr>
          <w:rFonts w:hint="eastAsia" w:ascii="宋体" w:hAnsi="宋体"/>
          <w:sz w:val="24"/>
          <w:szCs w:val="24"/>
        </w:rPr>
        <w:t>。</w:t>
      </w:r>
    </w:p>
    <w:p>
      <w:pPr>
        <w:pStyle w:val="4"/>
        <w:ind w:left="240" w:leftChars="0" w:firstLineChars="0"/>
      </w:pPr>
      <w:bookmarkStart w:id="20" w:name="_Toc9837"/>
      <w:r>
        <w:rPr>
          <w:rFonts w:hint="eastAsia"/>
        </w:rPr>
        <w:t>标准规范</w:t>
      </w:r>
      <w:bookmarkEnd w:id="17"/>
      <w:bookmarkEnd w:id="18"/>
      <w:bookmarkEnd w:id="20"/>
    </w:p>
    <w:p>
      <w:r>
        <w:rPr>
          <w:rFonts w:hint="eastAsia"/>
        </w:rPr>
        <w:t>《GS7-2013 市场准入与退出数据规范-市场主体分册》</w:t>
      </w:r>
    </w:p>
    <w:p>
      <w:r>
        <w:rPr>
          <w:rFonts w:hint="eastAsia"/>
        </w:rPr>
        <w:t>《GS23-2013 农民专业合作社登记管理数据规范》</w:t>
      </w:r>
    </w:p>
    <w:p>
      <w:r>
        <w:rPr>
          <w:rFonts w:hint="eastAsia"/>
        </w:rPr>
        <w:t>《GS53-2017 电子营业执照技术规范第1部分 数据规范》</w:t>
      </w:r>
    </w:p>
    <w:p>
      <w:r>
        <w:rPr>
          <w:rFonts w:hint="eastAsia"/>
        </w:rPr>
        <w:t>《GS54-2017 电子营业执照技术规范第2部分 格式规范》</w:t>
      </w:r>
    </w:p>
    <w:p>
      <w:r>
        <w:rPr>
          <w:rFonts w:hint="eastAsia"/>
        </w:rPr>
        <w:t>《GS48-2016 国家企业信用信息公示系统2016年信息化数据规范》</w:t>
      </w:r>
    </w:p>
    <w:p>
      <w:r>
        <w:rPr>
          <w:rFonts w:hint="eastAsia"/>
        </w:rPr>
        <w:t>《GS51-2017 企业简易注销登记数据规范》</w:t>
      </w:r>
    </w:p>
    <w:p>
      <w:r>
        <w:rPr>
          <w:rFonts w:hint="eastAsia"/>
        </w:rPr>
        <w:t>《GS58-2019</w:t>
      </w:r>
      <w:r>
        <w:t xml:space="preserve"> </w:t>
      </w:r>
      <w:r>
        <w:rPr>
          <w:rFonts w:hint="eastAsia"/>
        </w:rPr>
        <w:t>注销便利化工作数据规范》</w:t>
      </w:r>
    </w:p>
    <w:p>
      <w:r>
        <w:rPr>
          <w:rFonts w:hint="eastAsia"/>
        </w:rPr>
        <w:t>《GS57-2018 取消企业集团核准登记等4项行政许可等事项数据规范》</w:t>
      </w:r>
    </w:p>
    <w:p>
      <w:r>
        <w:rPr>
          <w:rFonts w:hint="eastAsia"/>
        </w:rPr>
        <w:t>《GB 32100-2015法人和其他组织统一社会信用代码编码规则》</w:t>
      </w:r>
    </w:p>
    <w:p>
      <w:r>
        <w:rPr>
          <w:rFonts w:hint="eastAsia"/>
        </w:rPr>
        <w:t>《GB 32100-2015XG1-2016法人和其他组织统一社会信用代码编码规则》</w:t>
      </w:r>
    </w:p>
    <w:p>
      <w:r>
        <w:rPr>
          <w:rFonts w:hint="eastAsia"/>
        </w:rPr>
        <w:t>《GB/T 4754-2017 国民经济行业分类》</w:t>
      </w:r>
    </w:p>
    <w:p>
      <w:r>
        <w:rPr>
          <w:rFonts w:hint="eastAsia"/>
        </w:rPr>
        <w:t>《GB/T 36901-2018电子证照总体技术架构》</w:t>
      </w:r>
    </w:p>
    <w:p>
      <w:r>
        <w:rPr>
          <w:rFonts w:hint="eastAsia"/>
        </w:rPr>
        <w:t>《GB/T 36902-2018电子证照 目录信息规范》</w:t>
      </w:r>
    </w:p>
    <w:p>
      <w:r>
        <w:rPr>
          <w:rFonts w:hint="eastAsia"/>
        </w:rPr>
        <w:t>《GB/T 36903-2018电子证照 元数据规范》</w:t>
      </w:r>
    </w:p>
    <w:p>
      <w:r>
        <w:rPr>
          <w:rFonts w:hint="eastAsia"/>
        </w:rPr>
        <w:t>《GB/T 36904-2018电子证照 标识规范》</w:t>
      </w:r>
    </w:p>
    <w:p>
      <w:r>
        <w:rPr>
          <w:rFonts w:hint="eastAsia"/>
        </w:rPr>
        <w:t>《GB/T 36905-2018电子证照 文件技术要求》</w:t>
      </w:r>
    </w:p>
    <w:p>
      <w:r>
        <w:rPr>
          <w:rFonts w:hint="eastAsia"/>
        </w:rPr>
        <w:t>《GB/T 36906-2018电子证照 共享服务接口规范》</w:t>
      </w:r>
    </w:p>
    <w:p>
      <w:r>
        <w:rPr>
          <w:rFonts w:hint="eastAsia"/>
        </w:rPr>
        <w:t>《C0123国家政务服务平台证照类型代码及目录信息(2018)》</w:t>
      </w:r>
    </w:p>
    <w:p>
      <w:r>
        <w:rPr>
          <w:rFonts w:hint="eastAsia"/>
        </w:rPr>
        <w:t>《C0124国家政务服务平台电子证照跨区域共享服务接入要求(2018)》</w:t>
      </w:r>
    </w:p>
    <w:p>
      <w:r>
        <w:rPr>
          <w:rFonts w:hint="eastAsia"/>
        </w:rPr>
        <w:t>《C0126.1国家政务服务平台数据交换与共享接口 数据交换要求》</w:t>
      </w:r>
    </w:p>
    <w:p>
      <w:r>
        <w:rPr>
          <w:rFonts w:hint="eastAsia"/>
        </w:rPr>
        <w:t>《黑龙江省一体化政务服务平台电子证照及共享规范》</w:t>
      </w:r>
    </w:p>
    <w:p>
      <w:r>
        <w:rPr>
          <w:rFonts w:hint="eastAsia"/>
        </w:rPr>
        <w:t>《省直部门电子证照与电子印章对接技术规范》</w:t>
      </w:r>
    </w:p>
    <w:p>
      <w:r>
        <w:rPr>
          <w:rFonts w:hint="eastAsia"/>
        </w:rPr>
        <w:t>《市场主体数据质量评价指南（第一版）》</w:t>
      </w:r>
    </w:p>
    <w:p>
      <w:r>
        <w:rPr>
          <w:rFonts w:hint="eastAsia"/>
        </w:rPr>
        <w:t>《信息技术 软件工程术语》（GB/T 11457-2006）</w:t>
      </w:r>
    </w:p>
    <w:p>
      <w:r>
        <w:rPr>
          <w:rFonts w:hint="eastAsia"/>
        </w:rPr>
        <w:t>《信息技术 软件生存周期过程》（GB/T 8566-2007）</w:t>
      </w:r>
    </w:p>
    <w:p>
      <w:r>
        <w:rPr>
          <w:rFonts w:hint="eastAsia"/>
        </w:rPr>
        <w:t>《计算机软件可靠性和可维护性管理》（GB／T 14394-2008）</w:t>
      </w:r>
    </w:p>
    <w:p>
      <w:r>
        <w:rPr>
          <w:rFonts w:hint="eastAsia"/>
        </w:rPr>
        <w:t>《计算机软件测试规范》（GB/T 15532-2008）</w:t>
      </w:r>
    </w:p>
    <w:p>
      <w:r>
        <w:rPr>
          <w:rFonts w:hint="eastAsia"/>
        </w:rPr>
        <w:t>《软件研发成本度量规范》(GB/T 36964-2018)</w:t>
      </w:r>
    </w:p>
    <w:p>
      <w:r>
        <w:rPr>
          <w:rFonts w:hint="eastAsia"/>
        </w:rPr>
        <w:t>《息系统密码应用基本要求》（GM/T0054-2018）</w:t>
      </w:r>
    </w:p>
    <w:p>
      <w:r>
        <w:rPr>
          <w:rFonts w:hint="eastAsia"/>
        </w:rPr>
        <w:t>《信息安全技术个人信息安全规范》（GBT 35273-2017）</w:t>
      </w:r>
    </w:p>
    <w:p>
      <w:r>
        <w:rPr>
          <w:rFonts w:hint="eastAsia"/>
        </w:rPr>
        <w:t>《信息安全技术 网络安全等级保护基本要求》（GB∕T 22239-2019）</w:t>
      </w:r>
    </w:p>
    <w:p>
      <w:r>
        <w:rPr>
          <w:rFonts w:hint="eastAsia"/>
        </w:rPr>
        <w:t>《信息安全技术 网络安全等级保护安全设计技术要求》（GB/T 25070-2019）</w:t>
      </w:r>
    </w:p>
    <w:p>
      <w:r>
        <w:rPr>
          <w:rFonts w:hint="eastAsia"/>
        </w:rPr>
        <w:t>《信息安全技术 网络安全等级保护测评要求》（GB∕T 28448-2019）</w:t>
      </w:r>
    </w:p>
    <w:p>
      <w:r>
        <w:rPr>
          <w:rFonts w:hint="eastAsia"/>
        </w:rPr>
        <w:t>《信息安全技术信息系统密码应用基本要求》（GB∕T39786-2021）</w:t>
      </w:r>
    </w:p>
    <w:bookmarkEnd w:id="19"/>
    <w:p>
      <w:pPr>
        <w:pStyle w:val="14"/>
        <w:ind w:firstLine="480"/>
      </w:pPr>
    </w:p>
    <w:p>
      <w:pPr>
        <w:pStyle w:val="3"/>
      </w:pPr>
      <w:bookmarkStart w:id="21" w:name="_Toc99028684"/>
      <w:bookmarkStart w:id="22" w:name="_Toc29773"/>
      <w:bookmarkStart w:id="23" w:name="_Toc99092955"/>
      <w:bookmarkStart w:id="24" w:name="_Toc93395100"/>
      <w:r>
        <w:rPr>
          <w:rFonts w:hint="eastAsia"/>
        </w:rPr>
        <w:t>项目建设目标、规模、内容、建设期</w:t>
      </w:r>
      <w:bookmarkEnd w:id="21"/>
      <w:bookmarkEnd w:id="22"/>
      <w:bookmarkEnd w:id="23"/>
    </w:p>
    <w:p>
      <w:pPr>
        <w:pStyle w:val="4"/>
        <w:ind w:left="240" w:leftChars="0" w:firstLineChars="0"/>
      </w:pPr>
      <w:bookmarkStart w:id="25" w:name="_Toc23285"/>
      <w:bookmarkStart w:id="26" w:name="_Toc99092956"/>
      <w:r>
        <w:rPr>
          <w:rFonts w:hint="eastAsia"/>
        </w:rPr>
        <w:t>建设目标</w:t>
      </w:r>
      <w:bookmarkEnd w:id="24"/>
      <w:bookmarkEnd w:id="25"/>
      <w:bookmarkEnd w:id="26"/>
    </w:p>
    <w:p>
      <w:r>
        <w:rPr>
          <w:rFonts w:hint="eastAsia" w:ascii="宋体" w:hAnsi="宋体"/>
          <w:kern w:val="0"/>
        </w:rPr>
        <w:t>落实《市场监管总局办公厅 关于开展市场主体数据质量提升行动的通知》（国市监注发〔2021〕19号）、《市场监管总局关于加强信息化工作的指导意见》（国市监办发〔2021〕2号）、《市场监管总局关于充分发挥职能作用落实深化“证照分离”改</w:t>
      </w:r>
      <w:r>
        <w:rPr>
          <w:rFonts w:hint="eastAsia" w:ascii="宋体" w:hAnsi="宋体"/>
          <w:color w:val="auto"/>
          <w:kern w:val="0"/>
        </w:rPr>
        <w:t>革任务的通知》（国市监注发〔2021〕36 号）等文件要求，</w:t>
      </w:r>
      <w:r>
        <w:t>建立完善市场主体数据质量管理制度，统一数据综合治理规则</w:t>
      </w:r>
      <w:r>
        <w:rPr>
          <w:rFonts w:hint="eastAsia"/>
        </w:rPr>
        <w:t>。建设的市场监管主题库及证照库项目将充分利用信息化的手段，以“数字监管”为前提，革新传统的监管方式和手段，为监管部门提供了移动监管、决策支持等多种信息化手段助力监管工作，减轻监管人员的工作负担，提升市场监管部门的综合监管能效。黑龙江省市场监督管理局通过建设市场监管大脑，实现市场监管工作的各项业务状况和发展态势的总览分析，展现市场监管智慧化发展水平，体现市场监管决策和服务改革创新。</w:t>
      </w:r>
    </w:p>
    <w:p>
      <w:pPr>
        <w:pStyle w:val="4"/>
        <w:ind w:left="240" w:leftChars="0" w:firstLineChars="0"/>
      </w:pPr>
      <w:bookmarkStart w:id="27" w:name="_Toc99028686"/>
      <w:bookmarkStart w:id="28" w:name="_Toc8718"/>
      <w:bookmarkStart w:id="29" w:name="_Toc99092957"/>
      <w:r>
        <w:rPr>
          <w:rFonts w:hint="eastAsia"/>
        </w:rPr>
        <w:t>建设规模</w:t>
      </w:r>
      <w:bookmarkEnd w:id="27"/>
      <w:bookmarkEnd w:id="28"/>
      <w:bookmarkEnd w:id="29"/>
    </w:p>
    <w:p>
      <w:r>
        <w:rPr>
          <w:rFonts w:hint="eastAsia"/>
        </w:rPr>
        <w:t>系统建成后将覆盖黑龙江省全省</w:t>
      </w:r>
      <w:r>
        <w:t>263.54万</w:t>
      </w:r>
      <w:r>
        <w:rPr>
          <w:rFonts w:hint="eastAsia"/>
        </w:rPr>
        <w:t>监管对象</w:t>
      </w:r>
      <w:r>
        <w:t>，其中内资企业61398户，外资企业6278户、私营企业467004户、农民专业合作社95645户、个体工商户2005114户。</w:t>
      </w:r>
      <w:r>
        <w:rPr>
          <w:rFonts w:hint="eastAsia"/>
        </w:rPr>
        <w:t>系统将面向省级监管部门，实现数据质量管理、主题库数据资料平台和证照库平台以的建设，</w:t>
      </w:r>
      <w:r>
        <w:t>满足</w:t>
      </w:r>
      <w:r>
        <w:rPr>
          <w:rFonts w:hint="eastAsia"/>
        </w:rPr>
        <w:t>市场监管部分不同角色的使用需求。</w:t>
      </w:r>
    </w:p>
    <w:p>
      <w:pPr>
        <w:pStyle w:val="4"/>
        <w:ind w:left="240" w:leftChars="0" w:firstLineChars="0"/>
      </w:pPr>
      <w:bookmarkStart w:id="30" w:name="_Toc99092958"/>
      <w:bookmarkStart w:id="31" w:name="_Toc22464"/>
      <w:bookmarkStart w:id="32" w:name="_Hlk110237618"/>
      <w:r>
        <w:rPr>
          <w:rFonts w:hint="eastAsia"/>
        </w:rPr>
        <w:t>建设内容</w:t>
      </w:r>
      <w:bookmarkEnd w:id="30"/>
      <w:bookmarkEnd w:id="31"/>
    </w:p>
    <w:bookmarkEnd w:id="32"/>
    <w:p>
      <w:r>
        <w:rPr>
          <w:rFonts w:hint="eastAsia"/>
        </w:rPr>
        <w:t>本次建设内容为新建系统，不涉及原有相关系统复用。</w:t>
      </w:r>
    </w:p>
    <w:p>
      <w:pPr>
        <w:rPr>
          <w:bCs/>
        </w:rPr>
      </w:pPr>
      <w:r>
        <w:rPr>
          <w:rFonts w:hint="eastAsia"/>
          <w:bCs/>
        </w:rPr>
        <w:t>（一）数据质量综合管理平台</w:t>
      </w:r>
    </w:p>
    <w:p>
      <w:r>
        <w:rPr>
          <w:rFonts w:hint="eastAsia"/>
        </w:rPr>
        <w:t>建设数据质量综合管理平台建设，满足</w:t>
      </w:r>
      <w:r>
        <w:rPr>
          <w:rFonts w:hint="eastAsia" w:ascii="宋体" w:hAnsi="宋体"/>
        </w:rPr>
        <w:t>市场监管总局对于数据不同维度的质量要求，持续提升市场主体数据质量，实现对各级市场监管部门数据应用、数据分析、部门之间数据共享的基础需求。</w:t>
      </w:r>
      <w:r>
        <w:rPr>
          <w:rFonts w:hint="eastAsia"/>
        </w:rPr>
        <w:t>通过据质量检查资源规划与设计实现基于服务门户，提供数据质量检查、数据质量评价、数据质量监测、数据质量反馈、数据质量考核等系统各项功能，形成数据质量检查体系的基础资源。</w:t>
      </w:r>
    </w:p>
    <w:p>
      <w:pPr>
        <w:rPr>
          <w:bCs/>
        </w:rPr>
      </w:pPr>
      <w:r>
        <w:rPr>
          <w:rFonts w:hint="eastAsia"/>
          <w:bCs/>
        </w:rPr>
        <w:t>（二）监管大脑主题库应用平台</w:t>
      </w:r>
    </w:p>
    <w:p>
      <w:r>
        <w:rPr>
          <w:rFonts w:hint="eastAsia"/>
        </w:rPr>
        <w:t>对当前黑龙江省市场监管数据中心系统汇聚的数据，进行采集处理</w:t>
      </w:r>
      <w:r>
        <w:rPr>
          <w:rFonts w:hint="eastAsia" w:ascii="Times New Roman" w:hAnsi="Times New Roman" w:cs="Times New Roman"/>
          <w:color w:val="auto"/>
          <w:kern w:val="0"/>
        </w:rPr>
        <w:t>形成</w:t>
      </w:r>
      <w:r>
        <w:rPr>
          <w:rFonts w:hint="eastAsia" w:ascii="Times New Roman" w:hAnsi="Times New Roman" w:cs="Times New Roman"/>
          <w:color w:val="auto"/>
          <w:kern w:val="0"/>
          <w:lang w:val="zh-CN"/>
        </w:rPr>
        <w:t>监管数据</w:t>
      </w:r>
      <w:r>
        <w:rPr>
          <w:rFonts w:ascii="Times New Roman" w:hAnsi="Times New Roman" w:cs="Times New Roman"/>
          <w:color w:val="auto"/>
          <w:kern w:val="0"/>
          <w:lang w:val="zh-CN"/>
        </w:rPr>
        <w:t>模型</w:t>
      </w:r>
      <w:r>
        <w:rPr>
          <w:rFonts w:hint="eastAsia" w:ascii="Times New Roman" w:hAnsi="Times New Roman" w:cs="Times New Roman"/>
          <w:color w:val="auto"/>
          <w:kern w:val="0"/>
          <w:lang w:val="zh-CN"/>
        </w:rPr>
        <w:t>，</w:t>
      </w:r>
      <w:r>
        <w:rPr>
          <w:rFonts w:ascii="Times New Roman" w:hAnsi="Times New Roman" w:cs="Times New Roman"/>
          <w:color w:val="auto"/>
          <w:kern w:val="0"/>
          <w:lang w:val="zh-CN"/>
        </w:rPr>
        <w:t>根据市场监管业务场景生成具体的</w:t>
      </w:r>
      <w:r>
        <w:rPr>
          <w:rFonts w:hint="eastAsia" w:ascii="Times New Roman" w:hAnsi="Times New Roman" w:cs="Times New Roman"/>
          <w:color w:val="auto"/>
          <w:kern w:val="0"/>
          <w:lang w:val="zh-CN"/>
        </w:rPr>
        <w:t>市场主体</w:t>
      </w:r>
      <w:r>
        <w:rPr>
          <w:rFonts w:ascii="Times New Roman" w:hAnsi="Times New Roman" w:cs="Times New Roman"/>
          <w:color w:val="auto"/>
          <w:kern w:val="0"/>
          <w:lang w:val="zh-CN"/>
        </w:rPr>
        <w:t>、</w:t>
      </w:r>
      <w:r>
        <w:rPr>
          <w:rFonts w:hint="eastAsia" w:ascii="Times New Roman" w:hAnsi="Times New Roman" w:cs="Times New Roman"/>
          <w:color w:val="auto"/>
          <w:kern w:val="0"/>
          <w:lang w:val="zh-CN"/>
        </w:rPr>
        <w:t>企业发展</w:t>
      </w:r>
      <w:r>
        <w:rPr>
          <w:rFonts w:ascii="Times New Roman" w:hAnsi="Times New Roman" w:cs="Times New Roman"/>
          <w:color w:val="auto"/>
          <w:kern w:val="0"/>
          <w:lang w:val="zh-CN"/>
        </w:rPr>
        <w:t>、</w:t>
      </w:r>
      <w:r>
        <w:rPr>
          <w:rFonts w:hint="eastAsia" w:ascii="Times New Roman" w:hAnsi="Times New Roman" w:cs="Times New Roman"/>
          <w:color w:val="auto"/>
          <w:kern w:val="0"/>
          <w:lang w:val="zh-CN"/>
        </w:rPr>
        <w:t>企业生存状态</w:t>
      </w:r>
      <w:r>
        <w:rPr>
          <w:rFonts w:ascii="Times New Roman" w:hAnsi="Times New Roman" w:cs="Times New Roman"/>
          <w:color w:val="auto"/>
          <w:kern w:val="0"/>
          <w:lang w:val="zh-CN"/>
        </w:rPr>
        <w:t>、</w:t>
      </w:r>
      <w:r>
        <w:rPr>
          <w:rFonts w:hint="eastAsia" w:ascii="Times New Roman" w:hAnsi="Times New Roman" w:cs="Times New Roman"/>
          <w:color w:val="auto"/>
          <w:kern w:val="0"/>
          <w:lang w:val="zh-CN"/>
        </w:rPr>
        <w:t>企业活跃度等业务主题库</w:t>
      </w:r>
      <w:r>
        <w:rPr>
          <w:rFonts w:ascii="Times New Roman" w:hAnsi="Times New Roman" w:cs="Times New Roman"/>
          <w:color w:val="auto"/>
          <w:kern w:val="0"/>
          <w:lang w:val="zh-CN"/>
        </w:rPr>
        <w:t>。</w:t>
      </w:r>
      <w:r>
        <w:rPr>
          <w:rFonts w:hint="eastAsia"/>
        </w:rPr>
        <w:t>展示全局宏观各项业务</w:t>
      </w:r>
      <w:r>
        <w:rPr>
          <w:rFonts w:hint="eastAsia"/>
          <w:kern w:val="0"/>
        </w:rPr>
        <w:t>关键指标，为领导决策层提供</w:t>
      </w:r>
      <w:r>
        <w:rPr>
          <w:rFonts w:hint="eastAsia"/>
        </w:rPr>
        <w:t>决策支持。</w:t>
      </w:r>
    </w:p>
    <w:p>
      <w:pPr>
        <w:rPr>
          <w:rFonts w:ascii="Times New Roman" w:hAnsi="Times New Roman" w:cs="Times New Roman"/>
          <w:bCs/>
        </w:rPr>
      </w:pPr>
      <w:r>
        <w:rPr>
          <w:rFonts w:hint="eastAsia" w:ascii="Times New Roman" w:hAnsi="Times New Roman" w:cs="Times New Roman"/>
          <w:bCs/>
        </w:rPr>
        <w:t>（三）证照库平台</w:t>
      </w:r>
    </w:p>
    <w:p>
      <w:pPr>
        <w:rPr>
          <w:rFonts w:ascii="Times New Roman" w:hAnsi="Times New Roman" w:cs="Times New Roman"/>
        </w:rPr>
      </w:pPr>
      <w:r>
        <w:rPr>
          <w:rFonts w:hint="eastAsia" w:ascii="Times New Roman" w:hAnsi="Times New Roman" w:cs="Times New Roman"/>
        </w:rPr>
        <w:t>按照市场监管部门涉企经营许可电子证件数据规范的要求，生成电子证件数据，加盖省信息中心电子印章。包含已生成的食品经营许可电子证照、食品生成许可电子证照以及本系统生成的检验检测机构资质认定证书、认证机构批准书、全国工业产品生产许可证、“三品一械”广告审查、计量授权证书、特种设备检验检测机构核准证、特种设备生产单位许可证、移动式压力容器充装许可证、气瓶充装许可证等共享至国家数据中心上报库</w:t>
      </w:r>
    </w:p>
    <w:p>
      <w:r>
        <w:rPr>
          <w:rFonts w:hint="eastAsia"/>
        </w:rPr>
        <w:t>按照总局文件要求，生成检验检测机构资质认定证书、认证机构批准书、全国工业产品生产许可证、计量授权证书、特种设备检验检测机构核准证、特种设备生产单位许可证、“三品一械”广告审查、移动式压力容器充装许可证、气瓶充装许可证、食品经营许可证、食品生产许可证等电子证照、共享电子证照至国家总局并提供查询接口服务。</w:t>
      </w:r>
    </w:p>
    <w:p>
      <w:pPr>
        <w:pStyle w:val="4"/>
        <w:ind w:left="240" w:leftChars="0" w:firstLineChars="0"/>
      </w:pPr>
      <w:bookmarkStart w:id="33" w:name="_Toc99092959"/>
      <w:bookmarkStart w:id="34" w:name="_Toc99028688"/>
      <w:bookmarkStart w:id="35" w:name="_Toc24872"/>
      <w:r>
        <w:rPr>
          <w:rFonts w:hint="eastAsia"/>
        </w:rPr>
        <w:t>建设期</w:t>
      </w:r>
      <w:bookmarkEnd w:id="33"/>
      <w:bookmarkEnd w:id="34"/>
      <w:bookmarkEnd w:id="35"/>
    </w:p>
    <w:p>
      <w:pPr>
        <w:bidi w:val="0"/>
        <w:rPr>
          <w:rFonts w:hint="eastAsia"/>
        </w:rPr>
      </w:pPr>
      <w:bookmarkStart w:id="36" w:name="_Toc99092960"/>
      <w:bookmarkStart w:id="37" w:name="_Toc99028689"/>
      <w:r>
        <w:rPr>
          <w:rFonts w:hint="eastAsia"/>
        </w:rPr>
        <w:t>项目建设期为12个月，从2022年7月至2023年6月</w:t>
      </w:r>
    </w:p>
    <w:p>
      <w:pPr>
        <w:pStyle w:val="4"/>
        <w:bidi w:val="0"/>
        <w:ind w:left="240" w:leftChars="0" w:firstLineChars="0"/>
      </w:pPr>
      <w:bookmarkStart w:id="38" w:name="_Toc9004"/>
      <w:r>
        <w:t>项目总投资及资金来源</w:t>
      </w:r>
      <w:bookmarkEnd w:id="36"/>
      <w:bookmarkEnd w:id="37"/>
      <w:bookmarkEnd w:id="38"/>
    </w:p>
    <w:p>
      <w:pPr>
        <w:rPr>
          <w:rFonts w:hint="eastAsia"/>
        </w:rPr>
      </w:pPr>
      <w:r>
        <w:rPr>
          <w:rFonts w:hint="eastAsia"/>
        </w:rPr>
        <w:t>本项目总投资估算为</w:t>
      </w:r>
      <w:r>
        <w:t>4</w:t>
      </w:r>
      <w:r>
        <w:rPr>
          <w:rFonts w:hint="eastAsia"/>
          <w:lang w:val="en-US" w:eastAsia="zh-CN"/>
        </w:rPr>
        <w:t>17.55</w:t>
      </w:r>
      <w:r>
        <w:t>万元。</w:t>
      </w:r>
      <w:r>
        <w:rPr>
          <w:rFonts w:hint="eastAsia"/>
        </w:rPr>
        <w:t>其中，工程费用为</w:t>
      </w:r>
      <w:r>
        <w:rPr>
          <w:rFonts w:hint="eastAsia"/>
          <w:lang w:val="en-US" w:eastAsia="zh-CN"/>
        </w:rPr>
        <w:t>357.6</w:t>
      </w:r>
      <w:r>
        <w:rPr>
          <w:rFonts w:hint="eastAsia"/>
        </w:rPr>
        <w:t>万元，建设其他费</w:t>
      </w:r>
      <w:r>
        <w:rPr>
          <w:rFonts w:hint="eastAsia"/>
          <w:lang w:val="en-US" w:eastAsia="zh-CN"/>
        </w:rPr>
        <w:t>44.95</w:t>
      </w:r>
      <w:r>
        <w:rPr>
          <w:rFonts w:hint="eastAsia"/>
        </w:rPr>
        <w:t>万元，预备费15万元。</w:t>
      </w:r>
    </w:p>
    <w:p>
      <w:r>
        <w:rPr>
          <w:rFonts w:hint="eastAsia"/>
        </w:rPr>
        <w:t>项目资金来源为</w:t>
      </w:r>
      <w:r>
        <w:rPr>
          <w:rFonts w:hint="eastAsia"/>
          <w:lang w:val="en-US" w:eastAsia="zh-CN"/>
        </w:rPr>
        <w:t>地方政府</w:t>
      </w:r>
      <w:r>
        <w:rPr>
          <w:rFonts w:hint="eastAsia"/>
        </w:rPr>
        <w:t>一般债券资金。</w:t>
      </w:r>
    </w:p>
    <w:p>
      <w:pPr>
        <w:pStyle w:val="3"/>
      </w:pPr>
      <w:bookmarkStart w:id="39" w:name="_Toc99092961"/>
      <w:bookmarkStart w:id="40" w:name="_Toc82419524"/>
      <w:bookmarkStart w:id="41" w:name="_Toc83910514"/>
      <w:bookmarkStart w:id="42" w:name="_Toc26967"/>
      <w:bookmarkStart w:id="43" w:name="_Toc93395101"/>
      <w:r>
        <w:rPr>
          <w:rFonts w:hint="eastAsia"/>
        </w:rPr>
        <w:t>经济与社会效益分析</w:t>
      </w:r>
      <w:bookmarkEnd w:id="39"/>
      <w:bookmarkEnd w:id="40"/>
      <w:bookmarkEnd w:id="41"/>
      <w:bookmarkEnd w:id="42"/>
    </w:p>
    <w:p>
      <w:r>
        <w:rPr>
          <w:rFonts w:hint="eastAsia"/>
        </w:rPr>
        <w:t>市场监管主题库与证照库项目为纯公益性投资，不产生直接经济效益，但随着信息化应用的有序推广，将对市场监督管理局的工作产生及其深远的影响，社会效益及其显著。本期项目建成后将通过信息化技术手段为领导决策提供服务支撑，为工作人员开展工作管理提供服务支撑，为进一步加强公共服务能力提供支撑。将进一步提高信息资源的融合共享，将全面提升市场监督管理局工作的社会影响力。项目建成后将发挥积极社会效益。</w:t>
      </w:r>
    </w:p>
    <w:p>
      <w:r>
        <w:rPr>
          <w:rFonts w:hint="eastAsia"/>
        </w:rPr>
        <w:t>（1）扩大市场监管信息化监管深度</w:t>
      </w:r>
    </w:p>
    <w:p>
      <w:r>
        <w:rPr>
          <w:rFonts w:hint="eastAsia"/>
        </w:rPr>
        <w:t>此次市场监管主题库及证照库项目深化监管领域，从市场主体业务办理情况、监督检查情况、投诉举报情况、执法办案情况和监督效能情况出发，全面支持市场监管监督检查、稽查执法、投诉举报等各项监管业务的信息化办理，有效助力市场监管工作。</w:t>
      </w:r>
    </w:p>
    <w:p>
      <w:r>
        <w:rPr>
          <w:rFonts w:hint="eastAsia"/>
        </w:rPr>
        <w:t>（2）创新监管方式，提升监管能效</w:t>
      </w:r>
    </w:p>
    <w:p>
      <w:r>
        <w:rPr>
          <w:rFonts w:hint="eastAsia"/>
        </w:rPr>
        <w:t>此次建设的市场监管主题库及证照库项目将充分利用信息化的手段，以“数字监管”为前提，革新传统的监管方式和手段，为监管部门提供了移动监管、决策支持等多种信息化手段助力监管工作，减轻监管人员的工作负担，提升市场监管部门的综合监管能效。</w:t>
      </w:r>
    </w:p>
    <w:p>
      <w:r>
        <w:rPr>
          <w:rFonts w:hint="eastAsia"/>
        </w:rPr>
        <w:t>（3）形成以诚信体系为核心的常态化运转机制</w:t>
      </w:r>
    </w:p>
    <w:p>
      <w:r>
        <w:rPr>
          <w:rFonts w:hint="eastAsia"/>
        </w:rPr>
        <w:t>平台以各应用系统作为监管数据源，通过诚信模型的计算得出科学、客观、权威的市场主体诚信评价结果，能够有效约束市场主体生产经营的安全规范，促进行业的良性竞争，以常态化的诚信闭环为驱动，打造良好的营商环境。</w:t>
      </w:r>
    </w:p>
    <w:p>
      <w:r>
        <w:rPr>
          <w:rFonts w:hint="eastAsia"/>
        </w:rPr>
        <w:t>（4）进一步强化数据质量，确保数据资源有效利用</w:t>
      </w:r>
    </w:p>
    <w:p>
      <w:r>
        <w:rPr>
          <w:rFonts w:hint="eastAsia"/>
        </w:rPr>
        <w:t>数据资源是市场监管信息化建设的基础资源，而数据资源的互通共享则是构建科学有效的市场监管信息化体系的前提。通过数据质量提升，形成数据质量检查体系的基础资源，全面支撑数据质量检查工作的开展，进一步强化数据的互通共享，杜绝“信息孤岛”，发掘数据资源的有效价值。</w:t>
      </w:r>
    </w:p>
    <w:p>
      <w:pPr>
        <w:pStyle w:val="3"/>
      </w:pPr>
      <w:bookmarkStart w:id="44" w:name="_Toc15708"/>
      <w:bookmarkStart w:id="45" w:name="_Toc99092962"/>
      <w:r>
        <w:rPr>
          <w:rFonts w:hint="eastAsia"/>
        </w:rPr>
        <w:t>主要结论和建议</w:t>
      </w:r>
      <w:bookmarkEnd w:id="43"/>
      <w:bookmarkEnd w:id="44"/>
      <w:bookmarkEnd w:id="45"/>
    </w:p>
    <w:p>
      <w:r>
        <w:rPr>
          <w:rFonts w:hint="eastAsia"/>
        </w:rPr>
        <w:t>本项目符合国家相关建设指导思想，以黑龙江省市场监督管理局各部门实际业务需求为出发点进行设计，业务需求清晰明确。项目建成后，能够提高黑龙江省市场监督管理局的综合监管能力、管理专业化水平、精细管理和运行能力，具有良好的社会效应和经济效应。</w:t>
      </w:r>
    </w:p>
    <w:p>
      <w:r>
        <w:rPr>
          <w:rFonts w:hint="eastAsia"/>
        </w:rPr>
        <w:t>本项目涉及的系统总体技术框架、关键技术路线等都是采用信息领域成熟先进技术，系统采用的软硬件产品等均为成熟稳定产品，在国内同领域有着广泛的应用，具有良好的技术保证；本项目建设符合国家有关政策法规和技术标准规范的要求，依托黑龙江省市场监督管理局信息化系统建设现状，本项目具有一定的建设基础。因此，本项目具有很强的技术可行性。</w:t>
      </w:r>
    </w:p>
    <w:p>
      <w:r>
        <w:rPr>
          <w:rFonts w:hint="eastAsia"/>
        </w:rPr>
        <w:t>本项目有利于实现信息化集约化及可持续发展，有利于提高市场主体监管水平，对提高工作法制化、科学化和社会化水平具有重要意义，具有很强的紧迫性、必要性和可行性，社会效益、经济效益明显。</w:t>
      </w:r>
    </w:p>
    <w:p>
      <w:r>
        <w:rPr>
          <w:rFonts w:hint="eastAsia"/>
        </w:rPr>
        <w:t>综上所述，项目建设加强黑龙江市场监督管理局的综合管理能力，提高市场监督管理局的监管水平和运行效率。此次项目也是实现“互联网+监管”的建设目标，充分支持国家发展战略的重大信息化项目，提高了我省市场监督管理局信息化水平，提升管理效能，具有重要的现实意义。</w:t>
      </w:r>
    </w:p>
    <w:p>
      <w:pPr>
        <w:pStyle w:val="2"/>
      </w:pPr>
      <w:bookmarkStart w:id="46" w:name="_Toc99092963"/>
      <w:bookmarkStart w:id="47" w:name="_Toc11312"/>
      <w:bookmarkStart w:id="48" w:name="_Toc93395102"/>
      <w:r>
        <w:rPr>
          <w:rFonts w:hint="eastAsia"/>
        </w:rPr>
        <w:t>项目建设单位情况</w:t>
      </w:r>
      <w:bookmarkEnd w:id="46"/>
      <w:bookmarkEnd w:id="47"/>
    </w:p>
    <w:p>
      <w:pPr>
        <w:pStyle w:val="3"/>
      </w:pPr>
      <w:bookmarkStart w:id="49" w:name="_Toc17344"/>
      <w:bookmarkStart w:id="50" w:name="_Toc99092964"/>
      <w:bookmarkStart w:id="51" w:name="_Toc99028693"/>
      <w:r>
        <w:t>项目建设单位与职能</w:t>
      </w:r>
      <w:bookmarkEnd w:id="49"/>
      <w:bookmarkEnd w:id="50"/>
      <w:bookmarkEnd w:id="51"/>
    </w:p>
    <w:p>
      <w:r>
        <w:rPr>
          <w:rFonts w:hint="eastAsia"/>
        </w:rPr>
        <w:t>本项目建设单位为黑龙江省市场监督管理局，主要职能如下：</w:t>
      </w:r>
    </w:p>
    <w:p>
      <w:r>
        <w:rPr>
          <w:rFonts w:hint="eastAsia"/>
        </w:rPr>
        <w:t>（一）负责市场综合监督管理。贯彻执行国家市场监督管理的方针、政策和有关法律、法规和规章，起草市场监督管理有关地方性法规、省政府规章草案，拟订全省市场监督管理有关政策、标准，组织实施质量强省战略、食品安全战略和标准化战略，拟订并组织实施有关规划，规范和维护市场秩序，营造诚实守信、公平竞争的市场环境。</w:t>
      </w:r>
    </w:p>
    <w:p>
      <w:r>
        <w:rPr>
          <w:rFonts w:hint="eastAsia"/>
        </w:rPr>
        <w:t>（二）负责市场主体统一登记注册。指导各类企业、农民专业合作社和从事经营活动的单位、个体工商户以及外国（地区）企业常驻代表机构等市场主体的登记注册工作。建立市场主体信息公示和共享机制，依法公示和共享有关信息，加强信用监管，推动市场主体信用体系建设。</w:t>
      </w:r>
    </w:p>
    <w:p>
      <w:r>
        <w:rPr>
          <w:rFonts w:hint="eastAsia"/>
        </w:rPr>
        <w:t>（三）负责组织和指导市场监管综合执法工作。指导市（地）市场监管综合执法队伍整合和建设，推动实行统一的市场监管。组织查处重大违法案件。规范市场监管行政执法行为。</w:t>
      </w:r>
    </w:p>
    <w:p>
      <w:r>
        <w:rPr>
          <w:rFonts w:hint="eastAsia"/>
        </w:rPr>
        <w:t>（四）负责反垄断统一执法。统筹推进竞争政策实施，指导实施公平竞争审查制度。依法对经营者集中行为进行反垄断审查，负责垄断协议、滥用市场支配地位和滥用行政权力排除、限制竞争等反垄断执法工作。指导企业在国外的反垄断应诉工作。</w:t>
      </w:r>
    </w:p>
    <w:p>
      <w:r>
        <w:rPr>
          <w:rFonts w:hint="eastAsia"/>
        </w:rPr>
        <w:t>（五）负责监督管理市场秩序。依法监督管理市场交易、网络商品交易及有关服务的行为。组织指导查处价格收费违法违规、不正当竞争、违法直销、传销、侵犯商标专利知识产权和制售假冒伪劣行为。指导广告业发展，监督管理广告活动。指导依法查处无照生产经营和相关无证生产经营行为。组织开展消费维权工作。指导省消费者协会开展消费维权工作。</w:t>
      </w:r>
    </w:p>
    <w:p>
      <w:r>
        <w:rPr>
          <w:rFonts w:hint="eastAsia"/>
        </w:rPr>
        <w:t>（六）负责宏观质量管理。贯彻实施质量发展的制度措施。统筹全省质量基础设施建设与应用，会同有关部门组织实施重大工程设备质量监理制度，组织重大质量事故调查，贯彻落实缺陷产品召回制度，监督管理产品防伪工作。</w:t>
      </w:r>
    </w:p>
    <w:p>
      <w:r>
        <w:rPr>
          <w:rFonts w:hint="eastAsia"/>
        </w:rPr>
        <w:t>（七）负责产品质量安全监督管理。管理产品质量安全风险监控、省级监督抽查工作。组织实施质量分级制度、质量安全追溯制度。组织指导工业产品生产许可管理。负责纤维质量监督工作。负责相关危险化学品安全监督管理。</w:t>
      </w:r>
    </w:p>
    <w:p>
      <w:r>
        <w:rPr>
          <w:rFonts w:hint="eastAsia"/>
        </w:rPr>
        <w:t>（八）负责特种设备安全监督管理。综合管理特种设备安全监察、监督工作，监督检查高耗能特种设备节能标准和锅炉环境保护标准的执行情况。</w:t>
      </w:r>
    </w:p>
    <w:p>
      <w:r>
        <w:rPr>
          <w:rFonts w:hint="eastAsia"/>
        </w:rPr>
        <w:t>（九）负责食品安全监督管理综合协调。贯彻执行食品安全重大政策。负责食品安全应急体系建设，组织指导重大食品安全事件应急处置和调查处理工作。建立健全食品安全重要信息直报制度。承担省政府食品安全委员会日常工作。</w:t>
      </w:r>
    </w:p>
    <w:p>
      <w:r>
        <w:rPr>
          <w:rFonts w:hint="eastAsia"/>
        </w:rPr>
        <w:t>（十）负责食品安全监督管理。建立覆盖食品生产、流通、消费全过程的监督检查制度和隐患排查治理机制并组织实施，防范区域性、系统性食品安全风险。推动建立食品生产经营者落实主体责任的机制，健全食品安全追溯体系。组织开展食品安全监督抽检、风险监测、核查处置和风险预警、风险交流工作。依法组织实施食品生产经营许可、备案和监督管理。</w:t>
      </w:r>
    </w:p>
    <w:p>
      <w:r>
        <w:rPr>
          <w:rFonts w:hint="eastAsia"/>
        </w:rPr>
        <w:t>（十一）负责统一管理计量工作。推行法定计量单位，执行国家计量制度，管理计量器具及量值传递和比对工作。规范、监督商品量和市场计量行为。</w:t>
      </w:r>
    </w:p>
    <w:p>
      <w:r>
        <w:rPr>
          <w:rFonts w:hint="eastAsia"/>
        </w:rPr>
        <w:t>（十二）负责统一管理标准化工作。依法承担地方标准的立项、编号、对外通报和授权批准发布工作。开展宣传贯彻国家标准、行业标准工作。组织参与国际区域性标准化合作。</w:t>
      </w:r>
    </w:p>
    <w:p>
      <w:r>
        <w:rPr>
          <w:rFonts w:hint="eastAsia"/>
        </w:rPr>
        <w:t>（十三）负责统一管理检验检测工作。推进检验检测机构改革，规范检验检测市场，完善检验检测体系，指导协调检验检测行业发展。</w:t>
      </w:r>
    </w:p>
    <w:p>
      <w:r>
        <w:rPr>
          <w:rFonts w:hint="eastAsia"/>
        </w:rPr>
        <w:t>（十四）负责统一管理、监督和综合协调全省认证认可工作。组织实施国家统一的认证认可和合格评定监督管理制度。</w:t>
      </w:r>
    </w:p>
    <w:p>
      <w:r>
        <w:rPr>
          <w:rFonts w:hint="eastAsia"/>
        </w:rPr>
        <w:t>（十五）负责市场监督管理科技和信息化建设、新闻宣传、国际省际间交流与合作。按规定承担技术性贸易措施有关工作。</w:t>
      </w:r>
    </w:p>
    <w:p>
      <w:r>
        <w:rPr>
          <w:rFonts w:hint="eastAsia"/>
        </w:rPr>
        <w:t>（十六）负责本行业领域的安全生产工作。</w:t>
      </w:r>
    </w:p>
    <w:p>
      <w:r>
        <w:rPr>
          <w:rFonts w:hint="eastAsia"/>
        </w:rPr>
        <w:t>（十七）管理省药品监督管理局、省知识产权局。</w:t>
      </w:r>
    </w:p>
    <w:p>
      <w:r>
        <w:rPr>
          <w:rFonts w:hint="eastAsia"/>
        </w:rPr>
        <w:t>（十八）完成省委、省政府交办的其他任务。</w:t>
      </w:r>
    </w:p>
    <w:p>
      <w:pPr>
        <w:pStyle w:val="3"/>
        <w:bidi w:val="0"/>
      </w:pPr>
      <w:bookmarkStart w:id="52" w:name="_Toc99092965"/>
      <w:bookmarkStart w:id="53" w:name="_Toc99028694"/>
      <w:bookmarkStart w:id="54" w:name="_Toc8923"/>
      <w:r>
        <w:t>项目实施机构与职责</w:t>
      </w:r>
      <w:bookmarkEnd w:id="52"/>
      <w:bookmarkEnd w:id="53"/>
      <w:bookmarkEnd w:id="54"/>
    </w:p>
    <w:p>
      <w:r>
        <w:rPr>
          <w:rFonts w:hint="eastAsia"/>
        </w:rPr>
        <w:t>项目实施机构：省市场主体信息监测中心。</w:t>
      </w:r>
    </w:p>
    <w:p>
      <w:r>
        <w:rPr>
          <w:rFonts w:hint="eastAsia"/>
        </w:rPr>
        <w:t>实施机构职责：拟订实施相关科技发展规划和技术机构建设规划，提出全省质量基础设施等重大科技需求，承担相关科研攻关、技术引进、成果应用工作。承担省局技术机构重大技改项目立项审核相关工作。承担市场监督管理信息化建设相关工作。组织实施市场监督管理信息公布制度。组织市场监督管理舆情监测、分析和协调处置工作。承担市场监督管理方面的对外交流与合作工作。</w:t>
      </w:r>
    </w:p>
    <w:p>
      <w:pPr>
        <w:pStyle w:val="2"/>
      </w:pPr>
      <w:bookmarkStart w:id="55" w:name="_Toc24148"/>
      <w:bookmarkStart w:id="56" w:name="_Toc99092966"/>
      <w:bookmarkStart w:id="57" w:name="_Toc93395106"/>
      <w:r>
        <w:rPr>
          <w:rFonts w:hint="eastAsia"/>
        </w:rPr>
        <w:t>需求分析和项目建设的必要性</w:t>
      </w:r>
      <w:bookmarkEnd w:id="55"/>
      <w:bookmarkEnd w:id="56"/>
    </w:p>
    <w:p>
      <w:pPr>
        <w:pStyle w:val="3"/>
        <w:bidi w:val="0"/>
      </w:pPr>
      <w:bookmarkStart w:id="58" w:name="_Toc765"/>
      <w:r>
        <w:rPr>
          <w:rFonts w:hint="eastAsia"/>
        </w:rPr>
        <w:t>与政务职能相关的社会问题和政务目标分析</w:t>
      </w:r>
      <w:bookmarkEnd w:id="58"/>
    </w:p>
    <w:p>
      <w:r>
        <w:rPr>
          <w:rFonts w:hint="eastAsia"/>
        </w:rPr>
        <w:t>1.《市场监管总局办公厅关于开展市场主体数据质量提升行动的通知》</w:t>
      </w:r>
    </w:p>
    <w:p>
      <w:r>
        <w:rPr>
          <w:rFonts w:hint="eastAsia"/>
        </w:rPr>
        <w:t>指出“全面夯实深化商事制度改革的数据基础，及时纠正数据质量建设中发现的各类数据问题”，“为持续提升市场主体数据质量，推动各地市场监管部门建立常态化数据质量自查评价机制”，确保数据真实、准确，进一步提升市场主体数据质量，显然市场主体的数据质量被提升的很高的高度，而各级市场监督局作为市场主体的直接管辖机构，针对数据质量问题也给各级部门带了极大的挑战。</w:t>
      </w:r>
    </w:p>
    <w:p>
      <w:pPr>
        <w:numPr>
          <w:ilvl w:val="0"/>
          <w:numId w:val="2"/>
        </w:numPr>
      </w:pPr>
      <w:r>
        <w:t>《国务院关于印发“十三五”市场监管规划的通知》</w:t>
      </w:r>
    </w:p>
    <w:p>
      <w:r>
        <w:rPr>
          <w:rFonts w:hint="eastAsia"/>
        </w:rPr>
        <w:t>加强和改善市场监管，是政府职能转变的重要方向，是维护市场公平竞争、充分激发市场活力和创造力的重要保障，是国家治理体系和治理能力现代化的重要任务。</w:t>
      </w:r>
    </w:p>
    <w:p>
      <w:pPr>
        <w:numPr>
          <w:ilvl w:val="0"/>
          <w:numId w:val="2"/>
        </w:numPr>
      </w:pPr>
      <w:r>
        <w:rPr>
          <w:rFonts w:hint="eastAsia"/>
        </w:rPr>
        <w:t>《市场监管总局关于加强信息化工作的指导意见》</w:t>
      </w:r>
    </w:p>
    <w:p>
      <w:r>
        <w:rPr>
          <w:rFonts w:hint="eastAsia"/>
        </w:rPr>
        <w:t>提出要“围绕建设宽松便捷的准入环境、公平有序的竞争环境、安全放心的消费环境，充分利用新一代信息技术，深入推进政务信息系统整合共享，加快大数据中心等基础设施建设，全力推动智慧监管在全系统广泛应用，努力实现线上线下一体化监管，构建全国统一的市场监管信息化体系，初步形成‘监管精准化、执法规范化、服务便利化、决策科学化、运行高效化’的智慧监管创新发展格局”。</w:t>
      </w:r>
    </w:p>
    <w:p>
      <w:bookmarkStart w:id="59" w:name="_Toc99028698"/>
      <w:r>
        <w:t>贯彻落实市场监管总局有关信息化建设工作部署，需要</w:t>
      </w:r>
      <w:r>
        <w:rPr>
          <w:rFonts w:hint="eastAsia"/>
        </w:rPr>
        <w:t>基于黑龙江省市场监督管理局信息现状，建设市场监管主题库与证照库</w:t>
      </w:r>
      <w:r>
        <w:t>，强化信息化保障，着力解决信息</w:t>
      </w:r>
      <w:r>
        <w:rPr>
          <w:rFonts w:hint="eastAsia"/>
        </w:rPr>
        <w:t>化保障存在的问题和差距，以强健稳定、安全可靠为目标，改造、完善、优化相关信息系统。是</w:t>
      </w:r>
      <w:r>
        <w:t>认真落实党中央、国务院和省委、省政府关于深化</w:t>
      </w:r>
      <w:r>
        <w:rPr>
          <w:rFonts w:hint="eastAsia"/>
        </w:rPr>
        <w:t>“</w:t>
      </w:r>
      <w:r>
        <w:t>放管服</w:t>
      </w:r>
      <w:r>
        <w:rPr>
          <w:rFonts w:hint="eastAsia"/>
        </w:rPr>
        <w:t>”</w:t>
      </w:r>
      <w:r>
        <w:t>改革优化营商环境的决策部署</w:t>
      </w:r>
      <w:r>
        <w:rPr>
          <w:rFonts w:hint="eastAsia"/>
        </w:rPr>
        <w:t>。</w:t>
      </w:r>
    </w:p>
    <w:p>
      <w:pPr>
        <w:pStyle w:val="3"/>
        <w:bidi w:val="0"/>
      </w:pPr>
      <w:bookmarkStart w:id="60" w:name="_Toc11126"/>
      <w:bookmarkStart w:id="61" w:name="_Toc99092969"/>
      <w:r>
        <w:rPr>
          <w:rFonts w:hint="eastAsia"/>
        </w:rPr>
        <w:t>业务需求、业务量分析</w:t>
      </w:r>
      <w:bookmarkEnd w:id="59"/>
      <w:bookmarkEnd w:id="60"/>
      <w:bookmarkEnd w:id="61"/>
    </w:p>
    <w:p>
      <w:pPr>
        <w:pStyle w:val="4"/>
        <w:ind w:left="240" w:leftChars="0" w:firstLineChars="0"/>
      </w:pPr>
      <w:bookmarkStart w:id="62" w:name="_Toc23448"/>
      <w:bookmarkStart w:id="63" w:name="_Toc99092970"/>
      <w:bookmarkStart w:id="64" w:name="_Toc93395107"/>
      <w:bookmarkStart w:id="65" w:name="_Toc93395104"/>
      <w:r>
        <w:rPr>
          <w:rFonts w:hint="eastAsia"/>
        </w:rPr>
        <w:t>业务需求分析</w:t>
      </w:r>
      <w:bookmarkEnd w:id="62"/>
      <w:bookmarkEnd w:id="63"/>
      <w:bookmarkEnd w:id="64"/>
    </w:p>
    <w:p>
      <w:pPr>
        <w:pStyle w:val="5"/>
      </w:pPr>
      <w:r>
        <w:rPr>
          <w:rFonts w:hint="eastAsia"/>
        </w:rPr>
        <w:t>数据质量综合管理</w:t>
      </w:r>
    </w:p>
    <w:p>
      <w:pPr>
        <w:ind w:firstLine="482"/>
        <w:rPr>
          <w:b/>
        </w:rPr>
      </w:pPr>
      <w:bookmarkStart w:id="66" w:name="_Toc78909647"/>
      <w:bookmarkStart w:id="67" w:name="_Toc69908635"/>
      <w:r>
        <w:rPr>
          <w:rFonts w:hint="eastAsia"/>
          <w:b/>
          <w:lang w:eastAsia="zh-CN"/>
        </w:rPr>
        <w:t>（</w:t>
      </w:r>
      <w:r>
        <w:rPr>
          <w:rFonts w:hint="eastAsia"/>
          <w:b/>
          <w:lang w:val="en-US" w:eastAsia="zh-CN"/>
        </w:rPr>
        <w:t>1</w:t>
      </w:r>
      <w:r>
        <w:rPr>
          <w:rFonts w:hint="eastAsia"/>
          <w:b/>
          <w:lang w:eastAsia="zh-CN"/>
        </w:rPr>
        <w:t>）</w:t>
      </w:r>
      <w:r>
        <w:rPr>
          <w:b/>
        </w:rPr>
        <w:t>建立问题数据清单动态管理</w:t>
      </w:r>
      <w:r>
        <w:rPr>
          <w:rFonts w:hint="eastAsia"/>
          <w:b/>
        </w:rPr>
        <w:t>制度</w:t>
      </w:r>
      <w:bookmarkEnd w:id="66"/>
      <w:bookmarkEnd w:id="67"/>
    </w:p>
    <w:p>
      <w:r>
        <w:t>全面梳理汇总数据质量建设中各地市场监管部门自查发现和总局调研组现场发现的各类数据问题，建立自查问题数据清单，并实施动态管理。各地市场监管部门要逐一核实并及时纠正，确保问题数据修复到位、不留死角，确保增量数据准确、真实；不能立即纠正的，要明确原因，制定整改方案，按计划整改；要突出重点，集中力量解决历史存量问题数据，日常工作中发现的数据问题也应纳入清单，及时处理，不拖不等。</w:t>
      </w:r>
    </w:p>
    <w:p>
      <w:pPr>
        <w:ind w:firstLine="482"/>
        <w:rPr>
          <w:b/>
        </w:rPr>
      </w:pPr>
      <w:bookmarkStart w:id="68" w:name="_Toc78909648"/>
      <w:bookmarkStart w:id="69" w:name="_Toc69908638"/>
      <w:r>
        <w:rPr>
          <w:rFonts w:hint="eastAsia"/>
          <w:b/>
          <w:lang w:eastAsia="zh-CN"/>
        </w:rPr>
        <w:t>（</w:t>
      </w:r>
      <w:r>
        <w:rPr>
          <w:rFonts w:hint="eastAsia"/>
          <w:b/>
          <w:lang w:val="en-US" w:eastAsia="zh-CN"/>
        </w:rPr>
        <w:t>2</w:t>
      </w:r>
      <w:r>
        <w:rPr>
          <w:rFonts w:hint="eastAsia"/>
          <w:b/>
          <w:lang w:eastAsia="zh-CN"/>
        </w:rPr>
        <w:t>）</w:t>
      </w:r>
      <w:r>
        <w:rPr>
          <w:b/>
        </w:rPr>
        <w:t>建立常态数据质量自查评价机制</w:t>
      </w:r>
      <w:bookmarkEnd w:id="68"/>
      <w:bookmarkEnd w:id="69"/>
    </w:p>
    <w:p>
      <w:r>
        <w:t>各地市场监管部门要以自查问题清单、基层需求为导向，结合总局下发校验规则和程序，逐步完善并统一数据检查规则，开发通用数据检查工具，优化业务系统数据治理模块，补充完善必要校验项目</w:t>
      </w:r>
      <w:r>
        <w:rPr>
          <w:rFonts w:hint="eastAsia"/>
        </w:rPr>
        <w:t>。可利用数据质量评价和监测工具，建立数据质量评价和反馈系统。采用技术手段，对数据质量问题生成评价报告，及时发布问题数据，督促各单位下载和整改。并可定期随机抽取数据进行网上自动监测，实时反馈评价结果，从而有效监督各单位的整改情况，实现数据质量随时间变化的趋势监测，保障数据质量的长期稳定。</w:t>
      </w:r>
    </w:p>
    <w:p>
      <w:pPr>
        <w:ind w:firstLine="482"/>
        <w:rPr>
          <w:b/>
        </w:rPr>
      </w:pPr>
      <w:bookmarkStart w:id="70" w:name="_Toc69908636"/>
      <w:bookmarkStart w:id="71" w:name="_Toc78909649"/>
      <w:r>
        <w:rPr>
          <w:rFonts w:hint="eastAsia"/>
          <w:b/>
          <w:lang w:eastAsia="zh-CN"/>
        </w:rPr>
        <w:t>（</w:t>
      </w:r>
      <w:r>
        <w:rPr>
          <w:rFonts w:hint="eastAsia"/>
          <w:b/>
          <w:lang w:val="en-US" w:eastAsia="zh-CN"/>
        </w:rPr>
        <w:t>3</w:t>
      </w:r>
      <w:r>
        <w:rPr>
          <w:rFonts w:hint="eastAsia"/>
          <w:b/>
          <w:lang w:eastAsia="zh-CN"/>
        </w:rPr>
        <w:t>）</w:t>
      </w:r>
      <w:r>
        <w:rPr>
          <w:b/>
        </w:rPr>
        <w:t>完善数据监测预警和纠错机制</w:t>
      </w:r>
      <w:bookmarkEnd w:id="70"/>
      <w:bookmarkEnd w:id="71"/>
    </w:p>
    <w:p>
      <w:r>
        <w:t>结合业务判断要求和必要校验逻辑，强化数据前端采集阶段问题分析判断，建立涵盖数据采集监测、问题数据分发、问题数据纠错</w:t>
      </w:r>
      <w:r>
        <w:rPr>
          <w:rFonts w:hint="eastAsia"/>
        </w:rPr>
        <w:t>、</w:t>
      </w:r>
      <w:r>
        <w:t>实地核实的完整工作流程和快速响应机制，将业务数据问题以待办</w:t>
      </w:r>
      <w:r>
        <w:rPr>
          <w:rFonts w:hint="eastAsia"/>
        </w:rPr>
        <w:t>事</w:t>
      </w:r>
      <w:r>
        <w:t>件形式实时推送相关经手人，实现数据在采集、录入、处理、分析、反馈、纠正等全环节的可标识、可追溯、可控制</w:t>
      </w:r>
      <w:r>
        <w:rPr>
          <w:rFonts w:hint="eastAsia"/>
        </w:rPr>
        <w:t>，</w:t>
      </w:r>
      <w:r>
        <w:t>确保市场主体登记信息真实、合理。</w:t>
      </w:r>
    </w:p>
    <w:p>
      <w:r>
        <w:rPr>
          <w:rFonts w:hint="eastAsia"/>
        </w:rPr>
        <w:t>根据评价结果对问题严重的数据项深入分析根本原因，制定改进方案，根据重要性进行优先级排序，以解决数据质量问题。对非技术性原因，对数据流程涉及的相关人员提供适当的培训，明确纠错补录职责分工，将数据质量责任落实到个人。对技术性原因，完善和升级有缺陷的系统，改善数据采集、传输和存储的性能；并可通过技术手段把部分评价规则的要求嵌入系统，在录入环节即提高数据质量，以防止问题再次发生。</w:t>
      </w:r>
    </w:p>
    <w:p>
      <w:pPr>
        <w:ind w:firstLine="482"/>
        <w:rPr>
          <w:b/>
        </w:rPr>
      </w:pPr>
      <w:bookmarkStart w:id="72" w:name="_Toc78909650"/>
      <w:bookmarkStart w:id="73" w:name="_Toc69908637"/>
      <w:r>
        <w:rPr>
          <w:rFonts w:hint="eastAsia"/>
          <w:b/>
          <w:lang w:eastAsia="zh-CN"/>
        </w:rPr>
        <w:t>（</w:t>
      </w:r>
      <w:r>
        <w:rPr>
          <w:rFonts w:hint="eastAsia"/>
          <w:b/>
          <w:lang w:val="en-US" w:eastAsia="zh-CN"/>
        </w:rPr>
        <w:t>4</w:t>
      </w:r>
      <w:r>
        <w:rPr>
          <w:rFonts w:hint="eastAsia"/>
          <w:b/>
          <w:lang w:eastAsia="zh-CN"/>
        </w:rPr>
        <w:t>）</w:t>
      </w:r>
      <w:r>
        <w:rPr>
          <w:b/>
        </w:rPr>
        <w:t>优化完善数据传输</w:t>
      </w:r>
      <w:r>
        <w:rPr>
          <w:rFonts w:hint="eastAsia"/>
          <w:b/>
        </w:rPr>
        <w:t>安全</w:t>
      </w:r>
      <w:r>
        <w:rPr>
          <w:b/>
        </w:rPr>
        <w:t>机制</w:t>
      </w:r>
      <w:bookmarkEnd w:id="72"/>
      <w:bookmarkEnd w:id="73"/>
    </w:p>
    <w:p>
      <w:r>
        <w:t>各地市场监管部门要进一步强化总局标准技术规范执行力度，提升数据处理和转换工作效率，健全增量更新机制，提升数据传输上传频次和时效。要统一数据上传时点，以登记机关设立、变更、注销、撤销等核准决定为基准，实现市场主体核准后即时向总局上传数据，同时要将历史和新增业务办理结果（从申请日期到发证日期各环节）数据上传总局。</w:t>
      </w:r>
    </w:p>
    <w:p>
      <w:pPr>
        <w:ind w:firstLine="482"/>
        <w:rPr>
          <w:b/>
        </w:rPr>
      </w:pPr>
      <w:bookmarkStart w:id="74" w:name="_Toc78909651"/>
      <w:r>
        <w:rPr>
          <w:rFonts w:hint="eastAsia"/>
          <w:b/>
          <w:lang w:eastAsia="zh-CN"/>
        </w:rPr>
        <w:t>（</w:t>
      </w:r>
      <w:r>
        <w:rPr>
          <w:rFonts w:hint="eastAsia"/>
          <w:b/>
          <w:lang w:val="en-US" w:eastAsia="zh-CN"/>
        </w:rPr>
        <w:t>5</w:t>
      </w:r>
      <w:r>
        <w:rPr>
          <w:rFonts w:hint="eastAsia"/>
          <w:b/>
          <w:lang w:eastAsia="zh-CN"/>
        </w:rPr>
        <w:t>）</w:t>
      </w:r>
      <w:r>
        <w:rPr>
          <w:rFonts w:hint="eastAsia"/>
          <w:b/>
        </w:rPr>
        <w:t>建立数据质量长效管理机制</w:t>
      </w:r>
      <w:bookmarkEnd w:id="74"/>
    </w:p>
    <w:p>
      <w:r>
        <w:rPr>
          <w:rFonts w:hint="eastAsia"/>
        </w:rPr>
        <w:t>建立行之有效的数据质量管理制度，落实岗位责任制，科学梳理数据采集、数据管理、数据汇总、数据共享等各个环节，明确各部门的数据质量责任，明确各岗位的数据质量管理边界和工作职责，将数据质量责任落实到个人。同时加强数据质量管理制度落实情况的考核，把数据质量建设作为岗位责任考核的重要内容，建立行之有效的奖惩制度，因数据质量问题对市场监管工作造成不良影响和严重后果的，要按数据质量管理制度规定追究过错责任。</w:t>
      </w:r>
    </w:p>
    <w:p>
      <w:pPr>
        <w:pStyle w:val="5"/>
      </w:pPr>
      <w:r>
        <w:rPr>
          <w:rFonts w:hint="eastAsia"/>
        </w:rPr>
        <w:t>监管大脑主题库应用</w:t>
      </w:r>
    </w:p>
    <w:p>
      <w:r>
        <w:rPr>
          <w:rFonts w:hint="eastAsia"/>
        </w:rPr>
        <w:t>长期以来，</w:t>
      </w:r>
      <w:r>
        <w:rPr>
          <w:rFonts w:hint="eastAsia" w:ascii="宋体" w:hAnsi="宋体"/>
        </w:rPr>
        <w:t>黑龙省市场监管局</w:t>
      </w:r>
      <w:r>
        <w:rPr>
          <w:rFonts w:hint="eastAsia"/>
        </w:rPr>
        <w:t>紧紧围绕国家相关政策、法规，不断创新机制，加快信息化步伐，在市场监管工作积累了大量的市场主体数据，而对数据的利用也仅限于自身掌握的数据，如何利用好数据、挖掘数据价值，全面、准确地反映本省市场主体情况，更好的服务于市场监管工作开展等，面临着更大的机遇和挑战。通过对统归集的海量数据，经过统一梳理、清洗、整合，统一呈现有业务场景、业务含义的数据集，打造市场监管城市监管业务主题库，并利用大数据技术科学建模，通过直观、可视、精炼的数据分析为市场监管和政府服务提供支撑。</w:t>
      </w:r>
    </w:p>
    <w:p>
      <w:pPr>
        <w:pStyle w:val="5"/>
      </w:pPr>
      <w:r>
        <w:rPr>
          <w:rFonts w:hint="eastAsia"/>
        </w:rPr>
        <w:t>证照库平台</w:t>
      </w:r>
    </w:p>
    <w:p>
      <w:r>
        <w:rPr>
          <w:rFonts w:hint="eastAsia"/>
        </w:rPr>
        <w:t>按照国家市场监督管理总局印发《市场监管总局关于充分发挥职能作用 落实深化“证照分离”改革任务的通知》（国市监注发〔2021〕36 号）文件要求，一是实现电子证照生成、加盖电子印章；二是实现电子证照共享接口；三是按照国家市场监督管理总局要求进行数据上报；四是做好电子证照查询统计以及监控工作；五是做好电子证照在国家企业信用信息公示系统（黑龙江）的公示工作。</w:t>
      </w:r>
    </w:p>
    <w:p>
      <w:pPr>
        <w:pStyle w:val="4"/>
        <w:ind w:left="240" w:leftChars="0" w:firstLineChars="0"/>
      </w:pPr>
      <w:bookmarkStart w:id="75" w:name="_Toc99092986"/>
      <w:bookmarkStart w:id="76" w:name="_Toc99028711"/>
      <w:bookmarkStart w:id="77" w:name="_Toc18366"/>
      <w:bookmarkStart w:id="78" w:name="_Toc66959594"/>
      <w:bookmarkStart w:id="79" w:name="_Toc99092972"/>
      <w:r>
        <w:rPr>
          <w:rFonts w:hint="eastAsia"/>
        </w:rPr>
        <w:t>系统功能需求分析</w:t>
      </w:r>
      <w:bookmarkEnd w:id="75"/>
      <w:bookmarkEnd w:id="76"/>
      <w:bookmarkEnd w:id="77"/>
    </w:p>
    <w:p>
      <w:pPr>
        <w:pStyle w:val="5"/>
      </w:pPr>
      <w:r>
        <w:rPr>
          <w:rFonts w:hint="eastAsia"/>
        </w:rPr>
        <w:t>数据质量综合管理</w:t>
      </w:r>
    </w:p>
    <w:p>
      <w:r>
        <w:rPr>
          <w:rFonts w:hint="eastAsia"/>
        </w:rPr>
        <w:t>一、检查规则梳理与设计</w:t>
      </w:r>
    </w:p>
    <w:p>
      <w:r>
        <w:rPr>
          <w:rFonts w:hint="eastAsia"/>
        </w:rPr>
        <w:t>根据总局制定的标准与地方相关要求、标准，全面梳理检查对象涉及的领域、业务范围、检查事项或内容，灵活设计检查规则，从数据质量的完整性、准确性、规范性、及时性、真实性五个维度，全面设计数据质量检查规则，形成数据质量检查体系的基础资源，全面支撑数据质量检查工作的开展，提升市场主体的数据质量，服务于各级市场监管部门数据应用、数据分析、部门之间数据共享的需求。</w:t>
      </w:r>
    </w:p>
    <w:p>
      <w:r>
        <w:rPr>
          <w:rFonts w:hint="eastAsia"/>
        </w:rPr>
        <w:t>二、数据质量综合管理支撑平台</w:t>
      </w:r>
    </w:p>
    <w:p>
      <w:r>
        <w:rPr>
          <w:rFonts w:hint="eastAsia"/>
        </w:rPr>
        <w:t>基于数据质量检查任务，建设支持平台，利用各类组件组合实现对检查对象的检查。</w:t>
      </w:r>
    </w:p>
    <w:p>
      <w:r>
        <w:rPr>
          <w:rFonts w:hint="eastAsia"/>
        </w:rPr>
        <w:t>三、数据质量查检应用系统</w:t>
      </w:r>
    </w:p>
    <w:p>
      <w:r>
        <w:rPr>
          <w:rFonts w:hint="eastAsia"/>
        </w:rPr>
        <w:t>建设数据质量查检应用系统，实现基于服务门户，提供数据质量检查、数据质量评价、数据质量监测、数据质量反馈、数据质量考核等系统各项功能。</w:t>
      </w:r>
    </w:p>
    <w:p>
      <w:pPr>
        <w:pStyle w:val="5"/>
      </w:pPr>
      <w:r>
        <w:rPr>
          <w:rFonts w:hint="eastAsia"/>
        </w:rPr>
        <w:t>监管大脑主题库应用平台</w:t>
      </w:r>
    </w:p>
    <w:p>
      <w:r>
        <w:rPr>
          <w:rFonts w:hint="eastAsia"/>
        </w:rPr>
        <w:t>基于黑龙江省现状，需要提供</w:t>
      </w:r>
      <w:r>
        <w:rPr>
          <w:rFonts w:hint="eastAsia"/>
          <w:spacing w:val="-7"/>
        </w:rPr>
        <w:t>聚焦其关注的重点业务和热点风险</w:t>
      </w:r>
      <w:r>
        <w:rPr>
          <w:rFonts w:hint="eastAsia"/>
        </w:rPr>
        <w:t>进行呈现。具体来说，能获取到数据的页面功能，通过真实数据表的导入灌输程序，实现分析结果的页面呈现；对于无法获取到数据的页面功能，通过设计对应页面的数据库表，进行数据表的手动配置，实现分析结果的页面呈现。需要提供展示主题，包括市场监管大脑首页、政务服务、创新发展、效能督察、食品安全、放心消费、执法办案。同时需要建设主题分析对应的业务主题库。</w:t>
      </w:r>
    </w:p>
    <w:p>
      <w:pPr>
        <w:pStyle w:val="5"/>
      </w:pPr>
      <w:r>
        <w:rPr>
          <w:rFonts w:hint="eastAsia"/>
        </w:rPr>
        <w:t>证照库平台</w:t>
      </w:r>
    </w:p>
    <w:p>
      <w:pPr>
        <w:rPr>
          <w:rFonts w:ascii="Times New Roman" w:hAnsi="Times New Roman" w:cs="Times New Roman"/>
        </w:rPr>
      </w:pPr>
      <w:r>
        <w:rPr>
          <w:rFonts w:hint="eastAsia" w:ascii="Times New Roman" w:hAnsi="Times New Roman" w:cs="Times New Roman"/>
        </w:rPr>
        <w:t>按照国家市场监督管理总局印发《市场监管总局关于充分发挥职能作用 落实深化“证照分离”改革任务的通知》（国市监注发〔2021〕36 号）文件要求，建设电子证照平台，具体需求如下：</w:t>
      </w:r>
    </w:p>
    <w:p>
      <w:pPr>
        <w:rPr>
          <w:rFonts w:ascii="Times New Roman" w:hAnsi="Times New Roman" w:cs="Times New Roman"/>
        </w:rPr>
      </w:pPr>
      <w:r>
        <w:rPr>
          <w:rFonts w:hint="eastAsia" w:ascii="Times New Roman" w:hAnsi="Times New Roman" w:cs="Times New Roman"/>
        </w:rPr>
        <w:t>1、电子证照生成</w:t>
      </w:r>
    </w:p>
    <w:p>
      <w:pPr>
        <w:rPr>
          <w:rFonts w:ascii="Times New Roman" w:hAnsi="Times New Roman" w:cs="Times New Roman"/>
        </w:rPr>
      </w:pPr>
      <w:r>
        <w:rPr>
          <w:rFonts w:hint="eastAsia" w:ascii="新宋体" w:hAnsi="新宋体" w:eastAsia="新宋体"/>
          <w:szCs w:val="32"/>
        </w:rPr>
        <w:t>按照总局要求以及本地化需求，需生成检验检测机构资质认定证书、认证机构批准书、全国工业产品生产许可证、计量授权证书、特种设备检验检测机构核准证、特种设备生产单位许可证、“三品一械”广告审查、移动式压力容器充装许可证、气瓶充装许可证、食品经营许可证、食品生产许可证，然后根据信息生成PDF，再通过黑龙江省垂管信息系统与一体化平台电子印章系统对PDF进行盖章。</w:t>
      </w:r>
    </w:p>
    <w:p>
      <w:pPr>
        <w:rPr>
          <w:rFonts w:ascii="Times New Roman" w:hAnsi="Times New Roman" w:cs="Times New Roman"/>
        </w:rPr>
      </w:pPr>
      <w:r>
        <w:rPr>
          <w:rFonts w:hint="eastAsia" w:ascii="Times New Roman" w:hAnsi="Times New Roman" w:cs="Times New Roman"/>
        </w:rPr>
        <w:t>2、电子证照共享接口服务</w:t>
      </w:r>
    </w:p>
    <w:p>
      <w:pPr>
        <w:rPr>
          <w:rFonts w:ascii="Times New Roman" w:hAnsi="Times New Roman" w:cs="Times New Roman"/>
        </w:rPr>
      </w:pPr>
      <w:r>
        <w:rPr>
          <w:rFonts w:hint="eastAsia" w:ascii="Times New Roman" w:hAnsi="Times New Roman" w:cs="Times New Roman"/>
        </w:rPr>
        <w:t>按照省政务服务网在数据共享交换平台上架的电子证照共享接口，把已生成电子证照共享至省政务服务网。</w:t>
      </w:r>
    </w:p>
    <w:p>
      <w:pPr>
        <w:rPr>
          <w:rFonts w:ascii="Times New Roman" w:hAnsi="Times New Roman" w:cs="Times New Roman"/>
        </w:rPr>
      </w:pPr>
      <w:r>
        <w:rPr>
          <w:rFonts w:hint="eastAsia" w:ascii="Times New Roman" w:hAnsi="Times New Roman" w:cs="Times New Roman"/>
        </w:rPr>
        <w:t>3、总局数据中心上报服务</w:t>
      </w:r>
    </w:p>
    <w:p>
      <w:pPr>
        <w:rPr>
          <w:rFonts w:ascii="Times New Roman" w:hAnsi="Times New Roman" w:cs="Times New Roman"/>
        </w:rPr>
      </w:pPr>
      <w:r>
        <w:rPr>
          <w:rFonts w:hint="eastAsia" w:ascii="Times New Roman" w:hAnsi="Times New Roman" w:cs="Times New Roman"/>
        </w:rPr>
        <w:t>按照国家市场监督管理总局印发《市场监管总局关于充分发挥职能作用 落实深化“证照分离”改革任务的通知》（国市监注发〔2021〕36 号）文件要求，按照国家市场监督管理局数据中心标准，推送已生成的电子证照共享至国家数据中心上报库。</w:t>
      </w:r>
    </w:p>
    <w:p>
      <w:pPr>
        <w:rPr>
          <w:rFonts w:ascii="Times New Roman" w:hAnsi="Times New Roman" w:cs="Times New Roman"/>
        </w:rPr>
      </w:pPr>
      <w:r>
        <w:rPr>
          <w:rFonts w:hint="eastAsia" w:ascii="Times New Roman" w:hAnsi="Times New Roman" w:cs="Times New Roman"/>
        </w:rPr>
        <w:t>4、查询统计以及监控功能</w:t>
      </w:r>
    </w:p>
    <w:p>
      <w:pPr>
        <w:rPr>
          <w:rFonts w:ascii="Times New Roman" w:hAnsi="Times New Roman" w:cs="Times New Roman"/>
        </w:rPr>
      </w:pPr>
      <w:r>
        <w:rPr>
          <w:rFonts w:hint="eastAsia" w:ascii="Times New Roman" w:hAnsi="Times New Roman" w:cs="Times New Roman"/>
        </w:rPr>
        <w:t>系统提供电子证照查询功能，包含许可证的明细以及电子证照查看功能；系统提供电子证照统计功能，统计各类电子证照情况；系统提供电子证照监控功能，防止接口异常以及服务异常导致电子证照无法生成。</w:t>
      </w:r>
    </w:p>
    <w:p>
      <w:pPr>
        <w:rPr>
          <w:rFonts w:ascii="Times New Roman" w:hAnsi="Times New Roman" w:cs="Times New Roman"/>
        </w:rPr>
      </w:pPr>
      <w:r>
        <w:rPr>
          <w:rFonts w:hint="eastAsia" w:ascii="Times New Roman" w:hAnsi="Times New Roman" w:cs="Times New Roman"/>
        </w:rPr>
        <w:t>5、电子证照公示</w:t>
      </w:r>
    </w:p>
    <w:p>
      <w:pPr>
        <w:rPr>
          <w:rFonts w:ascii="Times New Roman" w:hAnsi="Times New Roman" w:cs="Times New Roman"/>
        </w:rPr>
      </w:pPr>
      <w:r>
        <w:rPr>
          <w:rFonts w:hint="eastAsia" w:ascii="Times New Roman" w:hAnsi="Times New Roman" w:cs="Times New Roman"/>
        </w:rPr>
        <w:t>电子证照管理平台把已生成的电子证照通过关联企业，自动关联并推送至国家企业信用信息公示系统（黑龙江）电子证照栏目。</w:t>
      </w:r>
    </w:p>
    <w:p>
      <w:pPr>
        <w:pStyle w:val="4"/>
        <w:bidi w:val="0"/>
        <w:ind w:left="240" w:leftChars="0" w:firstLineChars="0"/>
      </w:pPr>
      <w:bookmarkStart w:id="80" w:name="_Toc25117"/>
      <w:bookmarkStart w:id="81" w:name="_Toc99092988"/>
      <w:bookmarkStart w:id="82" w:name="_Toc51165082"/>
      <w:bookmarkStart w:id="83" w:name="_Toc99028713"/>
      <w:r>
        <w:rPr>
          <w:rFonts w:hint="eastAsia"/>
        </w:rPr>
        <w:t>系统性能需求分析</w:t>
      </w:r>
      <w:bookmarkEnd w:id="80"/>
      <w:bookmarkEnd w:id="81"/>
      <w:bookmarkEnd w:id="82"/>
      <w:bookmarkEnd w:id="83"/>
    </w:p>
    <w:p>
      <w:pPr>
        <w:pStyle w:val="5"/>
        <w:ind w:left="1063" w:hanging="1063" w:hangingChars="378"/>
      </w:pPr>
      <w:r>
        <w:rPr>
          <w:rFonts w:hint="eastAsia"/>
        </w:rPr>
        <w:t>总体性能需求</w:t>
      </w:r>
    </w:p>
    <w:p>
      <w:pPr>
        <w:snapToGrid w:val="0"/>
        <w:jc w:val="left"/>
        <w:rPr>
          <w:kern w:val="0"/>
        </w:rPr>
      </w:pPr>
      <w:r>
        <w:rPr>
          <w:rFonts w:hint="eastAsia"/>
          <w:kern w:val="0"/>
        </w:rPr>
        <w:t>1</w:t>
      </w:r>
      <w:r>
        <w:rPr>
          <w:kern w:val="0"/>
        </w:rPr>
        <w:t>.</w:t>
      </w:r>
      <w:r>
        <w:rPr>
          <w:rFonts w:hint="eastAsia"/>
          <w:kern w:val="0"/>
        </w:rPr>
        <w:t>系统稳定性</w:t>
      </w:r>
    </w:p>
    <w:p>
      <w:pPr>
        <w:snapToGrid w:val="0"/>
        <w:jc w:val="left"/>
        <w:rPr>
          <w:kern w:val="0"/>
        </w:rPr>
      </w:pPr>
      <w:r>
        <w:rPr>
          <w:rFonts w:hint="eastAsia"/>
          <w:kern w:val="0"/>
        </w:rPr>
        <w:t>系统功能模块应具有稳定性，在各种情况下不会出现死机现象，更不能出现系统崩溃现象。</w:t>
      </w:r>
    </w:p>
    <w:p>
      <w:pPr>
        <w:snapToGrid w:val="0"/>
        <w:jc w:val="left"/>
        <w:rPr>
          <w:kern w:val="0"/>
        </w:rPr>
      </w:pPr>
      <w:r>
        <w:rPr>
          <w:rFonts w:hint="eastAsia"/>
          <w:kern w:val="0"/>
        </w:rPr>
        <w:t>2</w:t>
      </w:r>
      <w:r>
        <w:rPr>
          <w:kern w:val="0"/>
        </w:rPr>
        <w:t>.</w:t>
      </w:r>
      <w:r>
        <w:rPr>
          <w:rFonts w:hint="eastAsia"/>
          <w:kern w:val="0"/>
        </w:rPr>
        <w:t>系统可靠性</w:t>
      </w:r>
    </w:p>
    <w:p>
      <w:pPr>
        <w:snapToGrid w:val="0"/>
        <w:jc w:val="left"/>
        <w:rPr>
          <w:kern w:val="0"/>
        </w:rPr>
      </w:pPr>
      <w:r>
        <w:rPr>
          <w:rFonts w:hint="eastAsia"/>
          <w:kern w:val="0"/>
        </w:rPr>
        <w:t>保障系统数据维护、查询、分析、计算的正确性和准确性。容错和自适应性能对使用人员操作过程中出现的局部错误或可能导致信息丢失的操作能推理纠正或给予正确的操作提示。</w:t>
      </w:r>
    </w:p>
    <w:p>
      <w:pPr>
        <w:snapToGrid w:val="0"/>
        <w:jc w:val="left"/>
        <w:rPr>
          <w:kern w:val="0"/>
        </w:rPr>
      </w:pPr>
      <w:r>
        <w:rPr>
          <w:kern w:val="0"/>
        </w:rPr>
        <w:t>3.</w:t>
      </w:r>
      <w:r>
        <w:rPr>
          <w:rFonts w:hint="eastAsia"/>
          <w:kern w:val="0"/>
        </w:rPr>
        <w:t>安全性</w:t>
      </w:r>
    </w:p>
    <w:p>
      <w:pPr>
        <w:snapToGrid w:val="0"/>
        <w:jc w:val="left"/>
        <w:rPr>
          <w:kern w:val="0"/>
        </w:rPr>
      </w:pPr>
      <w:r>
        <w:rPr>
          <w:rFonts w:hint="eastAsia"/>
          <w:kern w:val="0"/>
        </w:rPr>
        <w:t>保障系统数据安全、不易被侵入、干扰、窃取信息或破坏。</w:t>
      </w:r>
    </w:p>
    <w:p>
      <w:pPr>
        <w:snapToGrid w:val="0"/>
        <w:jc w:val="left"/>
        <w:rPr>
          <w:kern w:val="0"/>
        </w:rPr>
      </w:pPr>
      <w:r>
        <w:rPr>
          <w:kern w:val="0"/>
        </w:rPr>
        <w:t>4.</w:t>
      </w:r>
      <w:r>
        <w:rPr>
          <w:rFonts w:hint="eastAsia"/>
          <w:kern w:val="0"/>
        </w:rPr>
        <w:t>可扩展性</w:t>
      </w:r>
    </w:p>
    <w:p>
      <w:pPr>
        <w:snapToGrid w:val="0"/>
        <w:jc w:val="left"/>
        <w:rPr>
          <w:kern w:val="0"/>
        </w:rPr>
      </w:pPr>
      <w:r>
        <w:rPr>
          <w:rFonts w:hint="eastAsia"/>
          <w:kern w:val="0"/>
        </w:rPr>
        <w:t>系统具有适应业务需求变化的能力，当系统新增业务功能或现有业务功能改变时（业务流程变化、规则的改变、代码改变、界面的改变等），不可避免将带来系统的改变，好的系统应在系统构架上考虑能以尽量少的代价适应这种变化，应尽可能的保证业务变化造成的影响局部化。系统从规模上、功能上应易于扩展和升级。系统规模或容量扩大时，能方便地在各个层次进行扩充。</w:t>
      </w:r>
    </w:p>
    <w:p>
      <w:pPr>
        <w:snapToGrid w:val="0"/>
        <w:jc w:val="left"/>
        <w:rPr>
          <w:kern w:val="0"/>
        </w:rPr>
      </w:pPr>
      <w:r>
        <w:rPr>
          <w:kern w:val="0"/>
        </w:rPr>
        <w:t>5.</w:t>
      </w:r>
      <w:r>
        <w:rPr>
          <w:rFonts w:hint="eastAsia"/>
          <w:kern w:val="0"/>
        </w:rPr>
        <w:t>适应性</w:t>
      </w:r>
    </w:p>
    <w:p>
      <w:pPr>
        <w:snapToGrid w:val="0"/>
        <w:jc w:val="left"/>
        <w:rPr>
          <w:kern w:val="0"/>
        </w:rPr>
      </w:pPr>
      <w:r>
        <w:rPr>
          <w:rFonts w:hint="eastAsia"/>
          <w:kern w:val="0"/>
        </w:rPr>
        <w:t>系统在操作方式、运行环境、与其他软件的接口以及开发计划等发生变化时，应具有较强的适应能力。</w:t>
      </w:r>
    </w:p>
    <w:p>
      <w:pPr>
        <w:snapToGrid w:val="0"/>
        <w:jc w:val="left"/>
        <w:rPr>
          <w:kern w:val="0"/>
        </w:rPr>
      </w:pPr>
      <w:r>
        <w:rPr>
          <w:kern w:val="0"/>
        </w:rPr>
        <w:t>6.</w:t>
      </w:r>
      <w:r>
        <w:rPr>
          <w:rFonts w:hint="eastAsia"/>
          <w:kern w:val="0"/>
        </w:rPr>
        <w:t>易用性</w:t>
      </w:r>
    </w:p>
    <w:p>
      <w:pPr>
        <w:snapToGrid w:val="0"/>
        <w:jc w:val="left"/>
        <w:rPr>
          <w:kern w:val="0"/>
        </w:rPr>
      </w:pPr>
      <w:r>
        <w:rPr>
          <w:rFonts w:hint="eastAsia"/>
          <w:kern w:val="0"/>
        </w:rPr>
        <w:t>系统的界面布局、菜单的设计、用户操作等设计，要遵循界面友好、直观的原则，菜单要简洁，所有的业务功能界面风格和操作流程一致，业务表单尽量做到所见即所得，信息录入能够完全通过键盘完成，菜单格式、快捷键等要充分考虑用户习惯，满足用户使用方便、易于修改的要求，用户无需复杂的技术培训和繁琐的操作即可很方便地使用。</w:t>
      </w:r>
    </w:p>
    <w:p>
      <w:pPr>
        <w:pStyle w:val="5"/>
        <w:ind w:left="1063" w:hanging="1063" w:hangingChars="378"/>
      </w:pPr>
      <w:r>
        <w:rPr>
          <w:rFonts w:hint="eastAsia"/>
        </w:rPr>
        <w:t>业务应用系统性能需求</w:t>
      </w:r>
    </w:p>
    <w:p>
      <w:pPr>
        <w:snapToGrid w:val="0"/>
        <w:jc w:val="left"/>
        <w:rPr>
          <w:kern w:val="0"/>
        </w:rPr>
      </w:pPr>
      <w:r>
        <w:rPr>
          <w:rFonts w:hint="eastAsia"/>
          <w:kern w:val="0"/>
        </w:rPr>
        <w:t>业务应用系统的性能要稳定高效实用、数据更新及时方便、数据调用快捷准确、维护简便、数据组织合理、可扩展性和兼容性好。主要性能指标如下：</w:t>
      </w:r>
    </w:p>
    <w:p>
      <w:pPr>
        <w:snapToGrid w:val="0"/>
        <w:jc w:val="left"/>
        <w:rPr>
          <w:color w:val="auto"/>
          <w:highlight w:val="none"/>
        </w:rPr>
      </w:pPr>
      <w:r>
        <w:rPr>
          <w:color w:val="auto"/>
          <w:highlight w:val="none"/>
        </w:rPr>
        <w:t>1）平均响应速度</w:t>
      </w:r>
    </w:p>
    <w:p>
      <w:pPr>
        <w:snapToGrid w:val="0"/>
        <w:jc w:val="left"/>
        <w:rPr>
          <w:color w:val="auto"/>
          <w:highlight w:val="none"/>
        </w:rPr>
      </w:pPr>
      <w:r>
        <w:rPr>
          <w:rFonts w:hint="eastAsia"/>
          <w:color w:val="auto"/>
          <w:highlight w:val="none"/>
        </w:rPr>
        <w:t>一般性的数据增加、修改、删除等操作，平均响应时间≤</w:t>
      </w:r>
      <w:r>
        <w:rPr>
          <w:color w:val="auto"/>
          <w:highlight w:val="none"/>
        </w:rPr>
        <w:t>3秒，最长响应时间不超过5秒；</w:t>
      </w:r>
    </w:p>
    <w:p>
      <w:pPr>
        <w:snapToGrid w:val="0"/>
        <w:jc w:val="left"/>
        <w:rPr>
          <w:color w:val="auto"/>
          <w:highlight w:val="none"/>
        </w:rPr>
      </w:pPr>
      <w:r>
        <w:rPr>
          <w:rFonts w:hint="eastAsia"/>
          <w:color w:val="auto"/>
          <w:highlight w:val="none"/>
        </w:rPr>
        <w:t>一般业务操作的简单查询和统计，平均响应时间≤</w:t>
      </w:r>
      <w:r>
        <w:rPr>
          <w:color w:val="auto"/>
          <w:highlight w:val="none"/>
        </w:rPr>
        <w:t>5秒，最长响应时间≤10秒；</w:t>
      </w:r>
    </w:p>
    <w:p>
      <w:pPr>
        <w:snapToGrid w:val="0"/>
        <w:jc w:val="left"/>
        <w:rPr>
          <w:color w:val="auto"/>
          <w:highlight w:val="none"/>
        </w:rPr>
      </w:pPr>
      <w:r>
        <w:rPr>
          <w:rFonts w:hint="eastAsia"/>
          <w:color w:val="auto"/>
          <w:highlight w:val="none"/>
        </w:rPr>
        <w:t>大数据量的查询、统计与复杂的统计汇总，平均响应时间≤</w:t>
      </w:r>
      <w:r>
        <w:rPr>
          <w:color w:val="auto"/>
          <w:highlight w:val="none"/>
        </w:rPr>
        <w:t>30秒，最长响应时间不超过60秒。</w:t>
      </w:r>
    </w:p>
    <w:p>
      <w:pPr>
        <w:snapToGrid w:val="0"/>
        <w:jc w:val="left"/>
        <w:rPr>
          <w:color w:val="auto"/>
          <w:highlight w:val="none"/>
        </w:rPr>
      </w:pPr>
      <w:r>
        <w:rPr>
          <w:color w:val="auto"/>
          <w:highlight w:val="none"/>
        </w:rPr>
        <w:t>2）容量和吞吐量</w:t>
      </w:r>
    </w:p>
    <w:p>
      <w:pPr>
        <w:snapToGrid w:val="0"/>
        <w:jc w:val="left"/>
        <w:rPr>
          <w:color w:val="auto"/>
          <w:highlight w:val="none"/>
        </w:rPr>
      </w:pPr>
      <w:r>
        <w:rPr>
          <w:rFonts w:hint="eastAsia"/>
          <w:color w:val="auto"/>
          <w:highlight w:val="none"/>
        </w:rPr>
        <w:t>系统应支持</w:t>
      </w:r>
      <w:r>
        <w:rPr>
          <w:color w:val="auto"/>
          <w:highlight w:val="none"/>
        </w:rPr>
        <w:t>300用户的同时并发使用。</w:t>
      </w:r>
    </w:p>
    <w:p>
      <w:pPr>
        <w:snapToGrid w:val="0"/>
        <w:spacing w:before="156" w:after="156"/>
        <w:jc w:val="left"/>
        <w:rPr>
          <w:kern w:val="0"/>
        </w:rPr>
      </w:pPr>
      <w:r>
        <w:rPr>
          <w:rFonts w:hint="eastAsia"/>
          <w:kern w:val="0"/>
        </w:rPr>
        <w:t>各系统的设计充分满足以上性能要求，并在此基础上，结合建设过程中的实际要求做相应提升。</w:t>
      </w:r>
    </w:p>
    <w:p>
      <w:pPr>
        <w:pStyle w:val="5"/>
        <w:ind w:left="1063" w:hanging="1063" w:hangingChars="378"/>
      </w:pPr>
      <w:r>
        <w:rPr>
          <w:rFonts w:hint="eastAsia"/>
        </w:rPr>
        <w:t>云计算软件性能需求</w:t>
      </w:r>
    </w:p>
    <w:p>
      <w:pPr>
        <w:snapToGrid w:val="0"/>
        <w:jc w:val="left"/>
        <w:rPr>
          <w:kern w:val="0"/>
        </w:rPr>
      </w:pPr>
      <w:r>
        <w:rPr>
          <w:rFonts w:hint="eastAsia"/>
          <w:kern w:val="0"/>
        </w:rPr>
        <w:t>本项目依托省政务云共享平台，有效利用云计算资源，对业务系统实行统一规划和建设，根据业务应用需求，通过云计算、虚拟化、云存储等创新和成熟技术，统一部署在省政务云，提高工作效率，提高平台整体可靠性、可信性、可用性，解决当前面临的问题，更有效的推动业务的发展。</w:t>
      </w:r>
    </w:p>
    <w:p>
      <w:pPr>
        <w:snapToGrid w:val="0"/>
        <w:jc w:val="left"/>
        <w:rPr>
          <w:kern w:val="0"/>
        </w:rPr>
      </w:pPr>
      <w:r>
        <w:rPr>
          <w:rFonts w:hint="eastAsia"/>
          <w:kern w:val="0"/>
        </w:rPr>
        <w:t>在云计算软件方面至少应满足以下要求：</w:t>
      </w:r>
    </w:p>
    <w:p>
      <w:pPr>
        <w:snapToGrid w:val="0"/>
        <w:jc w:val="left"/>
        <w:rPr>
          <w:kern w:val="0"/>
        </w:rPr>
      </w:pPr>
      <w:r>
        <w:rPr>
          <w:kern w:val="0"/>
        </w:rPr>
        <w:t>1.</w:t>
      </w:r>
      <w:r>
        <w:rPr>
          <w:rFonts w:hint="eastAsia"/>
          <w:kern w:val="0"/>
        </w:rPr>
        <w:t>支持异构的基础资源，包括基础硬件资源和基础软件资源。云计算可以构建在不同的基础平台之上，即可以有效兼容各种不同种类的硬件和软件基础资源。硬件基础资源，主要包括网络环境下的三大类设备，即：计算(服务器)、存储(存储设备)和网络(交换机、路由器等设备)；软件基础资源，则包括单机操作系统、中间件、数据库等。从横向维度考虑，支持异构资源，意味着在同一时期内，可以采购不同厂商的软硬件。对云计算平台的构建者而言，这种形式更为灵活；而从纵向维度考虑，意味着云计算平台既可以兼容当下采购的新设备，也可以兼容以前的老设备，既可以兼容当前的新软件系统，也可以兼容以前遗留的老软件系统。支持异构的基础资源这一特性，在有效利用老资源的同时，也保证了新老资源的平滑过渡。</w:t>
      </w:r>
    </w:p>
    <w:p>
      <w:pPr>
        <w:snapToGrid w:val="0"/>
        <w:jc w:val="left"/>
        <w:rPr>
          <w:kern w:val="0"/>
        </w:rPr>
      </w:pPr>
      <w:r>
        <w:rPr>
          <w:kern w:val="0"/>
        </w:rPr>
        <w:t>2.</w:t>
      </w:r>
      <w:r>
        <w:rPr>
          <w:rFonts w:hint="eastAsia"/>
          <w:kern w:val="0"/>
        </w:rPr>
        <w:t>支持资源动态伸缩，实现基础资源的网络冗余，意味着添加、删除、修改云计算环境的任一资源节点，亦或任一资源节点异常宕机，都不会导致云环境中的各类业务的中断，也不会导致用户数据的丢失。这里的资源节点可以是计算节点、存储节点和网络节点。而资源动态流转，则意味着在云计算平台下实现资源调度机制，资源可以流转到需要的地方。如在系统业务整体升高情况下，可以启动闲置资源，纳入系统中，提高整个云平台的承载能力。而在整个系统业务负载低的情况下，则可以将业务集中起来，而将其他闲置的资源转入节能模式，从而在提高部分资源利用率的情况下，达到其他资源绿色、低碳的应用效果。</w:t>
      </w:r>
    </w:p>
    <w:p>
      <w:pPr>
        <w:snapToGrid w:val="0"/>
        <w:jc w:val="left"/>
        <w:rPr>
          <w:kern w:val="0"/>
        </w:rPr>
      </w:pPr>
      <w:r>
        <w:rPr>
          <w:kern w:val="0"/>
        </w:rPr>
        <w:t>3.</w:t>
      </w:r>
      <w:r>
        <w:rPr>
          <w:rFonts w:hint="eastAsia"/>
          <w:kern w:val="0"/>
        </w:rPr>
        <w:t>支持异构多业务体系：在云计算平台上，可以同时运行多个不同类型的业务。异构，表示该业务不是同一的，不是已有的或事先定义好的，而应该是用户可以自己创建并定义的服务。这也是云计算与网格计算的一个重要差异。</w:t>
      </w:r>
    </w:p>
    <w:p>
      <w:pPr>
        <w:snapToGrid w:val="0"/>
        <w:jc w:val="left"/>
        <w:rPr>
          <w:kern w:val="0"/>
        </w:rPr>
      </w:pPr>
      <w:r>
        <w:rPr>
          <w:kern w:val="0"/>
        </w:rPr>
        <w:t>4.</w:t>
      </w:r>
      <w:r>
        <w:rPr>
          <w:rFonts w:hint="eastAsia"/>
          <w:kern w:val="0"/>
        </w:rPr>
        <w:t>支持海量信息处理：云计算，在底层，需要面对各类众多的基础软硬件资源；在上层，需要能够同时支持各类众多的异构的业务；而具体到某一业务，往往也需要面对大量的用户。由此，云计算必然需要面对海量信息交互，需要有高效、稳定的海量数据通信/存储系统作支撑。</w:t>
      </w:r>
    </w:p>
    <w:p>
      <w:pPr>
        <w:snapToGrid w:val="0"/>
        <w:jc w:val="left"/>
        <w:rPr>
          <w:kern w:val="0"/>
        </w:rPr>
      </w:pPr>
      <w:r>
        <w:rPr>
          <w:kern w:val="0"/>
        </w:rPr>
        <w:t>5.</w:t>
      </w:r>
      <w:r>
        <w:rPr>
          <w:rFonts w:hint="eastAsia"/>
          <w:kern w:val="0"/>
        </w:rPr>
        <w:t>按需分配：按需分配，是云计算软件支持资源动态流转的外部特征表现。云计算软件通过虚拟分拆技术，可以实现计算资源的同构化和可度量化，可以提供小到一台计算机，多到千台计算机的计算能力。</w:t>
      </w:r>
    </w:p>
    <w:p>
      <w:pPr>
        <w:pStyle w:val="5"/>
        <w:ind w:left="1063" w:hanging="1063" w:hangingChars="378"/>
      </w:pPr>
      <w:r>
        <w:rPr>
          <w:rFonts w:hint="eastAsia"/>
        </w:rPr>
        <w:t>服务器系统性能需求</w:t>
      </w:r>
    </w:p>
    <w:p>
      <w:pPr>
        <w:snapToGrid w:val="0"/>
        <w:jc w:val="left"/>
        <w:rPr>
          <w:kern w:val="0"/>
        </w:rPr>
      </w:pPr>
      <w:r>
        <w:rPr>
          <w:rFonts w:hint="eastAsia"/>
          <w:kern w:val="0"/>
        </w:rPr>
        <w:t>本项目依托省政务云共享平台的服务器资源。服务器是业务应用系统支撑的关键设备，是系统建设的核心设备，其作用是为应用系统提供硬件运行环境，是构建各种应用软件、数据库系统、中间件的依托。因此对主机服务器的选择不仅要满足当前已开展的各项业务需要，更要着眼于未来，应从系统性能入手，通过客观的分析比较，确定一款或一系列具有令人满意的主频处理速度和I/O吞吐率的服务器。产品质量要有保证，严格执行国际质量认证体系，确保产品稳定可靠。在选择主机服务器型号和系统配置时，应该充分考虑系统可靠性在今后系统运行时的重要地位。具体的性能要求如下：</w:t>
      </w:r>
    </w:p>
    <w:p>
      <w:pPr>
        <w:snapToGrid w:val="0"/>
        <w:jc w:val="left"/>
        <w:rPr>
          <w:kern w:val="0"/>
        </w:rPr>
      </w:pPr>
      <w:r>
        <w:rPr>
          <w:rFonts w:hint="eastAsia"/>
          <w:kern w:val="0"/>
        </w:rPr>
        <w:t>1</w:t>
      </w:r>
      <w:r>
        <w:rPr>
          <w:kern w:val="0"/>
        </w:rPr>
        <w:t>.</w:t>
      </w:r>
      <w:r>
        <w:rPr>
          <w:rFonts w:hint="eastAsia"/>
          <w:kern w:val="0"/>
        </w:rPr>
        <w:t>系统响应时间合应理，能完全满足业务需要，符合工作要求。数据查询分析和业务处理要求速度快、反应及时，业务操作响应时间小于3秒，实时查询时间小于10秒，单个统计指标计算时间小于30秒，复杂报表计算时间小于2分钟，复杂统计分析时间小于1分钟。</w:t>
      </w:r>
    </w:p>
    <w:p>
      <w:pPr>
        <w:snapToGrid w:val="0"/>
        <w:jc w:val="left"/>
        <w:rPr>
          <w:kern w:val="0"/>
        </w:rPr>
      </w:pPr>
      <w:r>
        <w:rPr>
          <w:rFonts w:hint="eastAsia"/>
          <w:kern w:val="0"/>
        </w:rPr>
        <w:t>2</w:t>
      </w:r>
      <w:r>
        <w:rPr>
          <w:kern w:val="0"/>
        </w:rPr>
        <w:t>.</w:t>
      </w:r>
      <w:r>
        <w:rPr>
          <w:rFonts w:hint="eastAsia"/>
          <w:kern w:val="0"/>
        </w:rPr>
        <w:t>服务器系统应采用主流操作系统，并支持中文内码，符合我国关于中文字符集定义的有关国家标准。</w:t>
      </w:r>
    </w:p>
    <w:p>
      <w:pPr>
        <w:snapToGrid w:val="0"/>
        <w:jc w:val="left"/>
        <w:rPr>
          <w:kern w:val="0"/>
        </w:rPr>
      </w:pPr>
      <w:r>
        <w:rPr>
          <w:rFonts w:hint="eastAsia"/>
          <w:kern w:val="0"/>
        </w:rPr>
        <w:t>3</w:t>
      </w:r>
      <w:r>
        <w:rPr>
          <w:kern w:val="0"/>
        </w:rPr>
        <w:t>.</w:t>
      </w:r>
      <w:r>
        <w:rPr>
          <w:rFonts w:hint="eastAsia"/>
          <w:kern w:val="0"/>
        </w:rPr>
        <w:t>高安全性：具有多种安全防护手段防止各种非法的入侵和破坏。</w:t>
      </w:r>
    </w:p>
    <w:p>
      <w:pPr>
        <w:snapToGrid w:val="0"/>
        <w:jc w:val="left"/>
        <w:rPr>
          <w:kern w:val="0"/>
        </w:rPr>
      </w:pPr>
      <w:r>
        <w:rPr>
          <w:rFonts w:hint="eastAsia"/>
          <w:kern w:val="0"/>
        </w:rPr>
        <w:t>4</w:t>
      </w:r>
      <w:r>
        <w:rPr>
          <w:kern w:val="0"/>
        </w:rPr>
        <w:t>.</w:t>
      </w:r>
      <w:r>
        <w:rPr>
          <w:rFonts w:hint="eastAsia"/>
          <w:kern w:val="0"/>
        </w:rPr>
        <w:t>高性能价格比：主机系统应具有很好的性能价格比，保证在实现整体系统的高性能要求下较低的系统建设成本。</w:t>
      </w:r>
    </w:p>
    <w:p>
      <w:pPr>
        <w:snapToGrid w:val="0"/>
        <w:jc w:val="left"/>
        <w:rPr>
          <w:kern w:val="0"/>
        </w:rPr>
      </w:pPr>
      <w:r>
        <w:rPr>
          <w:rFonts w:hint="eastAsia"/>
          <w:kern w:val="0"/>
        </w:rPr>
        <w:t>5</w:t>
      </w:r>
      <w:r>
        <w:rPr>
          <w:kern w:val="0"/>
        </w:rPr>
        <w:t>.</w:t>
      </w:r>
      <w:r>
        <w:rPr>
          <w:rFonts w:hint="eastAsia"/>
          <w:kern w:val="0"/>
        </w:rPr>
        <w:t>高可扩展性：当业务量增加或增加新业务时，主机能以增加节点、处理器、内存等方式提供更高的性能来满足新的要求。主机系统设备应具有适当的扩充能力，包括cpu的扩充、内存容量的扩充等；并可支持群集内节点数的平滑扩充。</w:t>
      </w:r>
    </w:p>
    <w:p>
      <w:pPr>
        <w:snapToGrid w:val="0"/>
        <w:jc w:val="left"/>
        <w:rPr>
          <w:kern w:val="0"/>
        </w:rPr>
      </w:pPr>
      <w:r>
        <w:rPr>
          <w:rFonts w:hint="eastAsia"/>
          <w:kern w:val="0"/>
        </w:rPr>
        <w:t>6</w:t>
      </w:r>
      <w:r>
        <w:rPr>
          <w:kern w:val="0"/>
        </w:rPr>
        <w:t>.</w:t>
      </w:r>
      <w:r>
        <w:rPr>
          <w:rFonts w:hint="eastAsia"/>
          <w:kern w:val="0"/>
        </w:rPr>
        <w:t>高可靠性：主机系统需7×24小时连续运行，同时系统应具有良好的容错能力。系统应支持冗余/高可用配置，保证系统无单点故障。系统整机平均无故障时间（MTBF）不低于40000小时。</w:t>
      </w:r>
    </w:p>
    <w:p>
      <w:pPr>
        <w:snapToGrid w:val="0"/>
        <w:jc w:val="left"/>
        <w:rPr>
          <w:kern w:val="0"/>
        </w:rPr>
      </w:pPr>
      <w:r>
        <w:rPr>
          <w:rFonts w:hint="eastAsia"/>
          <w:kern w:val="0"/>
        </w:rPr>
        <w:t>7</w:t>
      </w:r>
      <w:r>
        <w:rPr>
          <w:kern w:val="0"/>
        </w:rPr>
        <w:t>.</w:t>
      </w:r>
      <w:r>
        <w:rPr>
          <w:rFonts w:hint="eastAsia"/>
          <w:kern w:val="0"/>
        </w:rPr>
        <w:t>服务器系统应支持当前较为流行的数据库系统。</w:t>
      </w:r>
    </w:p>
    <w:p>
      <w:pPr>
        <w:snapToGrid w:val="0"/>
        <w:jc w:val="left"/>
        <w:rPr>
          <w:kern w:val="0"/>
        </w:rPr>
      </w:pPr>
      <w:r>
        <w:rPr>
          <w:rFonts w:hint="eastAsia"/>
          <w:kern w:val="0"/>
        </w:rPr>
        <w:t>8</w:t>
      </w:r>
      <w:r>
        <w:rPr>
          <w:kern w:val="0"/>
        </w:rPr>
        <w:t>.</w:t>
      </w:r>
      <w:r>
        <w:rPr>
          <w:rFonts w:hint="eastAsia"/>
          <w:kern w:val="0"/>
        </w:rPr>
        <w:t>易于管理与使用：服务器系统应提供简单灵活的操作管理界面，保证系统的易使用性。同时系统应容易实现优化运行，以提高系统的运行和处理效率。</w:t>
      </w:r>
    </w:p>
    <w:p>
      <w:pPr>
        <w:snapToGrid w:val="0"/>
        <w:jc w:val="left"/>
        <w:rPr>
          <w:kern w:val="0"/>
        </w:rPr>
      </w:pPr>
      <w:r>
        <w:rPr>
          <w:rFonts w:hint="eastAsia"/>
          <w:kern w:val="0"/>
        </w:rPr>
        <w:t>9</w:t>
      </w:r>
      <w:r>
        <w:rPr>
          <w:kern w:val="0"/>
        </w:rPr>
        <w:t>.</w:t>
      </w:r>
      <w:r>
        <w:rPr>
          <w:rFonts w:hint="eastAsia"/>
          <w:kern w:val="0"/>
        </w:rPr>
        <w:t>在服务器的处理能力上我们主要考虑TPC-C值，TPC-C值是主要衡量主机系统在数据库联机交易（OLTP）环境下的处理能力。</w:t>
      </w:r>
    </w:p>
    <w:p>
      <w:pPr>
        <w:pStyle w:val="5"/>
        <w:ind w:left="1063" w:hanging="1063" w:hangingChars="378"/>
      </w:pPr>
      <w:r>
        <w:rPr>
          <w:rFonts w:hint="eastAsia"/>
        </w:rPr>
        <w:t>存储系统性能需求</w:t>
      </w:r>
    </w:p>
    <w:p>
      <w:pPr>
        <w:snapToGrid w:val="0"/>
        <w:jc w:val="left"/>
        <w:rPr>
          <w:kern w:val="0"/>
        </w:rPr>
      </w:pPr>
      <w:r>
        <w:rPr>
          <w:rFonts w:hint="eastAsia"/>
          <w:kern w:val="0"/>
        </w:rPr>
        <w:t>本项目依托省政务云共享平台的存储系统资源。存储系统是系统所有数据的存储介质，需要存储大量的在线数据信息及运行大量服务器的在线业务，是系统建设的核心，应当选择技术先进的、成熟的存储技术，并且具有良好的扩展能力，以适应今后业务的快速发展。</w:t>
      </w:r>
    </w:p>
    <w:p>
      <w:pPr>
        <w:snapToGrid w:val="0"/>
        <w:jc w:val="left"/>
        <w:rPr>
          <w:kern w:val="0"/>
        </w:rPr>
      </w:pPr>
      <w:r>
        <w:rPr>
          <w:rFonts w:hint="eastAsia"/>
          <w:kern w:val="0"/>
        </w:rPr>
        <w:t>通过对业务的业务量及信息量的分析，要求存储系统不仅要具有较高扩展性、较高的性能、较高的带宽，还要考虑数据的安全性、数据存储的高效性、数据读写的稳定性，同时，至少需要具备以下的功能和性能：</w:t>
      </w:r>
    </w:p>
    <w:p>
      <w:pPr>
        <w:snapToGrid w:val="0"/>
        <w:jc w:val="left"/>
        <w:rPr>
          <w:kern w:val="0"/>
        </w:rPr>
      </w:pPr>
      <w:r>
        <w:rPr>
          <w:kern w:val="0"/>
        </w:rPr>
        <w:t>1.</w:t>
      </w:r>
      <w:r>
        <w:rPr>
          <w:rFonts w:hint="eastAsia"/>
          <w:kern w:val="0"/>
        </w:rPr>
        <w:t>多台服务器共享存储：大容量和高性能的磁盘阵列采用集中管理的方式，多台服务器共享存储设备以提高经济性、安全性和性能。</w:t>
      </w:r>
    </w:p>
    <w:p>
      <w:pPr>
        <w:snapToGrid w:val="0"/>
        <w:jc w:val="left"/>
        <w:rPr>
          <w:kern w:val="0"/>
        </w:rPr>
      </w:pPr>
      <w:r>
        <w:rPr>
          <w:kern w:val="0"/>
        </w:rPr>
        <w:t>2.</w:t>
      </w:r>
      <w:r>
        <w:rPr>
          <w:rFonts w:hint="eastAsia"/>
          <w:kern w:val="0"/>
        </w:rPr>
        <w:t>高性能：要求对业务数据高的访问速度和对应用请求低的响应时间，磁盘阵列要求有高的速度，大的带宽。</w:t>
      </w:r>
    </w:p>
    <w:p>
      <w:pPr>
        <w:snapToGrid w:val="0"/>
        <w:jc w:val="left"/>
        <w:rPr>
          <w:kern w:val="0"/>
        </w:rPr>
      </w:pPr>
      <w:r>
        <w:rPr>
          <w:kern w:val="0"/>
        </w:rPr>
        <w:t>3.</w:t>
      </w:r>
      <w:r>
        <w:rPr>
          <w:rFonts w:hint="eastAsia"/>
          <w:kern w:val="0"/>
        </w:rPr>
        <w:t>扩展能力：包括向集群、数据迁移、容灾、Server Free备份等应用的升级和扩展。</w:t>
      </w:r>
    </w:p>
    <w:p>
      <w:pPr>
        <w:snapToGrid w:val="0"/>
        <w:jc w:val="left"/>
        <w:rPr>
          <w:kern w:val="0"/>
        </w:rPr>
      </w:pPr>
      <w:r>
        <w:rPr>
          <w:kern w:val="0"/>
        </w:rPr>
        <w:t>4.</w:t>
      </w:r>
      <w:r>
        <w:rPr>
          <w:rFonts w:hint="eastAsia"/>
          <w:kern w:val="0"/>
        </w:rPr>
        <w:t>配合Web服务的展开，系统应具有对从系统到应用的各种资源的容错处理能力，以保证工作人员能够在任何时刻都能访问总部的数据资源，达到系统服务于工作人员的真正目的。</w:t>
      </w:r>
    </w:p>
    <w:p>
      <w:pPr>
        <w:snapToGrid w:val="0"/>
        <w:jc w:val="left"/>
        <w:rPr>
          <w:kern w:val="0"/>
        </w:rPr>
      </w:pPr>
      <w:r>
        <w:rPr>
          <w:kern w:val="0"/>
        </w:rPr>
        <w:t>5.</w:t>
      </w:r>
      <w:r>
        <w:rPr>
          <w:rFonts w:hint="eastAsia"/>
          <w:kern w:val="0"/>
        </w:rPr>
        <w:t>文件系统的处理能力必须支持大容量文件系统，具有快速恢复能力。</w:t>
      </w:r>
    </w:p>
    <w:p>
      <w:pPr>
        <w:snapToGrid w:val="0"/>
        <w:jc w:val="left"/>
        <w:rPr>
          <w:kern w:val="0"/>
        </w:rPr>
      </w:pPr>
      <w:r>
        <w:rPr>
          <w:kern w:val="0"/>
        </w:rPr>
        <w:t>6.</w:t>
      </w:r>
      <w:r>
        <w:rPr>
          <w:rFonts w:hint="eastAsia"/>
          <w:kern w:val="0"/>
        </w:rPr>
        <w:t>鉴于信息系统数据量快速增长的态势，因此在系统的设计中必须考虑建立分级管理的数据系统，使大量的宝贵数据存放于成本较低的二级存储(SATA磁盘)中，建立合理的层次化数据处理系统。</w:t>
      </w:r>
    </w:p>
    <w:p>
      <w:pPr>
        <w:snapToGrid w:val="0"/>
        <w:jc w:val="left"/>
        <w:rPr>
          <w:kern w:val="0"/>
        </w:rPr>
      </w:pPr>
      <w:r>
        <w:rPr>
          <w:kern w:val="0"/>
        </w:rPr>
        <w:t>7.</w:t>
      </w:r>
      <w:r>
        <w:rPr>
          <w:rFonts w:hint="eastAsia"/>
          <w:kern w:val="0"/>
        </w:rPr>
        <w:t>数据类型：现有主要数据类型包括两类：结构化数据和非结构化数据。核心业务数据等结构化数据以数据库的形式存放，各种文件、图纸等非结构化数据，以文件的形式存放；存储系统在技术架构上应首先能够同时满足两类数据的存储需求，并能实现两类数据的存储和共享。在两类数据的存储与访问上，存储系统的性能应能够达到均衡。</w:t>
      </w:r>
    </w:p>
    <w:p>
      <w:pPr>
        <w:snapToGrid w:val="0"/>
        <w:jc w:val="left"/>
      </w:pPr>
      <w:r>
        <w:t>8.要求存储系统的</w:t>
      </w:r>
      <w:r>
        <w:rPr>
          <w:rFonts w:hint="eastAsia"/>
          <w:kern w:val="0"/>
        </w:rPr>
        <w:t>性能指标</w:t>
      </w:r>
    </w:p>
    <w:p>
      <w:pPr>
        <w:snapToGrid w:val="0"/>
        <w:jc w:val="left"/>
      </w:pPr>
      <w:r>
        <w:rPr>
          <w:rFonts w:hint="eastAsia"/>
        </w:rPr>
        <w:t>●</w:t>
      </w:r>
      <w:r>
        <w:t>SPC-1性能指标≥60000。</w:t>
      </w:r>
    </w:p>
    <w:p>
      <w:pPr>
        <w:snapToGrid w:val="0"/>
        <w:jc w:val="left"/>
      </w:pPr>
      <w:r>
        <w:rPr>
          <w:rFonts w:hint="eastAsia"/>
        </w:rPr>
        <w:t>●峰值</w:t>
      </w:r>
      <w:r>
        <w:t>IOPS：100～3000</w:t>
      </w:r>
    </w:p>
    <w:p>
      <w:pPr>
        <w:snapToGrid w:val="0"/>
        <w:jc w:val="left"/>
      </w:pPr>
      <w:r>
        <w:rPr>
          <w:rFonts w:hint="eastAsia"/>
        </w:rPr>
        <w:t>●峰值吞吐量：</w:t>
      </w:r>
      <w:r>
        <w:t>150Mbps</w:t>
      </w:r>
    </w:p>
    <w:p>
      <w:pPr>
        <w:snapToGrid w:val="0"/>
        <w:jc w:val="left"/>
      </w:pPr>
      <w:r>
        <w:rPr>
          <w:rFonts w:hint="eastAsia"/>
        </w:rPr>
        <w:t>●平均延时：＜</w:t>
      </w:r>
      <w:r>
        <w:t>10ms</w:t>
      </w:r>
    </w:p>
    <w:p>
      <w:pPr>
        <w:snapToGrid w:val="0"/>
        <w:jc w:val="left"/>
        <w:rPr>
          <w:kern w:val="0"/>
        </w:rPr>
      </w:pPr>
      <w:r>
        <w:rPr>
          <w:rFonts w:hint="eastAsia"/>
          <w:kern w:val="0"/>
        </w:rPr>
        <w:t>此外，系统是一个数据量大，数据类型复杂和事务并发多的实时系统，为了确保数据的安全性，防止任何人为或自然因素所导致的应用或系统中断，同时，便于系统错删、误删或在发生故障时能够快速恢复，需对数据及系统进行备份。</w:t>
      </w:r>
    </w:p>
    <w:p>
      <w:pPr>
        <w:pStyle w:val="5"/>
        <w:ind w:left="1063" w:hanging="1063" w:hangingChars="378"/>
      </w:pPr>
      <w:r>
        <w:rPr>
          <w:rFonts w:hint="eastAsia"/>
        </w:rPr>
        <w:t>数据中心交换机性能需求</w:t>
      </w:r>
    </w:p>
    <w:p>
      <w:pPr>
        <w:snapToGrid w:val="0"/>
        <w:jc w:val="left"/>
        <w:rPr>
          <w:kern w:val="0"/>
        </w:rPr>
      </w:pPr>
      <w:r>
        <w:rPr>
          <w:rFonts w:hint="eastAsia"/>
          <w:kern w:val="0"/>
        </w:rPr>
        <w:t>数据中心交换机是业务服务的数据传输通道，将数据的计算和业务应用有机的结合在一起。为保证业务应用服务的高可用、易扩展、易管理，数据中心交换机需满足以下性能要求：</w:t>
      </w:r>
    </w:p>
    <w:p>
      <w:pPr>
        <w:snapToGrid w:val="0"/>
        <w:jc w:val="left"/>
        <w:rPr>
          <w:kern w:val="0"/>
        </w:rPr>
      </w:pPr>
      <w:r>
        <w:rPr>
          <w:rFonts w:hint="eastAsia"/>
          <w:kern w:val="0"/>
        </w:rPr>
        <w:t>1</w:t>
      </w:r>
      <w:r>
        <w:rPr>
          <w:kern w:val="0"/>
        </w:rPr>
        <w:t>.</w:t>
      </w:r>
      <w:r>
        <w:rPr>
          <w:rFonts w:hint="eastAsia"/>
          <w:kern w:val="0"/>
        </w:rPr>
        <w:t>高可用性：数据中心网络的高可用是业务高可用的基本保证，在网络整体设计和设备配置上均是按照双备份要求设计的。在网络连接上消除单点故障，提供关键设备的故障切换。关键网络设备之间的物理链路采用双路冗余连接，按照负载均衡方式或active-active方式工作。关键主机可采用双路网卡来增加可靠性。全冗余的方式使系统达到99.999%的电信级可靠性。</w:t>
      </w:r>
    </w:p>
    <w:p>
      <w:pPr>
        <w:snapToGrid w:val="0"/>
        <w:jc w:val="left"/>
        <w:rPr>
          <w:kern w:val="0"/>
        </w:rPr>
      </w:pPr>
      <w:r>
        <w:rPr>
          <w:rFonts w:hint="eastAsia"/>
          <w:kern w:val="0"/>
        </w:rPr>
        <w:t>数据中心交换机均需要部署虚拟化技术，不仅网络容量可以平滑扩展，更可以简化网络拓扑结构，大大提高整网的可靠性，使得整网的保护倒换时间从原来的5~10秒缩短到50ms以内，达到电信级的可靠性要求。</w:t>
      </w:r>
    </w:p>
    <w:p>
      <w:pPr>
        <w:snapToGrid w:val="0"/>
        <w:jc w:val="left"/>
        <w:rPr>
          <w:kern w:val="0"/>
        </w:rPr>
      </w:pPr>
      <w:r>
        <w:rPr>
          <w:rFonts w:hint="eastAsia"/>
          <w:kern w:val="0"/>
        </w:rPr>
        <w:t>2</w:t>
      </w:r>
      <w:r>
        <w:rPr>
          <w:kern w:val="0"/>
        </w:rPr>
        <w:t>.</w:t>
      </w:r>
      <w:r>
        <w:rPr>
          <w:rFonts w:hint="eastAsia"/>
          <w:kern w:val="0"/>
        </w:rPr>
        <w:t>高性能：数据中心交接机具有较高的吞吐能力和缓存能力，保障在数据传输高峰期不存在阻塞，具备对突发流量的承受能力，降低数据交互的访问的时延，提升业务数据的传输能力。其中，要求数据中心交换机的交换容量≥2T，包转发率≥1150Mpps。</w:t>
      </w:r>
    </w:p>
    <w:p>
      <w:pPr>
        <w:snapToGrid w:val="0"/>
        <w:jc w:val="left"/>
        <w:rPr>
          <w:kern w:val="0"/>
        </w:rPr>
      </w:pPr>
      <w:r>
        <w:rPr>
          <w:rFonts w:hint="eastAsia"/>
          <w:kern w:val="0"/>
        </w:rPr>
        <w:t>3</w:t>
      </w:r>
      <w:r>
        <w:rPr>
          <w:kern w:val="0"/>
        </w:rPr>
        <w:t>.</w:t>
      </w:r>
      <w:r>
        <w:rPr>
          <w:rFonts w:hint="eastAsia"/>
          <w:kern w:val="0"/>
        </w:rPr>
        <w:t>扩展性：为方便地实现基础计算平台规模的后续扩展，系统的设计具有灵活的扩展能力。要求数据中心交换机具备丰富的端口形态，及灵活的可扩展的业务槽位，包括：端口的扩展，带宽容量的扩展，处理用户访问能力的扩展等。扩展应能在线进行，不需中断服务。系统采用模块化设计，系统可方便地增加新的功能，并能有选择地对某个功能块进行升级或扩展。</w:t>
      </w:r>
    </w:p>
    <w:p>
      <w:pPr>
        <w:pStyle w:val="5"/>
        <w:ind w:left="1063" w:hanging="1063" w:hangingChars="378"/>
      </w:pPr>
      <w:r>
        <w:rPr>
          <w:rFonts w:hint="eastAsia"/>
        </w:rPr>
        <w:t>安全系统性能需求</w:t>
      </w:r>
    </w:p>
    <w:p>
      <w:pPr>
        <w:snapToGrid w:val="0"/>
        <w:jc w:val="left"/>
        <w:rPr>
          <w:kern w:val="0"/>
        </w:rPr>
      </w:pPr>
      <w:r>
        <w:rPr>
          <w:rFonts w:hint="eastAsia"/>
          <w:kern w:val="0"/>
        </w:rPr>
        <w:t>本项目依托省政务云共享平台的安全环境，相关安全系统及软硬件均由省政务云提供。由于网络系统的多样性、复杂性、开放性、终端分布的不均匀性，致使网络极易遭到黑客、恶性软件或非法授权的攻击与入侵。为了保障和加强网络系统的安全，防止偶然因素和恶意原因破坏、更改、泄密，保障业务工作正常持续进行，网络服务不中断，针对计算机网络结构的安全考虑，主要基于设备安全和信息安全两方面因素考虑。网络设备的冗余配置、网络连接的备份冗余、动态路由协议、虚拟路由协议、Spanning Tree技术保证网络在出现故障时迅速挽救和恢复，实现网络运行的不间断性；双机热备份、集群技术、磁盘阵列、存储网络实现信息的安全存储和数据恢复丢失。防火墙应用、ＶＰＮ技术、加密技术和安全认证实现信息安全的需求。</w:t>
      </w:r>
    </w:p>
    <w:p>
      <w:pPr>
        <w:snapToGrid w:val="0"/>
        <w:jc w:val="left"/>
        <w:rPr>
          <w:kern w:val="0"/>
        </w:rPr>
      </w:pPr>
      <w:r>
        <w:rPr>
          <w:rFonts w:hint="eastAsia"/>
          <w:kern w:val="0"/>
        </w:rPr>
        <w:t>同时，网络安全系统支撑和保障平台的安全稳定运行，防止信息网络瘫痪、防止应用系统破坏、防止业务数据丢失、防止信息泄密、防止终端病毒感染、防止有害信息传播、防止恶意渗透攻击，以确保应用系统安全稳定运行，确保业务数据安全。为了实现这个目标，至少需要从物理、网络、系统、应用、数据等多个层面部署安全保障措施，并建设满足国家信息安全三级保护的安全防护体系，防止身份假冒、信息窃取、内容篡改、非法入侵、病毒侵袭等造成的破坏。并且，系统建设时至少满足以下性能指标要求：</w:t>
      </w:r>
    </w:p>
    <w:p>
      <w:pPr>
        <w:snapToGrid w:val="0"/>
        <w:jc w:val="left"/>
        <w:rPr>
          <w:kern w:val="0"/>
        </w:rPr>
      </w:pPr>
      <w:r>
        <w:rPr>
          <w:rFonts w:hint="eastAsia"/>
          <w:kern w:val="0"/>
        </w:rPr>
        <w:t>1</w:t>
      </w:r>
      <w:r>
        <w:rPr>
          <w:kern w:val="0"/>
        </w:rPr>
        <w:t>.</w:t>
      </w:r>
      <w:r>
        <w:rPr>
          <w:rFonts w:hint="eastAsia"/>
          <w:kern w:val="0"/>
        </w:rPr>
        <w:t>系统建设要求符合《数据库管理系统安全技术要求》(GB/T20273-2006)、《网络端设备隔离部件技术要求》(GB/T20279-2006)、《网络交换机安全技术要求》(GA/T684-2007)、《防火墙安全技术要求》(GA/T683-2007)等信息系统安全等级保护相关标准的要求；</w:t>
      </w:r>
    </w:p>
    <w:p>
      <w:pPr>
        <w:snapToGrid w:val="0"/>
        <w:jc w:val="left"/>
        <w:rPr>
          <w:kern w:val="0"/>
        </w:rPr>
      </w:pPr>
      <w:r>
        <w:rPr>
          <w:rFonts w:hint="eastAsia"/>
          <w:kern w:val="0"/>
        </w:rPr>
        <w:t>2</w:t>
      </w:r>
      <w:r>
        <w:rPr>
          <w:kern w:val="0"/>
        </w:rPr>
        <w:t>.</w:t>
      </w:r>
      <w:r>
        <w:rPr>
          <w:rFonts w:hint="eastAsia"/>
          <w:kern w:val="0"/>
        </w:rPr>
        <w:t>系统能够对平台进行独立防护，进行访问控制、攻击防御；对办公网上网应用行为进行管理，合理规划网络流量应用，对内部人员上网行为的约束与审计；</w:t>
      </w:r>
    </w:p>
    <w:p>
      <w:pPr>
        <w:snapToGrid w:val="0"/>
        <w:jc w:val="left"/>
        <w:rPr>
          <w:kern w:val="0"/>
        </w:rPr>
      </w:pPr>
      <w:r>
        <w:rPr>
          <w:rFonts w:hint="eastAsia"/>
          <w:kern w:val="0"/>
        </w:rPr>
        <w:t>3</w:t>
      </w:r>
      <w:r>
        <w:rPr>
          <w:kern w:val="0"/>
        </w:rPr>
        <w:t>.</w:t>
      </w:r>
      <w:r>
        <w:rPr>
          <w:rFonts w:hint="eastAsia"/>
          <w:kern w:val="0"/>
        </w:rPr>
        <w:t>能够抑制来自外部或内部网络的恶意病毒传播，保持网络清洁。建立全网统一升级服务中心，实现全网统一升级管理。保护全网终端及服务器，对各类病毒进行彻底查杀，实时监控并阻断针对基础计算平台业务服务器的入侵行为；</w:t>
      </w:r>
    </w:p>
    <w:p>
      <w:pPr>
        <w:snapToGrid w:val="0"/>
        <w:jc w:val="left"/>
        <w:rPr>
          <w:kern w:val="0"/>
        </w:rPr>
      </w:pPr>
      <w:r>
        <w:rPr>
          <w:rFonts w:hint="eastAsia"/>
          <w:kern w:val="0"/>
        </w:rPr>
        <w:t>4</w:t>
      </w:r>
      <w:r>
        <w:rPr>
          <w:kern w:val="0"/>
        </w:rPr>
        <w:t>.</w:t>
      </w:r>
      <w:r>
        <w:rPr>
          <w:rFonts w:hint="eastAsia"/>
          <w:kern w:val="0"/>
        </w:rPr>
        <w:t>能够抑制来自互联网的攻击，与服务中心办公网进行可控的数据交换，同时保持业务网的高度隔离状态，保护核心业务服务器的高度安全；</w:t>
      </w:r>
    </w:p>
    <w:p>
      <w:pPr>
        <w:snapToGrid w:val="0"/>
        <w:jc w:val="left"/>
        <w:rPr>
          <w:kern w:val="0"/>
        </w:rPr>
      </w:pPr>
      <w:r>
        <w:rPr>
          <w:rFonts w:hint="eastAsia"/>
          <w:kern w:val="0"/>
        </w:rPr>
        <w:t>5</w:t>
      </w:r>
      <w:r>
        <w:rPr>
          <w:kern w:val="0"/>
        </w:rPr>
        <w:t>.</w:t>
      </w:r>
      <w:r>
        <w:rPr>
          <w:rFonts w:hint="eastAsia"/>
          <w:kern w:val="0"/>
        </w:rPr>
        <w:t>对外网用户的可信接入进行身份认证、数据加密、角色授权和访问审计等，保护服务中心内部服务器资源的可用性，保障正常业务可控的访问；</w:t>
      </w:r>
    </w:p>
    <w:p>
      <w:pPr>
        <w:snapToGrid w:val="0"/>
        <w:jc w:val="left"/>
        <w:rPr>
          <w:kern w:val="0"/>
        </w:rPr>
      </w:pPr>
      <w:r>
        <w:rPr>
          <w:rFonts w:hint="eastAsia"/>
          <w:kern w:val="0"/>
        </w:rPr>
        <w:t>6</w:t>
      </w:r>
      <w:r>
        <w:rPr>
          <w:kern w:val="0"/>
        </w:rPr>
        <w:t>.</w:t>
      </w:r>
      <w:r>
        <w:rPr>
          <w:rFonts w:hint="eastAsia"/>
          <w:kern w:val="0"/>
        </w:rPr>
        <w:t>对数据库操作进行记录、审计、授权、命令回放等。实现所有用户对数据库访问及操作的行为进行审计分析；</w:t>
      </w:r>
    </w:p>
    <w:p>
      <w:pPr>
        <w:snapToGrid w:val="0"/>
        <w:jc w:val="left"/>
        <w:rPr>
          <w:kern w:val="0"/>
        </w:rPr>
      </w:pPr>
      <w:r>
        <w:rPr>
          <w:rFonts w:hint="eastAsia"/>
          <w:kern w:val="0"/>
        </w:rPr>
        <w:t>7</w:t>
      </w:r>
      <w:r>
        <w:rPr>
          <w:kern w:val="0"/>
        </w:rPr>
        <w:t>.</w:t>
      </w:r>
      <w:r>
        <w:rPr>
          <w:rFonts w:hint="eastAsia"/>
          <w:kern w:val="0"/>
        </w:rPr>
        <w:t>边界集中进行病毒过滤，防止病毒侵入扩散，与网络防病毒组成多层次深度防御；</w:t>
      </w:r>
    </w:p>
    <w:p>
      <w:pPr>
        <w:snapToGrid w:val="0"/>
        <w:jc w:val="left"/>
        <w:rPr>
          <w:kern w:val="0"/>
        </w:rPr>
      </w:pPr>
      <w:r>
        <w:rPr>
          <w:rFonts w:hint="eastAsia"/>
          <w:kern w:val="0"/>
        </w:rPr>
        <w:t>8</w:t>
      </w:r>
      <w:r>
        <w:rPr>
          <w:kern w:val="0"/>
        </w:rPr>
        <w:t>.</w:t>
      </w:r>
      <w:r>
        <w:rPr>
          <w:rFonts w:hint="eastAsia"/>
          <w:kern w:val="0"/>
        </w:rPr>
        <w:t>具有流量控制能力，可以有效的防止由于网络中瞬间的大量数据对网络带来的冲击，保证用户网络高效而稳定的运行；</w:t>
      </w:r>
    </w:p>
    <w:p>
      <w:pPr>
        <w:snapToGrid w:val="0"/>
        <w:jc w:val="left"/>
        <w:rPr>
          <w:kern w:val="0"/>
        </w:rPr>
      </w:pPr>
      <w:r>
        <w:rPr>
          <w:rFonts w:hint="eastAsia"/>
          <w:kern w:val="0"/>
        </w:rPr>
        <w:t>9</w:t>
      </w:r>
      <w:r>
        <w:rPr>
          <w:kern w:val="0"/>
        </w:rPr>
        <w:t>.</w:t>
      </w:r>
      <w:r>
        <w:rPr>
          <w:rFonts w:hint="eastAsia"/>
          <w:kern w:val="0"/>
        </w:rPr>
        <w:t>能够对网络进行漏洞扫描，打补丁，统一策略配置、统一设备管理，实时监控并阻断针对基础计算平台核心业务服务器的入侵行为；</w:t>
      </w:r>
    </w:p>
    <w:p>
      <w:pPr>
        <w:snapToGrid w:val="0"/>
        <w:jc w:val="left"/>
        <w:rPr>
          <w:kern w:val="0"/>
        </w:rPr>
      </w:pPr>
      <w:r>
        <w:rPr>
          <w:rFonts w:hint="eastAsia"/>
          <w:kern w:val="0"/>
        </w:rPr>
        <w:t>1</w:t>
      </w:r>
      <w:r>
        <w:rPr>
          <w:kern w:val="0"/>
        </w:rPr>
        <w:t>0.</w:t>
      </w:r>
      <w:r>
        <w:rPr>
          <w:rFonts w:hint="eastAsia"/>
          <w:kern w:val="0"/>
        </w:rPr>
        <w:t>统一进行终端的安全管理，通过对终端和访问行为进行限制和保护，实现终端安全加固、网络接入控制、非法外联控制、资产管理、I/O接口管理、终端配置维护、终端审计监控等。</w:t>
      </w:r>
    </w:p>
    <w:p>
      <w:pPr>
        <w:pStyle w:val="5"/>
        <w:ind w:left="1063" w:hanging="1063" w:hangingChars="378"/>
      </w:pPr>
      <w:r>
        <w:rPr>
          <w:rFonts w:hint="eastAsia"/>
        </w:rPr>
        <w:t>接口需求分析</w:t>
      </w:r>
    </w:p>
    <w:p>
      <w:pPr>
        <w:rPr>
          <w:kern w:val="24"/>
        </w:rPr>
      </w:pPr>
      <w:r>
        <w:rPr>
          <w:rFonts w:hint="eastAsia"/>
          <w:kern w:val="24"/>
        </w:rPr>
        <w:t>业务应用需要对接的系统数量众多，接口形式多样，需要考虑如何实现在数据、流程、功能上的交互。在集成方案的设计和实施上，需考虑数据一致性、数据更新同步周期、数据安全性、接口可实施性、接口可扩展性等多种因素，根据数据的特点，选择不同的接口技术，在表现层调用页面（通过HTTP协议）、或调用封装好的Web服务等；准实时异步接口可以选择消息机制或传统的接口表方式等；定时接口可以选择FTP方式等。</w:t>
      </w:r>
    </w:p>
    <w:p>
      <w:pPr>
        <w:pStyle w:val="3"/>
        <w:bidi w:val="0"/>
      </w:pPr>
      <w:bookmarkStart w:id="84" w:name="_Toc106456750"/>
      <w:bookmarkStart w:id="85" w:name="_Toc14652"/>
      <w:r>
        <w:rPr>
          <w:rFonts w:hint="eastAsia"/>
        </w:rPr>
        <w:t>信息系统装备和应用现状与差距</w:t>
      </w:r>
      <w:bookmarkEnd w:id="84"/>
      <w:bookmarkEnd w:id="85"/>
    </w:p>
    <w:p>
      <w:pPr>
        <w:pStyle w:val="4"/>
        <w:bidi w:val="0"/>
        <w:ind w:left="240" w:leftChars="0" w:firstLineChars="0"/>
      </w:pPr>
      <w:bookmarkStart w:id="86" w:name="_Toc14617"/>
      <w:bookmarkStart w:id="87" w:name="_Toc99028702"/>
      <w:bookmarkStart w:id="88" w:name="_Toc99092973"/>
      <w:bookmarkStart w:id="89" w:name="_Toc106456751"/>
      <w:r>
        <w:t>信息系统装备</w:t>
      </w:r>
      <w:bookmarkEnd w:id="86"/>
      <w:bookmarkEnd w:id="87"/>
      <w:bookmarkEnd w:id="88"/>
      <w:bookmarkEnd w:id="89"/>
    </w:p>
    <w:p>
      <w:r>
        <w:rPr>
          <w:rFonts w:hint="eastAsia"/>
        </w:rPr>
        <w:t>（</w:t>
      </w:r>
      <w:r>
        <w:t>1）现有信息系统机房状况：现有信息系统部署于</w:t>
      </w:r>
      <w:r>
        <w:rPr>
          <w:rFonts w:hint="eastAsia"/>
        </w:rPr>
        <w:t>电信</w:t>
      </w:r>
      <w:r>
        <w:t>IDC机房，机房各基础设施齐全，配置了UPS系统、气体消防系统、精密空调系统、机房环境、防雷、监控系统、安全系统等。</w:t>
      </w:r>
    </w:p>
    <w:p>
      <w:r>
        <w:rPr>
          <w:rFonts w:hint="eastAsia"/>
        </w:rPr>
        <w:t>本项目信息系统部署电信</w:t>
      </w:r>
      <w:r>
        <w:t>IDC机房，利用云机房基础设施和利用云平台资源进行项目建设。</w:t>
      </w:r>
    </w:p>
    <w:p>
      <w:r>
        <w:rPr>
          <w:rFonts w:hint="eastAsia"/>
        </w:rPr>
        <w:t>（</w:t>
      </w:r>
      <w:r>
        <w:t>2）现有服务器系统现状：服务器7台，包括服务器2台，配置128G内存6*300G硬盘；短信平台服务器1台，128G内存6*300G硬盘；中间件服务器2台，256G内存6*900G硬盘；搜索应用服务器1台，256G内存6*900G硬盘；负载均衡器服务器1台。</w:t>
      </w:r>
    </w:p>
    <w:p>
      <w:pPr>
        <w:pStyle w:val="4"/>
        <w:ind w:left="240" w:leftChars="0" w:firstLineChars="0"/>
      </w:pPr>
      <w:bookmarkStart w:id="90" w:name="_Toc99092974"/>
      <w:bookmarkStart w:id="91" w:name="_Toc106456752"/>
      <w:bookmarkStart w:id="92" w:name="_Toc521"/>
      <w:bookmarkStart w:id="93" w:name="_Hlk110237500"/>
      <w:bookmarkStart w:id="94" w:name="_Toc99028704"/>
      <w:r>
        <w:rPr>
          <w:rFonts w:hint="eastAsia"/>
        </w:rPr>
        <w:t>信息化现状</w:t>
      </w:r>
      <w:bookmarkEnd w:id="90"/>
      <w:bookmarkEnd w:id="91"/>
      <w:bookmarkEnd w:id="92"/>
    </w:p>
    <w:bookmarkEnd w:id="93"/>
    <w:p>
      <w:r>
        <w:rPr>
          <w:rFonts w:hint="eastAsia"/>
        </w:rPr>
        <w:t>（</w:t>
      </w:r>
      <w:r>
        <w:t>1）全程电子化系统</w:t>
      </w:r>
    </w:p>
    <w:p>
      <w:r>
        <w:rPr>
          <w:rFonts w:hint="eastAsia"/>
        </w:rPr>
        <w:t>全程电子化系统是市场监管部门面向企业提供的外网服务平台，企业可通过该系统直接在外网进行相应业务的申请。为实现企业注销“一网”服务、信息共享目标，进一步推进企业注销便利化工作，丰富政务服务方式。</w:t>
      </w:r>
    </w:p>
    <w:p>
      <w:r>
        <w:rPr>
          <w:rFonts w:hint="eastAsia"/>
        </w:rPr>
        <w:t>（</w:t>
      </w:r>
      <w:r>
        <w:t>2）综合业务管理系统</w:t>
      </w:r>
    </w:p>
    <w:p>
      <w:r>
        <w:rPr>
          <w:rFonts w:hint="eastAsia"/>
        </w:rPr>
        <w:t>综合业务系统是市场监管部门面向内部业务人员提供的综合业务办理系统，是企业登记、个体登记、广告管理和市场管理等业务管理的窗口</w:t>
      </w:r>
      <w:r>
        <w:t>,支持窗口业务的申请和各类方式申请数据的审核批准工作。实现精简材料、优化流程、信息共享、企业注销便利化工作的系统。</w:t>
      </w:r>
    </w:p>
    <w:p>
      <w:r>
        <w:rPr>
          <w:rFonts w:hint="eastAsia"/>
        </w:rPr>
        <w:t>（</w:t>
      </w:r>
      <w:r>
        <w:t>3）企业开办一网通办系统</w:t>
      </w:r>
    </w:p>
    <w:p>
      <w:r>
        <w:rPr>
          <w:rFonts w:hint="eastAsia"/>
        </w:rPr>
        <w:t>企业开办一网通办平台是市场监管部门面向企业提供企业开办的外网服务平台，依托全省一体化政务服务平台，实现企业开办事项“一网通办”。平台整合设立登记、印章制作、申领发票、社保登记等各类企业开办事项和网上服务资源，加强信息共享。</w:t>
      </w:r>
    </w:p>
    <w:p>
      <w:r>
        <w:rPr>
          <w:rFonts w:hint="eastAsia"/>
        </w:rPr>
        <w:t>（</w:t>
      </w:r>
      <w:r>
        <w:t>4）事中事后综合监管系统</w:t>
      </w:r>
    </w:p>
    <w:p>
      <w:r>
        <w:rPr>
          <w:rFonts w:hint="eastAsia"/>
        </w:rPr>
        <w:t>事中事后综合监管系统是市场监管部门面向全省涉企监管业务部门提供的综合监管系统，依托国家企业信用信息公示系统，建立全省各涉企监管部门内部上下联通、横向协同、指挥高效的监管运行机制，积极推进市场监管业务系统与外部的信息共享、监管联动、社会共治。系统覆盖所有监管部门，覆盖省、市、县所有层级，覆盖所有涉企监管业务，覆盖所有执法检查人员，全面实施“双随机、一公开”监管，有效实现监管风险的发现、分类、管控，提高监管效能，加快构建事中事后监管体系，营造宽松便捷的准入环境、公平竞争的市场环境、安全放心的消费环境。</w:t>
      </w:r>
    </w:p>
    <w:p>
      <w:r>
        <w:rPr>
          <w:rFonts w:hint="eastAsia"/>
        </w:rPr>
        <w:t>（</w:t>
      </w:r>
      <w:r>
        <w:t>5）国家企业信用信息公示系统</w:t>
      </w:r>
    </w:p>
    <w:p>
      <w:r>
        <w:rPr>
          <w:rFonts w:hint="eastAsia"/>
        </w:rPr>
        <w:t>国家企业信用信息公示系统（以下简称公示系统）是国家级企业信用信息归集公示平台组成部分，是企业报送并公示年度报告和即时信息的法定平台，是各级政府部门实施信用监管的重要工作平台。具备信息查询、信息填报、信息公告、企业经营异常名录公示、严重违法企业名单公示、抽查检查结果公示、双告知、失信联合惩戒、严重违法企业名单管理、简易注销、司法协助公示等功能，实现涉企信用信息的跨部门、跨区域、跨领域的全面覆盖。</w:t>
      </w:r>
    </w:p>
    <w:p>
      <w:r>
        <w:rPr>
          <w:rFonts w:hint="eastAsia"/>
        </w:rPr>
        <w:t>（6）特种</w:t>
      </w:r>
      <w:r>
        <w:t>设备安全监管系统</w:t>
      </w:r>
    </w:p>
    <w:p>
      <w:r>
        <w:rPr>
          <w:rFonts w:hint="eastAsia"/>
        </w:rPr>
        <w:t>黑龙江省市场监督管理局在用的特种设备安全监管系统是</w:t>
      </w:r>
      <w:r>
        <w:t>2014年开始建设并投入使用，系统实现了从源头开始监管的要求，通过设备从出厂到安装、使用、维保、检验、报停、报废的全过程监管，实现了特种设备检验检测规范化、工作流程标准化、数据流通网络化，动态地管理每一台设备的使用状态，从而有针对性地实施对每台设备的有效监管，实现特种设备的动态监管。</w:t>
      </w:r>
    </w:p>
    <w:p>
      <w:r>
        <w:rPr>
          <w:rFonts w:hint="eastAsia"/>
        </w:rPr>
        <w:t>特种设备安全监管系统包括：设备管理模块（制造监检管理、施工告知管理、安全监检、使用登记、变更登记、设备档案）、单位管理模块（监察机构、检验检测单位、生产单位、使用单位、气瓶充装单位、鉴定评审机构和人员考核机构等单位）、人员管理模块（监察人员、检验人员、鉴定评审人员、无损检测人员、作业人员、安全协管人员、其他人员等）、安全监察模块、检验管理模块、统计分析模块、企业平台等。</w:t>
      </w:r>
    </w:p>
    <w:p>
      <w:r>
        <w:rPr>
          <w:rFonts w:hint="eastAsia"/>
        </w:rPr>
        <w:t>近年来，随着国家特种设备相关法规、标准大幅度调整，同时，国家提出建立电梯、气瓶追溯体系，电梯检验和维保改革，特种设备行政许可改革，“双随机一公开”监管，信用监管，国产计算机系统替换等一系列新政策、新要求，现有的特种设备监管系统已不能满足工作需要。</w:t>
      </w:r>
    </w:p>
    <w:p>
      <w:r>
        <w:rPr>
          <w:rFonts w:hint="eastAsia"/>
        </w:rPr>
        <w:t>（</w:t>
      </w:r>
      <w:r>
        <w:t>7</w:t>
      </w:r>
      <w:r>
        <w:rPr>
          <w:rFonts w:hint="eastAsia"/>
        </w:rPr>
        <w:t>）“双随机、一公开”系统</w:t>
      </w:r>
    </w:p>
    <w:p>
      <w:r>
        <w:t>2018年开发建设全省工商系统的“双随机、一公开”系统，原工商“双随机、一公开”事中事后监平台包括工作台、本部门双随机一公开、跨部门双随机一公开（市场监管内部）、抽查检查结果全程追溯、一单两库建设等内容。</w:t>
      </w:r>
    </w:p>
    <w:p>
      <w:r>
        <w:rPr>
          <w:rFonts w:hint="eastAsia"/>
        </w:rPr>
        <w:t>虽然原工商“双随机、一公开”事中事后监平台已经实现了一单两库、部门内部双随机功能建设。但是原有系统的设计主要还是从工商为出发点，建立尽可能普适的工作平台，能够适应原工商总局多次颁发的对双随机抽查检查的相关要求，但原有“事中事后监管平台”从用户使用并发量、架构设计、功能需求、用户使用层级均发生变化，其次原有的工商系统的双随机抽查检查，主要围绕市场主体进行的抽查检查，没有针对特种设备、特定产品、认证活动（认证证书）等客体以及行为的双随机抽查，需对现有系统进行升级改造。</w:t>
      </w:r>
    </w:p>
    <w:p>
      <w:pPr>
        <w:pStyle w:val="5"/>
      </w:pPr>
      <w:r>
        <w:rPr>
          <w:rFonts w:hint="eastAsia"/>
        </w:rPr>
        <w:t>数据质量管理</w:t>
      </w:r>
    </w:p>
    <w:p>
      <w:r>
        <w:rPr>
          <w:rFonts w:hint="eastAsia"/>
        </w:rPr>
        <w:t>当前黑龙江省市场监管局已经建设了市场监管局数据管理平台，其中包含资源梳理及主题库建设子系统、数据抽取处理子系统、数据质量子系统、数据汇聚监控管理子系统、数据标准及元数据管理子系统及共享交换与协同应用子系统等。此外，在黑龙江省市场监管综合业务系统信息化建设项目中，数据中心建设部分将建设综合管理功能，实现用户管理、机构管理、权限管理、菜单管理等功能。</w:t>
      </w:r>
    </w:p>
    <w:p>
      <w:r>
        <w:rPr>
          <w:rFonts w:hint="eastAsia"/>
        </w:rPr>
        <w:t>黑龙江省市场监管局按照国家总局</w:t>
      </w:r>
      <w:r>
        <w:t>3年数</w:t>
      </w:r>
      <w:r>
        <w:rPr>
          <w:rFonts w:hint="eastAsia"/>
        </w:rPr>
        <w:t>据质量建设工作的总体部署，还需要全面巩固提升市场主体登记数据基础，做好</w:t>
      </w:r>
      <w:r>
        <w:t>3年数据质量建设收尾工作，以优质数据服务改革和推动</w:t>
      </w:r>
      <w:r>
        <w:rPr>
          <w:rFonts w:hint="eastAsia"/>
        </w:rPr>
        <w:t>发展。全面摸黑龙江省市场监管局前期数据质量自查问题整改情况，了解数据治理过程中的难点、痛点、堵点问题，研究针对性解决方案，</w:t>
      </w:r>
      <w:r>
        <w:t>及时纠正数据质量</w:t>
      </w:r>
      <w:r>
        <w:rPr>
          <w:rFonts w:hint="eastAsia"/>
        </w:rPr>
        <w:t>建设中发现的各类数据问题，确保数据真实、准确，进一步提升市场主体数据质量。</w:t>
      </w:r>
    </w:p>
    <w:p>
      <w:pPr>
        <w:pStyle w:val="5"/>
      </w:pPr>
      <w:r>
        <w:rPr>
          <w:rFonts w:hint="eastAsia"/>
        </w:rPr>
        <w:t>监管大脑主题库</w:t>
      </w:r>
    </w:p>
    <w:p>
      <w:r>
        <w:rPr>
          <w:rFonts w:hint="eastAsia"/>
        </w:rPr>
        <w:t>长期以来，</w:t>
      </w:r>
      <w:r>
        <w:rPr>
          <w:rFonts w:hint="eastAsia" w:ascii="宋体" w:hAnsi="宋体"/>
        </w:rPr>
        <w:t>黑龙省市场监管局</w:t>
      </w:r>
      <w:r>
        <w:rPr>
          <w:rFonts w:hint="eastAsia"/>
        </w:rPr>
        <w:t>紧紧围绕国家相关政策、法规，不断创新机制，加快信息化步伐，在市场监管工作积累了大量的市场主体数据，而对数据的利用也仅限于自身掌握的数据，如何利用好数据、挖掘数据价值，全面、准确地反映本省市场主体情况，更好的服务于市场监管工作开展等，面临着更大的机遇和挑战。</w:t>
      </w:r>
    </w:p>
    <w:p>
      <w:r>
        <w:rPr>
          <w:rFonts w:hint="eastAsia"/>
        </w:rPr>
        <w:t>当前我国正处于经济转型和体制完善的过程中，虽然市场监管取得突出成效，但市场秩序、市场环境还存在一些矛盾和问题。这些问题，影响着市场机制作用的发挥，影响着资源的优化配置，影响着我国经济的健康发展。</w:t>
      </w:r>
      <w:r>
        <w:rPr>
          <w:rFonts w:hint="eastAsia" w:ascii="宋体" w:hAnsi="宋体"/>
        </w:rPr>
        <w:t>黑龙省市场监管局需要</w:t>
      </w:r>
      <w:r>
        <w:rPr>
          <w:rFonts w:hint="eastAsia"/>
        </w:rPr>
        <w:t>聚焦其关注的重点业务和热点风险，按照当前监管工作重点和急用先行的原则，推进重要监管业务应用系统建设，辅助领导“揽全局、抓问题、定计划、督落实”，提供一站式决策支持。</w:t>
      </w:r>
    </w:p>
    <w:p>
      <w:pPr>
        <w:pStyle w:val="5"/>
      </w:pPr>
      <w:r>
        <w:rPr>
          <w:rFonts w:hint="eastAsia"/>
        </w:rPr>
        <w:t>证照库平台</w:t>
      </w:r>
    </w:p>
    <w:p>
      <w:r>
        <w:rPr>
          <w:rFonts w:hint="eastAsia"/>
        </w:rPr>
        <w:t>黑龙江省市场监督管理局各系统无电子证照生成能力，按照国家市场监督管理总局印发《市场监管总局关于充分发挥职能作用落实深化“证照分离”改革任务的通知》（国市监注发〔2021〕36号）文件要求，需建设证照库平台。</w:t>
      </w:r>
    </w:p>
    <w:p>
      <w:pPr>
        <w:pStyle w:val="4"/>
        <w:bidi w:val="0"/>
        <w:ind w:left="240" w:leftChars="0" w:firstLineChars="0"/>
      </w:pPr>
      <w:bookmarkStart w:id="95" w:name="_Toc1298"/>
      <w:bookmarkStart w:id="96" w:name="_Toc106456753"/>
      <w:bookmarkStart w:id="97" w:name="_Toc99092975"/>
      <w:r>
        <w:t>网络系统现状</w:t>
      </w:r>
      <w:bookmarkEnd w:id="94"/>
      <w:bookmarkEnd w:id="95"/>
      <w:bookmarkEnd w:id="96"/>
      <w:bookmarkEnd w:id="97"/>
    </w:p>
    <w:p>
      <w:r>
        <w:rPr>
          <w:rFonts w:hint="eastAsia"/>
        </w:rPr>
        <w:t>黑龙江省市场监管管理局信息系统业务专网分为三层四级，即省局、市局、县（区）局和市场监督管理所，市局为省网的一级节点，县（区）局为二级节点，市场监督管理所为三级节点。网络下联市局至监管所，上联国家总局，横向与政府各执法部门通过省政务网相连。网络运行管理中心设在电信数据中心。网络拓扑图如下图所示：</w:t>
      </w:r>
    </w:p>
    <w:p>
      <w:pPr>
        <w:ind w:firstLine="0" w:firstLineChars="0"/>
        <w:jc w:val="center"/>
      </w:pPr>
      <w:r>
        <w:rPr>
          <w:rFonts w:hint="eastAsia"/>
        </w:rPr>
        <w:drawing>
          <wp:inline distT="0" distB="0" distL="0" distR="0">
            <wp:extent cx="5274310" cy="31254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3125470"/>
                    </a:xfrm>
                    <a:prstGeom prst="rect">
                      <a:avLst/>
                    </a:prstGeom>
                    <a:noFill/>
                    <a:ln>
                      <a:noFill/>
                    </a:ln>
                  </pic:spPr>
                </pic:pic>
              </a:graphicData>
            </a:graphic>
          </wp:inline>
        </w:drawing>
      </w:r>
    </w:p>
    <w:p>
      <w:pPr>
        <w:pStyle w:val="4"/>
        <w:spacing w:before="240" w:after="120" w:line="240" w:lineRule="auto"/>
        <w:ind w:left="906" w:leftChars="0" w:hanging="666" w:firstLineChars="0"/>
      </w:pPr>
      <w:bookmarkStart w:id="98" w:name="_Toc99092976"/>
      <w:bookmarkStart w:id="99" w:name="_Toc99028705"/>
      <w:bookmarkStart w:id="100" w:name="_Toc31767"/>
      <w:bookmarkStart w:id="101" w:name="_Toc106456754"/>
      <w:r>
        <w:t>存在的主要问题和差距</w:t>
      </w:r>
      <w:bookmarkEnd w:id="98"/>
      <w:bookmarkEnd w:id="99"/>
      <w:bookmarkEnd w:id="100"/>
      <w:bookmarkEnd w:id="101"/>
    </w:p>
    <w:p>
      <w:r>
        <w:rPr>
          <w:rFonts w:hint="eastAsia"/>
        </w:rPr>
        <w:t>黑龙江省市场监督管理局暂无主题库证照库系统，需要按本次规范内容进行建设。</w:t>
      </w:r>
    </w:p>
    <w:p>
      <w:pPr>
        <w:pStyle w:val="3"/>
      </w:pPr>
      <w:bookmarkStart w:id="102" w:name="_Toc99092981"/>
      <w:bookmarkStart w:id="103" w:name="_Toc2458"/>
      <w:r>
        <w:rPr>
          <w:rFonts w:hint="eastAsia"/>
        </w:rPr>
        <w:t>项目建设的必要性</w:t>
      </w:r>
      <w:bookmarkEnd w:id="102"/>
      <w:bookmarkEnd w:id="103"/>
    </w:p>
    <w:p>
      <w:r>
        <w:rPr>
          <w:rFonts w:hint="eastAsia"/>
        </w:rPr>
        <w:t>当前，黑龙江省市场主体数量快速增长，市场活跃度不断提升，全社会信息量爆炸式增长，数量巨大、来源分散、格式多样的大数据对政府服务和监管能力提出了新的挑战，也带来了新的机遇。通过主题库证照库的应用能够揭示传统技术方式难以展现的关联关系，推动市场监管数据开放共享，促进社会事业数据融合和资源整合，将极大提升市场监管部门整体数据分析能力，为有效处理复杂的市场监管问题提供新的手段。建立“用数据说话、用数据决策、用数据管理、用数据创新”的管理机制，实现基于数据的科学决策，将推动市场监管理念进步、模式创新，加快建设与中国特色社会主义市场发展相适应的法治监管、创新监管，逐步实现市场监管治理能力现代化。</w:t>
      </w:r>
    </w:p>
    <w:p>
      <w:r>
        <w:rPr>
          <w:rFonts w:hint="eastAsia"/>
        </w:rPr>
        <w:t>因此充分认识推进信息公开、整合信息资源、加强大数据运用对提升政府治理能力、提高经济社会运行效率具有重大意义。充分运用大数据的先进理念、技术和资源，是提升国家竞争力的战略选择，是提高政府服务和监管能力的必然要求，有利于政府充分获取和运用信息，更加准确地了解市场主体需求，提高服务和监管的针对性、有效性；有利于顺利推进简政放权，实现放管结合，切实转变政府职能；有利于加强社会监督，发挥公众对规范市场主体行为的积极作用；有利于高效利用现代信息技术、社会数据资源和社会化的信息服务，降低行政监管成本。</w:t>
      </w:r>
    </w:p>
    <w:p>
      <w:r>
        <w:rPr>
          <w:rFonts w:hint="eastAsia"/>
        </w:rPr>
        <w:t>因此，建设黑龙江省市场监管主题库证照库项目是必要的。</w:t>
      </w:r>
      <w:bookmarkEnd w:id="48"/>
      <w:bookmarkEnd w:id="57"/>
      <w:bookmarkEnd w:id="65"/>
      <w:bookmarkEnd w:id="78"/>
      <w:bookmarkEnd w:id="79"/>
    </w:p>
    <w:p>
      <w:pPr>
        <w:pStyle w:val="2"/>
        <w:bidi w:val="0"/>
      </w:pPr>
      <w:bookmarkStart w:id="104" w:name="_Toc99092982"/>
      <w:bookmarkStart w:id="105" w:name="_Toc28817"/>
      <w:bookmarkStart w:id="106" w:name="_Toc93395109"/>
      <w:r>
        <w:rPr>
          <w:rFonts w:hint="eastAsia"/>
        </w:rPr>
        <w:t>总体建设方案</w:t>
      </w:r>
      <w:bookmarkEnd w:id="104"/>
      <w:bookmarkEnd w:id="105"/>
      <w:bookmarkEnd w:id="106"/>
    </w:p>
    <w:p>
      <w:pPr>
        <w:pStyle w:val="3"/>
      </w:pPr>
      <w:bookmarkStart w:id="107" w:name="_Toc6043"/>
      <w:bookmarkStart w:id="108" w:name="_Toc99028708"/>
      <w:bookmarkStart w:id="109" w:name="_Toc99092983"/>
      <w:r>
        <w:rPr>
          <w:rFonts w:hint="eastAsia"/>
        </w:rPr>
        <w:t>建设原则和策略</w:t>
      </w:r>
      <w:bookmarkEnd w:id="107"/>
      <w:bookmarkEnd w:id="108"/>
      <w:bookmarkEnd w:id="109"/>
    </w:p>
    <w:p>
      <w:pPr>
        <w:pStyle w:val="4"/>
        <w:ind w:left="240" w:leftChars="0" w:firstLineChars="0"/>
      </w:pPr>
      <w:bookmarkStart w:id="110" w:name="_Toc12124"/>
      <w:bookmarkStart w:id="111" w:name="_Toc99092984"/>
      <w:bookmarkStart w:id="112" w:name="_Toc99028709"/>
      <w:r>
        <w:t>建设原则</w:t>
      </w:r>
      <w:bookmarkEnd w:id="110"/>
      <w:bookmarkEnd w:id="111"/>
      <w:bookmarkEnd w:id="112"/>
    </w:p>
    <w:p>
      <w:r>
        <w:rPr>
          <w:rFonts w:hint="eastAsia"/>
        </w:rPr>
        <w:t>根据国务院关于信息化建设“统筹规划、资源共享、应用主导、面向市场、安全可靠、务求实效”的方针，结合本项目业务特点和需求，确定信息化建设的基本原则。</w:t>
      </w:r>
    </w:p>
    <w:p>
      <w:r>
        <w:rPr>
          <w:rFonts w:hint="eastAsia"/>
        </w:rPr>
        <w:t>（</w:t>
      </w:r>
      <w:r>
        <w:t>1）依法规范，保证质量</w:t>
      </w:r>
    </w:p>
    <w:p>
      <w:r>
        <w:rPr>
          <w:rFonts w:hint="eastAsia"/>
        </w:rPr>
        <w:t>信息化建设要严格遵守国家关于信息网络建设和信息管理以及有关法律法规。遵循政府工作公开透明的原则，最大限度地向社会和一定范围公开政府信息，接受社会监督，提供社会服务，保证廉洁高效；同时，要确保信息网络的安全，维护正常工作和信息管理秩序；要依法保护国家秘密和各类主体享有的信息专有权利，保障国家和其它主体的合法权益。</w:t>
      </w:r>
    </w:p>
    <w:p>
      <w:r>
        <w:rPr>
          <w:rFonts w:hint="eastAsia"/>
        </w:rPr>
        <w:t>（</w:t>
      </w:r>
      <w:r>
        <w:t>2）技术先进，功能实用</w:t>
      </w:r>
    </w:p>
    <w:p>
      <w:r>
        <w:rPr>
          <w:rFonts w:hint="eastAsia"/>
        </w:rPr>
        <w:t>根据应用需求出发，最大限度的满足各项功能要求，确保实用性，具有良好的性能价格比。坚持技术先进或较为先进，软硬件的选择、建设要采用国内外先进并且成熟的技术、设备和手段，注重应用，讲求实效，同时保证系统在未来的五年内，其技术仍能满足应用发展的需求。在功能模块的构建、功能实现的要求上，要重点突出，主次分明，强调标准统一，适合实际需要。</w:t>
      </w:r>
    </w:p>
    <w:p>
      <w:r>
        <w:rPr>
          <w:rFonts w:hint="eastAsia"/>
        </w:rPr>
        <w:t>（</w:t>
      </w:r>
      <w:r>
        <w:t>3）系统联动，降低成本</w:t>
      </w:r>
    </w:p>
    <w:p>
      <w:r>
        <w:rPr>
          <w:rFonts w:hint="eastAsia"/>
        </w:rPr>
        <w:t>在总体规划的基础上，网络建设要实现省市县的联动，统一布局、统一开发、统一规范、统一培训，减少重复建设，降低建设和运行成本。管理相对人信息管理的软件开发和网络建设既要符合监管的要求，也要满足企业管理需求，努力减少企业成本。</w:t>
      </w:r>
    </w:p>
    <w:p>
      <w:r>
        <w:rPr>
          <w:rFonts w:hint="eastAsia"/>
        </w:rPr>
        <w:t>（</w:t>
      </w:r>
      <w:r>
        <w:t>4）统一标准，信息共享</w:t>
      </w:r>
    </w:p>
    <w:p>
      <w:r>
        <w:rPr>
          <w:rFonts w:hint="eastAsia"/>
        </w:rPr>
        <w:t>要按照统一的规范进行规划和设计，严格遵循有关信息系统安全管理的规定及建设规范，各子系统间能够实现互连互通、信息共享。</w:t>
      </w:r>
    </w:p>
    <w:p>
      <w:r>
        <w:rPr>
          <w:rFonts w:hint="eastAsia"/>
        </w:rPr>
        <w:t>（</w:t>
      </w:r>
      <w:r>
        <w:t>5）安全保密</w:t>
      </w:r>
    </w:p>
    <w:p>
      <w:r>
        <w:rPr>
          <w:rFonts w:hint="eastAsia"/>
        </w:rPr>
        <w:t>平台承载着大量的敏感数据、政务管理等信息，必须要保证安全、可靠、稳定。通过采取必要的安全防范措施，使整个平台受到有意、无意的非法侵入而造成系统破坏的可能性降至最低程度。</w:t>
      </w:r>
    </w:p>
    <w:p>
      <w:r>
        <w:rPr>
          <w:rFonts w:hint="eastAsia"/>
        </w:rPr>
        <w:t>（</w:t>
      </w:r>
      <w:r>
        <w:t>6）开放性和标准化</w:t>
      </w:r>
    </w:p>
    <w:p>
      <w:r>
        <w:rPr>
          <w:rFonts w:hint="eastAsia"/>
        </w:rPr>
        <w:t>在设计时，要求提供开放性好、标准化程度高的技术方案；设备的各种接口满足开放和标准化原则。系统应具备灵活适应性和良好的可扩展性，系统的结构设计和产品选型要坚持标准化，首先采用国家标准和国际标准，其次采用广为认可的行业标准。</w:t>
      </w:r>
    </w:p>
    <w:p>
      <w:r>
        <w:rPr>
          <w:rFonts w:hint="eastAsia"/>
        </w:rPr>
        <w:t>（</w:t>
      </w:r>
      <w:r>
        <w:t>7）可扩展和前瞻性</w:t>
      </w:r>
    </w:p>
    <w:p>
      <w:r>
        <w:rPr>
          <w:rFonts w:hint="eastAsia"/>
        </w:rPr>
        <w:t>所有功能模块不但要满足当前需要，还应在扩充模块后满足可预见将来需求。保证建设完成后的系统在向新的技术升级时，能保护现有的投资。系统的技术方案要能将现有各种资源和应用系统有效地集成在一起，系统的结构要合理，要具有良好的可扩展性，应能比较容易地适应调整、扩充和删减；同时要有与其它系统的接口能力，利用各系统功能之长，进行优势互补。</w:t>
      </w:r>
    </w:p>
    <w:p>
      <w:r>
        <w:rPr>
          <w:rFonts w:hint="eastAsia"/>
        </w:rPr>
        <w:t>（</w:t>
      </w:r>
      <w:r>
        <w:t>8）可靠性与容错性</w:t>
      </w:r>
    </w:p>
    <w:p>
      <w:r>
        <w:rPr>
          <w:rFonts w:hint="eastAsia"/>
        </w:rPr>
        <w:t>设计上要充分考虑其大量硬件设备、软件系统和数据信息资源的实时服务特点，要保证网络、系统、数据的安全，保证系统运行的可靠。对系统主要的信息实行自动备份，以保证对系统异常情况的补救，并设有系统自动恢复机制。采取必要措施防止数据丢失，保证数据的一致性，保证系统运行过程中的高可靠性。</w:t>
      </w:r>
    </w:p>
    <w:p>
      <w:r>
        <w:rPr>
          <w:rFonts w:hint="eastAsia"/>
        </w:rPr>
        <w:t>（</w:t>
      </w:r>
      <w:r>
        <w:t>9）易用性与易维护性</w:t>
      </w:r>
    </w:p>
    <w:p>
      <w:r>
        <w:rPr>
          <w:rFonts w:hint="eastAsia"/>
        </w:rPr>
        <w:t>要重视用户界面的友好性和方便性。重点考虑用户使用上的接受程度、办事的效率及上网成本等各种因素，易于上手，便于使用。同时要求系统的管理、维护和维修具有简易性和可操作性。</w:t>
      </w:r>
    </w:p>
    <w:p>
      <w:pPr>
        <w:pStyle w:val="4"/>
        <w:bidi w:val="0"/>
        <w:ind w:left="240" w:leftChars="0" w:firstLineChars="0"/>
      </w:pPr>
      <w:bookmarkStart w:id="113" w:name="_Toc99028710"/>
      <w:bookmarkStart w:id="114" w:name="_Toc8044"/>
      <w:bookmarkStart w:id="115" w:name="_Toc99092985"/>
      <w:r>
        <w:t>建设策略</w:t>
      </w:r>
      <w:bookmarkEnd w:id="113"/>
      <w:bookmarkEnd w:id="114"/>
      <w:bookmarkEnd w:id="115"/>
    </w:p>
    <w:p>
      <w:r>
        <w:rPr>
          <w:rFonts w:hint="eastAsia"/>
        </w:rPr>
        <w:t>本项目建设策略如下：</w:t>
      </w:r>
    </w:p>
    <w:p>
      <w:r>
        <w:rPr>
          <w:rFonts w:hint="eastAsia"/>
        </w:rPr>
        <w:t>基本策略：统筹规划、注重实效、协同共享、保障安全。</w:t>
      </w:r>
    </w:p>
    <w:p>
      <w:r>
        <w:rPr>
          <w:rFonts w:hint="eastAsia"/>
        </w:rPr>
        <w:t>统筹规划。按照黑龙江省信息化战略部署，加强市行业信息化发展顶层设计，统一规划、统一标准，有序推进行业信息化建设，避免低水平重复建设。因地制宜，合理布局，以点带面，稳步推进。</w:t>
      </w:r>
    </w:p>
    <w:p>
      <w:r>
        <w:rPr>
          <w:rFonts w:hint="eastAsia"/>
        </w:rPr>
        <w:t>注重实效。以提升行业业务管理水平，降低流通成本、提高流通效益为重点，突出行业特色，注重前瞻性、先进性、实用性和可靠性，优先采用成熟、适用的信息技术支撑整个行业信息化发展。</w:t>
      </w:r>
    </w:p>
    <w:p>
      <w:r>
        <w:rPr>
          <w:rFonts w:hint="eastAsia"/>
        </w:rPr>
        <w:t>协同共享。充分发挥各级管理部门、企业以及有效的社会力量的作用，建立全市统一的网络平台和应用平台，合力推进行业信息化建设。同时打破部门界限，以信息资源共享、利用为核心，优化资源配置，实现信息资源共享和业务高效协同。</w:t>
      </w:r>
    </w:p>
    <w:p>
      <w:r>
        <w:rPr>
          <w:rFonts w:hint="eastAsia"/>
        </w:rPr>
        <w:t>保障安全。优先采用自主可控的国产化设备和系统建设信息安全基础设施。有序推进行业信息化标准体系和安全保障体系建设，加强风险评估和安全防护，强化信息安全保密管理，确保行业信息化基础设施和应用系统安全可靠。</w:t>
      </w:r>
    </w:p>
    <w:p>
      <w:pPr>
        <w:pStyle w:val="3"/>
      </w:pPr>
      <w:bookmarkStart w:id="116" w:name="_Toc20337"/>
      <w:bookmarkStart w:id="117" w:name="_Toc99092989"/>
      <w:r>
        <w:rPr>
          <w:rFonts w:hint="eastAsia"/>
        </w:rPr>
        <w:t>总体目标与分期目标</w:t>
      </w:r>
      <w:bookmarkEnd w:id="116"/>
    </w:p>
    <w:p>
      <w:pPr>
        <w:pStyle w:val="4"/>
        <w:ind w:left="240" w:leftChars="0" w:firstLineChars="0"/>
      </w:pPr>
      <w:bookmarkStart w:id="118" w:name="_Toc3125"/>
      <w:r>
        <w:rPr>
          <w:rFonts w:hint="eastAsia"/>
        </w:rPr>
        <w:t>建设目标</w:t>
      </w:r>
      <w:bookmarkEnd w:id="117"/>
      <w:bookmarkEnd w:id="118"/>
    </w:p>
    <w:p>
      <w:pPr>
        <w:pStyle w:val="5"/>
        <w:bidi w:val="0"/>
      </w:pPr>
      <w:r>
        <w:rPr>
          <w:rFonts w:hint="eastAsia"/>
        </w:rPr>
        <w:t>数据质量综合管理平台</w:t>
      </w:r>
    </w:p>
    <w:p>
      <w:r>
        <w:rPr>
          <w:rFonts w:hint="eastAsia" w:ascii="宋体" w:hAnsi="宋体"/>
          <w:kern w:val="0"/>
        </w:rPr>
        <w:t>黑龙江省市场监督管理局按《市监注发</w:t>
      </w:r>
      <w:r>
        <w:rPr>
          <w:rFonts w:hint="eastAsia"/>
        </w:rPr>
        <w:t>〔2021〕</w:t>
      </w:r>
      <w:r>
        <w:rPr>
          <w:rFonts w:hint="eastAsia" w:ascii="宋体" w:hAnsi="宋体"/>
          <w:kern w:val="0"/>
        </w:rPr>
        <w:t>19号市场监管总局办公厅关于开展市场主体数据质量提升行动的通知》、《市场主体数据质量评价指南（第一版）》的通知要求，</w:t>
      </w:r>
      <w:r>
        <w:rPr>
          <w:rFonts w:hint="eastAsia" w:ascii="宋体" w:hAnsi="宋体"/>
          <w:b/>
          <w:kern w:val="0"/>
        </w:rPr>
        <w:t>一、对数据质量检查资源进行规划与设计</w:t>
      </w:r>
      <w:r>
        <w:rPr>
          <w:rFonts w:hint="eastAsia" w:ascii="宋体" w:hAnsi="宋体"/>
          <w:kern w:val="0"/>
        </w:rPr>
        <w:t>，</w:t>
      </w:r>
      <w:r>
        <w:t>建立完善市场主体数据质量管理制度，统一数据综合治理规则</w:t>
      </w:r>
      <w:r>
        <w:rPr>
          <w:rFonts w:hint="eastAsia"/>
        </w:rPr>
        <w:t>。</w:t>
      </w:r>
      <w:r>
        <w:rPr>
          <w:rFonts w:hint="eastAsia"/>
          <w:b/>
        </w:rPr>
        <w:t>二、建设数据质量支撑平台，</w:t>
      </w:r>
      <w:r>
        <w:rPr>
          <w:rFonts w:hint="eastAsia"/>
        </w:rPr>
        <w:t>支持</w:t>
      </w:r>
      <w:r>
        <w:rPr>
          <w:rFonts w:hint="eastAsia" w:ascii="宋体" w:hAnsi="宋体"/>
          <w:kern w:val="0"/>
        </w:rPr>
        <w:t>常态化数据质量监测、评价、纠错机制。三</w:t>
      </w:r>
      <w:r>
        <w:rPr>
          <w:rFonts w:hint="eastAsia"/>
          <w:b/>
        </w:rPr>
        <w:t>、建设数据质量综合管理</w:t>
      </w:r>
      <w:r>
        <w:rPr>
          <w:rFonts w:hint="eastAsia"/>
        </w:rPr>
        <w:t>满足</w:t>
      </w:r>
      <w:r>
        <w:rPr>
          <w:rFonts w:hint="eastAsia"/>
          <w:spacing w:val="-7"/>
        </w:rPr>
        <w:t>黑龙江省市场监督管理局</w:t>
      </w:r>
      <w:r>
        <w:rPr>
          <w:rFonts w:hint="eastAsia"/>
        </w:rPr>
        <w:t>各级部门数据应用、数据分析、部门之间数据共享的基础需求</w:t>
      </w:r>
      <w:r>
        <w:t>。</w:t>
      </w:r>
    </w:p>
    <w:p>
      <w:pPr>
        <w:pStyle w:val="5"/>
        <w:bidi w:val="0"/>
      </w:pPr>
      <w:r>
        <w:rPr>
          <w:rFonts w:hint="eastAsia"/>
        </w:rPr>
        <w:t>监管大脑主题库应用平台</w:t>
      </w:r>
    </w:p>
    <w:p>
      <w:pPr>
        <w:ind w:firstLine="452"/>
        <w:rPr>
          <w:spacing w:val="-7"/>
        </w:rPr>
      </w:pPr>
      <w:r>
        <w:rPr>
          <w:rFonts w:hint="eastAsia"/>
          <w:spacing w:val="-7"/>
        </w:rPr>
        <w:t>黑龙江省市场监督管理局将按照</w:t>
      </w:r>
      <w:r>
        <w:rPr>
          <w:rFonts w:hint="eastAsia"/>
        </w:rPr>
        <w:t>《市场监管总局关于加强信息化工作的指导意见》（国市监办发〔2021〕2号）文件要求，</w:t>
      </w:r>
      <w:r>
        <w:rPr>
          <w:rFonts w:hint="eastAsia"/>
          <w:b/>
        </w:rPr>
        <w:t>一是业务数据处理，</w:t>
      </w:r>
      <w:r>
        <w:rPr>
          <w:rFonts w:hint="eastAsia"/>
        </w:rPr>
        <w:t>对汇聚部门业务数据进行处理、治理，深入推进政务信息系统整合共享。</w:t>
      </w:r>
      <w:r>
        <w:rPr>
          <w:rFonts w:hint="eastAsia"/>
          <w:b/>
        </w:rPr>
        <w:t>二是建设各类业务主题库</w:t>
      </w:r>
      <w:r>
        <w:rPr>
          <w:rFonts w:hint="eastAsia"/>
        </w:rPr>
        <w:t>，支撑智慧监管的精准化。</w:t>
      </w:r>
      <w:r>
        <w:rPr>
          <w:rFonts w:hint="eastAsia"/>
          <w:b/>
        </w:rPr>
        <w:t>三是全力推动数据分析应用，</w:t>
      </w:r>
      <w:r>
        <w:rPr>
          <w:rFonts w:hint="eastAsia"/>
          <w:spacing w:val="-7"/>
        </w:rPr>
        <w:t>聚焦其关注的重点业务和热点风险，为市场监管局领导提供一站式决策支持。</w:t>
      </w:r>
    </w:p>
    <w:p>
      <w:pPr>
        <w:pStyle w:val="5"/>
        <w:bidi w:val="0"/>
      </w:pPr>
      <w:r>
        <w:rPr>
          <w:rFonts w:hint="eastAsia"/>
        </w:rPr>
        <w:t>证照库平台</w:t>
      </w:r>
    </w:p>
    <w:p>
      <w:r>
        <w:t>按照国家市场监督管理总局印发《市场监管总局关于充分发挥职能作用 落实深化“证照分离”改革任务的通知》（国市监注发〔2021〕36号）文件要求，</w:t>
      </w:r>
      <w:r>
        <w:rPr>
          <w:b/>
          <w:bCs/>
        </w:rPr>
        <w:t>一是</w:t>
      </w:r>
      <w:r>
        <w:t>实现电子证照生成、加盖电子印章；</w:t>
      </w:r>
      <w:r>
        <w:rPr>
          <w:b/>
          <w:bCs/>
        </w:rPr>
        <w:t>二是</w:t>
      </w:r>
      <w:r>
        <w:rPr>
          <w:rFonts w:hint="eastAsia"/>
        </w:rPr>
        <w:t>实现电子证照共享接口</w:t>
      </w:r>
      <w:r>
        <w:t>；</w:t>
      </w:r>
      <w:r>
        <w:rPr>
          <w:b/>
          <w:bCs/>
        </w:rPr>
        <w:t>三是</w:t>
      </w:r>
      <w:r>
        <w:t>按照国家市场监督管理总局要求进行数据上报；</w:t>
      </w:r>
      <w:r>
        <w:rPr>
          <w:b/>
          <w:bCs/>
        </w:rPr>
        <w:t>四是</w:t>
      </w:r>
      <w:r>
        <w:t>做好电子证照查询统计以及监控工作；</w:t>
      </w:r>
      <w:r>
        <w:rPr>
          <w:rFonts w:hint="eastAsia"/>
          <w:b/>
          <w:bCs/>
        </w:rPr>
        <w:t>五</w:t>
      </w:r>
      <w:r>
        <w:rPr>
          <w:b/>
          <w:bCs/>
        </w:rPr>
        <w:t>是</w:t>
      </w:r>
      <w:r>
        <w:t>做好电子证照在国家企业信用信息公示系统（</w:t>
      </w:r>
      <w:r>
        <w:rPr>
          <w:rFonts w:hint="eastAsia"/>
        </w:rPr>
        <w:t>黑龙江</w:t>
      </w:r>
      <w:r>
        <w:t>）的公示工作。</w:t>
      </w:r>
    </w:p>
    <w:p>
      <w:pPr>
        <w:pStyle w:val="4"/>
        <w:ind w:left="240" w:leftChars="0" w:firstLineChars="0"/>
      </w:pPr>
      <w:bookmarkStart w:id="119" w:name="_Toc18211"/>
      <w:bookmarkStart w:id="120" w:name="_Toc99092990"/>
      <w:r>
        <w:rPr>
          <w:rFonts w:hint="eastAsia"/>
        </w:rPr>
        <w:t>总体建设任务与分期建设内容</w:t>
      </w:r>
      <w:bookmarkEnd w:id="119"/>
    </w:p>
    <w:p>
      <w:pPr>
        <w:spacing w:before="156" w:after="156"/>
        <w:rPr>
          <w:rFonts w:hint="default" w:eastAsia="宋体"/>
          <w:color w:val="auto"/>
          <w:lang w:val="en-US" w:eastAsia="zh-CN"/>
        </w:rPr>
      </w:pPr>
      <w:r>
        <w:rPr>
          <w:rFonts w:hint="eastAsia"/>
          <w:color w:val="auto"/>
        </w:rPr>
        <w:t>本项目总体建设任务完成落实依据市场监管总局发布的文件通知要求，完成省市场</w:t>
      </w:r>
      <w:r>
        <w:rPr>
          <w:color w:val="auto"/>
        </w:rPr>
        <w:t>监管局</w:t>
      </w:r>
      <w:r>
        <w:rPr>
          <w:rFonts w:hint="eastAsia"/>
          <w:color w:val="auto"/>
        </w:rPr>
        <w:t>拟</w:t>
      </w:r>
      <w:r>
        <w:rPr>
          <w:color w:val="auto"/>
        </w:rPr>
        <w:t>在省政务云上建设</w:t>
      </w:r>
      <w:r>
        <w:rPr>
          <w:rFonts w:hint="eastAsia"/>
          <w:color w:val="auto"/>
        </w:rPr>
        <w:t>2022年</w:t>
      </w:r>
      <w:r>
        <w:rPr>
          <w:rFonts w:hint="eastAsia"/>
          <w:color w:val="auto"/>
          <w:lang w:val="en-US" w:eastAsia="zh-CN"/>
        </w:rPr>
        <w:t>主题库证照库</w:t>
      </w:r>
      <w:r>
        <w:rPr>
          <w:color w:val="auto"/>
        </w:rPr>
        <w:t>项目</w:t>
      </w:r>
      <w:r>
        <w:rPr>
          <w:rFonts w:hint="eastAsia"/>
          <w:color w:val="auto"/>
        </w:rPr>
        <w:t>。</w:t>
      </w:r>
      <w:r>
        <w:rPr>
          <w:rFonts w:hint="eastAsia"/>
          <w:color w:val="auto"/>
          <w:lang w:val="en-US" w:eastAsia="zh-CN"/>
        </w:rPr>
        <w:t>包括数据质量综合管理平台、</w:t>
      </w:r>
      <w:r>
        <w:rPr>
          <w:rFonts w:hint="eastAsia"/>
          <w:color w:val="auto"/>
        </w:rPr>
        <w:t>监管大脑主题库应用平台</w:t>
      </w:r>
      <w:r>
        <w:rPr>
          <w:rFonts w:hint="eastAsia"/>
          <w:color w:val="auto"/>
          <w:lang w:eastAsia="zh-CN"/>
        </w:rPr>
        <w:t>、</w:t>
      </w:r>
      <w:r>
        <w:rPr>
          <w:rFonts w:hint="eastAsia"/>
          <w:color w:val="auto"/>
        </w:rPr>
        <w:t>证照库平台</w:t>
      </w:r>
      <w:r>
        <w:rPr>
          <w:rFonts w:hint="eastAsia"/>
          <w:color w:val="auto"/>
          <w:lang w:val="en-US" w:eastAsia="zh-CN"/>
        </w:rPr>
        <w:t>的建设。</w:t>
      </w:r>
    </w:p>
    <w:p>
      <w:pPr>
        <w:pStyle w:val="3"/>
      </w:pPr>
      <w:bookmarkStart w:id="121" w:name="_Toc31643"/>
      <w:r>
        <w:rPr>
          <w:rFonts w:hint="eastAsia"/>
        </w:rPr>
        <w:t>总体设计方案</w:t>
      </w:r>
      <w:bookmarkEnd w:id="120"/>
      <w:bookmarkEnd w:id="121"/>
    </w:p>
    <w:p>
      <w:pPr>
        <w:pStyle w:val="4"/>
        <w:ind w:left="240" w:leftChars="0" w:firstLineChars="0"/>
      </w:pPr>
      <w:bookmarkStart w:id="122" w:name="_Toc99092991"/>
      <w:bookmarkStart w:id="123" w:name="_Toc17304"/>
      <w:r>
        <w:rPr>
          <w:rFonts w:hint="eastAsia"/>
        </w:rPr>
        <w:t>整体架构</w:t>
      </w:r>
      <w:bookmarkEnd w:id="122"/>
      <w:bookmarkEnd w:id="123"/>
    </w:p>
    <w:p>
      <w:pPr>
        <w:pStyle w:val="5"/>
      </w:pPr>
      <w:r>
        <w:rPr>
          <w:rFonts w:hint="eastAsia"/>
        </w:rPr>
        <w:t>数据质量管理平台</w:t>
      </w:r>
    </w:p>
    <w:p>
      <w:pPr>
        <w:rPr>
          <w:rFonts w:ascii="宋体" w:hAnsi="宋体" w:cstheme="minorBidi"/>
          <w:color w:val="auto"/>
        </w:rPr>
      </w:pPr>
      <w:r>
        <w:rPr>
          <w:rFonts w:hint="eastAsia" w:ascii="宋体" w:hAnsi="宋体"/>
        </w:rPr>
        <w:t>以总局和地方的数据质量检查内容清单为标准，通过数据质量管理平台的建设，实现数据质量的提升。</w:t>
      </w:r>
    </w:p>
    <w:p>
      <w:pPr>
        <w:ind w:firstLine="0" w:firstLineChars="0"/>
      </w:pPr>
      <w:r>
        <w:drawing>
          <wp:inline distT="0" distB="0" distL="0" distR="0">
            <wp:extent cx="5267325" cy="2867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7325" cy="2867025"/>
                    </a:xfrm>
                    <a:prstGeom prst="rect">
                      <a:avLst/>
                    </a:prstGeom>
                    <a:noFill/>
                    <a:ln>
                      <a:noFill/>
                    </a:ln>
                  </pic:spPr>
                </pic:pic>
              </a:graphicData>
            </a:graphic>
          </wp:inline>
        </w:drawing>
      </w:r>
    </w:p>
    <w:p>
      <w:pPr>
        <w:jc w:val="center"/>
      </w:pPr>
      <w:r>
        <w:rPr>
          <w:rFonts w:hint="eastAsia"/>
        </w:rPr>
        <w:t>图4.3.1-1系统整体架构图</w:t>
      </w:r>
    </w:p>
    <w:p>
      <w:pPr>
        <w:pStyle w:val="14"/>
        <w:ind w:firstLine="482"/>
        <w:rPr>
          <w:b/>
          <w:bCs/>
        </w:rPr>
      </w:pPr>
      <w:r>
        <w:rPr>
          <w:rFonts w:hint="eastAsia"/>
          <w:b/>
          <w:bCs/>
        </w:rPr>
        <w:t>1、数据资源层</w:t>
      </w:r>
    </w:p>
    <w:p>
      <w:pPr>
        <w:pStyle w:val="14"/>
        <w:ind w:firstLine="480"/>
        <w:rPr>
          <w:bCs/>
        </w:rPr>
      </w:pPr>
      <w:r>
        <w:rPr>
          <w:rFonts w:hint="eastAsia"/>
          <w:bCs/>
        </w:rPr>
        <w:t>数据资源层提供、信息资源库和服务，为</w:t>
      </w:r>
      <w:r>
        <w:rPr>
          <w:rFonts w:hint="eastAsia"/>
        </w:rPr>
        <w:t>数据质量综合管理系统提供支撑</w:t>
      </w:r>
    </w:p>
    <w:p>
      <w:r>
        <w:rPr>
          <w:rFonts w:hint="eastAsia"/>
        </w:rPr>
        <w:t>（1）利用黑龙江省市场监管数据资源中心，建设信息资源库，为数据质量综合管理提供数据服务支撑。并建立包括：</w:t>
      </w:r>
      <w:r>
        <w:t>检查清单信息库</w:t>
      </w:r>
      <w:r>
        <w:rPr>
          <w:rFonts w:hint="eastAsia"/>
        </w:rPr>
        <w:t>、</w:t>
      </w:r>
      <w:r>
        <w:t>检查结果信息库</w:t>
      </w:r>
      <w:r>
        <w:rPr>
          <w:rFonts w:hint="eastAsia"/>
        </w:rPr>
        <w:t>、</w:t>
      </w:r>
      <w:r>
        <w:t>分析主题信息库</w:t>
      </w:r>
      <w:r>
        <w:rPr>
          <w:rFonts w:hint="eastAsia"/>
        </w:rPr>
        <w:t>、</w:t>
      </w:r>
      <w:r>
        <w:t>问题数据清单信息库</w:t>
      </w:r>
      <w:r>
        <w:rPr>
          <w:rFonts w:hint="eastAsia"/>
        </w:rPr>
        <w:t>等。</w:t>
      </w:r>
    </w:p>
    <w:p>
      <w:pPr>
        <w:pStyle w:val="14"/>
        <w:ind w:firstLine="480"/>
      </w:pPr>
      <w:r>
        <w:rPr>
          <w:rFonts w:hint="eastAsia"/>
          <w:bCs/>
        </w:rPr>
        <w:t>（</w:t>
      </w:r>
      <w:r>
        <w:rPr>
          <w:bCs/>
        </w:rPr>
        <w:t>2</w:t>
      </w:r>
      <w:r>
        <w:rPr>
          <w:rFonts w:hint="eastAsia"/>
          <w:bCs/>
        </w:rPr>
        <w:t>）建设数据质量管理服务</w:t>
      </w:r>
      <w:r>
        <w:rPr>
          <w:rFonts w:hint="eastAsia"/>
        </w:rPr>
        <w:t>应用，服务介于数据资源库和应用层之间，满足应用系统建设中的共性支撑需求。是保证数据质量综合管理系统运行的公共服务；建设数据质量评分、管理工作的评价模型，为数据质量评分及工作的考核评价提供支撑，并通过</w:t>
      </w:r>
      <w:r>
        <w:rPr>
          <w:rFonts w:hint="eastAsia" w:ascii="宋体" w:hAnsi="宋体"/>
          <w:color w:val="000000" w:themeColor="text1"/>
          <w:szCs w:val="24"/>
          <w14:textFill>
            <w14:solidFill>
              <w14:schemeClr w14:val="tx1"/>
            </w14:solidFill>
          </w14:textFill>
        </w:rPr>
        <w:t>数据质量检查组件实现对检查对象的检查。</w:t>
      </w:r>
    </w:p>
    <w:p>
      <w:pPr>
        <w:pStyle w:val="14"/>
        <w:ind w:firstLine="482"/>
        <w:rPr>
          <w:b/>
          <w:bCs/>
        </w:rPr>
      </w:pPr>
      <w:r>
        <w:rPr>
          <w:rFonts w:hint="eastAsia"/>
          <w:b/>
          <w:bCs/>
        </w:rPr>
        <w:t>2、应用层</w:t>
      </w:r>
    </w:p>
    <w:p>
      <w:pPr>
        <w:pStyle w:val="14"/>
        <w:ind w:firstLine="480"/>
      </w:pPr>
      <w:r>
        <w:rPr>
          <w:rFonts w:hint="eastAsia"/>
        </w:rPr>
        <w:t>应用层构建于数据资源层之上，提供</w:t>
      </w:r>
      <w:r>
        <w:rPr>
          <w:rFonts w:hint="eastAsia"/>
          <w:bCs/>
        </w:rPr>
        <w:t>数据质量综合管理</w:t>
      </w:r>
      <w:r>
        <w:rPr>
          <w:rFonts w:hint="eastAsia"/>
        </w:rPr>
        <w:t>应用。包括数据接入管理、数据质量检查系统、数据质量评价系统、数据质量分析系统、数据质量问题处理系统、知识库管理平台系统。</w:t>
      </w:r>
    </w:p>
    <w:p>
      <w:pPr>
        <w:pStyle w:val="14"/>
        <w:ind w:firstLine="482"/>
        <w:rPr>
          <w:b/>
          <w:bCs/>
        </w:rPr>
      </w:pPr>
      <w:r>
        <w:rPr>
          <w:rFonts w:hint="eastAsia"/>
          <w:b/>
          <w:bCs/>
        </w:rPr>
        <w:t>3、门户层和展现层</w:t>
      </w:r>
    </w:p>
    <w:p>
      <w:pPr>
        <w:pStyle w:val="14"/>
        <w:ind w:firstLine="480"/>
      </w:pPr>
      <w:r>
        <w:rPr>
          <w:rFonts w:hint="eastAsia" w:ascii="宋体" w:hAnsi="宋体"/>
          <w:kern w:val="0"/>
          <w:szCs w:val="24"/>
        </w:rPr>
        <w:t>数据质量服务门户用于集成系统功能和用户统一进入的入口，对数据质量检查、数据质量评价、数据质量监测、数据质量反馈、数据质量考核等系统各项功能提供访问，提供便捷的应用服务集成提供单点登录服务。</w:t>
      </w:r>
    </w:p>
    <w:p>
      <w:pPr>
        <w:pStyle w:val="14"/>
        <w:ind w:firstLine="482"/>
        <w:rPr>
          <w:b/>
          <w:bCs/>
        </w:rPr>
      </w:pPr>
      <w:r>
        <w:rPr>
          <w:rFonts w:hint="eastAsia"/>
          <w:b/>
          <w:bCs/>
        </w:rPr>
        <w:t>4、标准规范体系</w:t>
      </w:r>
    </w:p>
    <w:p>
      <w:pPr>
        <w:pStyle w:val="14"/>
        <w:ind w:firstLine="480"/>
      </w:pPr>
      <w:r>
        <w:rPr>
          <w:rFonts w:hint="eastAsia"/>
          <w:bCs/>
        </w:rPr>
        <w:t>数据质量综合管理</w:t>
      </w:r>
      <w:r>
        <w:rPr>
          <w:rFonts w:hint="eastAsia"/>
        </w:rPr>
        <w:t>标准规范体系，遵循黑龙江省市场监管局现有的总体标准、业务标准、管理标准、数据标准应用标准。遵循本次建设数据质量提升的</w:t>
      </w:r>
      <w:r>
        <w:rPr>
          <w:rFonts w:hint="eastAsia" w:ascii="宋体" w:hAnsi="宋体"/>
        </w:rPr>
        <w:t>总局数据质量检查内容清单标准</w:t>
      </w:r>
      <w:r>
        <w:rPr>
          <w:rFonts w:hint="eastAsia"/>
        </w:rPr>
        <w:t>。</w:t>
      </w:r>
    </w:p>
    <w:p>
      <w:pPr>
        <w:pStyle w:val="14"/>
        <w:ind w:firstLine="482"/>
        <w:rPr>
          <w:b/>
          <w:bCs/>
        </w:rPr>
      </w:pPr>
      <w:r>
        <w:rPr>
          <w:rFonts w:hint="eastAsia"/>
          <w:b/>
          <w:bCs/>
        </w:rPr>
        <w:t>5、安全标准体系</w:t>
      </w:r>
    </w:p>
    <w:p>
      <w:pPr>
        <w:pStyle w:val="14"/>
        <w:ind w:firstLine="480"/>
        <w:rPr>
          <w:rFonts w:ascii="宋体" w:hAnsi="宋体"/>
          <w:sz w:val="28"/>
          <w:szCs w:val="28"/>
        </w:rPr>
      </w:pPr>
      <w:r>
        <w:rPr>
          <w:rFonts w:hint="eastAsia"/>
        </w:rPr>
        <w:t>包括网络安全、终端安全、物理安全、主机安全和数据安全。按照信息系统安全等级保护基本要求建设和防护。</w:t>
      </w:r>
    </w:p>
    <w:p>
      <w:pPr>
        <w:pStyle w:val="5"/>
      </w:pPr>
      <w:r>
        <w:rPr>
          <w:rFonts w:hint="eastAsia"/>
        </w:rPr>
        <w:t>监管大脑主题库应用平台</w:t>
      </w:r>
    </w:p>
    <w:p>
      <w:r>
        <w:rPr>
          <w:rFonts w:hint="eastAsia" w:cs="Times New Roman"/>
          <w:color w:val="333333"/>
          <w:kern w:val="0"/>
        </w:rPr>
        <w:t>监管大脑主题库应用平台的总体技术架构采用层次结构，如下图所示。</w:t>
      </w:r>
    </w:p>
    <w:p>
      <w:pPr>
        <w:spacing w:before="120" w:after="120"/>
        <w:ind w:left="0" w:leftChars="0" w:firstLine="720" w:firstLineChars="300"/>
      </w:pPr>
      <w:r>
        <w:drawing>
          <wp:inline distT="0" distB="0" distL="0" distR="0">
            <wp:extent cx="5020310" cy="3680460"/>
            <wp:effectExtent l="0" t="0" r="889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20310" cy="3680460"/>
                    </a:xfrm>
                    <a:prstGeom prst="rect">
                      <a:avLst/>
                    </a:prstGeom>
                    <a:noFill/>
                    <a:ln>
                      <a:noFill/>
                    </a:ln>
                  </pic:spPr>
                </pic:pic>
              </a:graphicData>
            </a:graphic>
          </wp:inline>
        </w:drawing>
      </w:r>
    </w:p>
    <w:p>
      <w:pPr>
        <w:jc w:val="center"/>
      </w:pPr>
      <w:r>
        <w:rPr>
          <w:rFonts w:hint="eastAsia"/>
        </w:rPr>
        <w:t>图4.3.1-2主题库</w:t>
      </w:r>
      <w:r>
        <w:rPr>
          <w:rFonts w:hint="eastAsia" w:cs="Times New Roman"/>
          <w:color w:val="333333"/>
          <w:kern w:val="0"/>
        </w:rPr>
        <w:t>总体架构图</w:t>
      </w:r>
    </w:p>
    <w:p>
      <w:pPr>
        <w:pStyle w:val="14"/>
        <w:ind w:firstLine="482"/>
        <w:rPr>
          <w:b/>
          <w:bCs/>
        </w:rPr>
      </w:pPr>
      <w:r>
        <w:rPr>
          <w:rFonts w:hint="eastAsia"/>
          <w:b/>
          <w:bCs/>
        </w:rPr>
        <w:t>1、数据来源层</w:t>
      </w:r>
    </w:p>
    <w:p>
      <w:pPr>
        <w:pStyle w:val="14"/>
        <w:ind w:firstLine="480"/>
        <w:rPr>
          <w:b/>
          <w:bCs/>
        </w:rPr>
      </w:pPr>
      <w:r>
        <w:rPr>
          <w:rFonts w:hint="eastAsia"/>
          <w:color w:val="333333"/>
          <w:kern w:val="0"/>
        </w:rPr>
        <w:t>数据来源包括黑龙江省市场监管局业务系统的内部数据，和国家市场监管总局的的返还数据，以及归集其它部门的数据。通过数据处理为监管大脑主题库应用平台提供基础</w:t>
      </w:r>
      <w:r>
        <w:rPr>
          <w:rFonts w:hint="eastAsia"/>
        </w:rPr>
        <w:t>数据资源。</w:t>
      </w:r>
    </w:p>
    <w:p>
      <w:pPr>
        <w:pStyle w:val="14"/>
        <w:ind w:firstLine="482"/>
        <w:rPr>
          <w:b/>
          <w:bCs/>
        </w:rPr>
      </w:pPr>
      <w:r>
        <w:rPr>
          <w:rFonts w:hint="eastAsia"/>
          <w:b/>
          <w:bCs/>
        </w:rPr>
        <w:t>2、主题库层</w:t>
      </w:r>
    </w:p>
    <w:p>
      <w:pPr>
        <w:pStyle w:val="14"/>
        <w:ind w:firstLine="480"/>
        <w:rPr>
          <w:color w:val="333333"/>
          <w:kern w:val="0"/>
        </w:rPr>
      </w:pPr>
      <w:r>
        <w:rPr>
          <w:color w:val="333333"/>
          <w:kern w:val="0"/>
        </w:rPr>
        <w:t>主题</w:t>
      </w:r>
      <w:r>
        <w:rPr>
          <w:rFonts w:hint="eastAsia"/>
          <w:color w:val="333333"/>
          <w:kern w:val="0"/>
        </w:rPr>
        <w:t>库层通过</w:t>
      </w:r>
      <w:r>
        <w:rPr>
          <w:rFonts w:hint="eastAsia"/>
        </w:rPr>
        <w:t>业务场景、业务含义进行梳理，打造</w:t>
      </w:r>
      <w:r>
        <w:rPr>
          <w:rFonts w:hint="eastAsia"/>
          <w:color w:val="333333"/>
          <w:kern w:val="0"/>
        </w:rPr>
        <w:t>市场主体主题库、企业发展指数主题库、企业生存状况主题库、企业外来投资主题库、创业主题库、企业活跃度等主题库，为应用提供数据支撑。</w:t>
      </w:r>
    </w:p>
    <w:p>
      <w:pPr>
        <w:pStyle w:val="14"/>
        <w:ind w:firstLine="482"/>
        <w:rPr>
          <w:b/>
          <w:bCs/>
        </w:rPr>
      </w:pPr>
      <w:r>
        <w:rPr>
          <w:rFonts w:hint="eastAsia"/>
          <w:b/>
          <w:bCs/>
        </w:rPr>
        <w:t>3、应用支撑层</w:t>
      </w:r>
    </w:p>
    <w:p>
      <w:pPr>
        <w:pStyle w:val="14"/>
        <w:ind w:firstLine="480"/>
        <w:rPr>
          <w:b/>
          <w:bCs/>
        </w:rPr>
      </w:pPr>
      <w:r>
        <w:rPr>
          <w:rFonts w:hint="eastAsia"/>
          <w:bCs/>
        </w:rPr>
        <w:t>应用支撑层通过大数据分析引擎、数据挖掘分析、</w:t>
      </w:r>
      <w:r>
        <w:rPr>
          <w:bCs/>
        </w:rPr>
        <w:t>分布式并行处</w:t>
      </w:r>
      <w:r>
        <w:rPr>
          <w:rFonts w:hint="eastAsia"/>
          <w:bCs/>
        </w:rPr>
        <w:t>理、</w:t>
      </w:r>
      <w:r>
        <w:rPr>
          <w:bCs/>
        </w:rPr>
        <w:t>GIS地图服务</w:t>
      </w:r>
      <w:r>
        <w:rPr>
          <w:rFonts w:hint="eastAsia"/>
          <w:bCs/>
        </w:rPr>
        <w:t>为应用提供支撑。</w:t>
      </w:r>
    </w:p>
    <w:p>
      <w:pPr>
        <w:pStyle w:val="14"/>
        <w:ind w:firstLine="482"/>
        <w:rPr>
          <w:b/>
          <w:bCs/>
        </w:rPr>
      </w:pPr>
      <w:r>
        <w:rPr>
          <w:rFonts w:hint="eastAsia"/>
          <w:b/>
          <w:bCs/>
        </w:rPr>
        <w:t>4、应用层</w:t>
      </w:r>
    </w:p>
    <w:p>
      <w:pPr>
        <w:pStyle w:val="14"/>
        <w:ind w:firstLine="480"/>
        <w:rPr>
          <w:bCs/>
        </w:rPr>
      </w:pPr>
      <w:r>
        <w:rPr>
          <w:rFonts w:hint="eastAsia"/>
          <w:bCs/>
        </w:rPr>
        <w:t>监管大脑主题库应用层，基于应用支撑层提供的能力，为最终用户提供政务服务、创新发展、效能督察、食品安全、放心消费和执法办案主题应用。</w:t>
      </w:r>
    </w:p>
    <w:p>
      <w:pPr>
        <w:pStyle w:val="14"/>
        <w:ind w:firstLine="482"/>
        <w:rPr>
          <w:b/>
          <w:bCs/>
        </w:rPr>
      </w:pPr>
      <w:r>
        <w:rPr>
          <w:rFonts w:hint="eastAsia"/>
          <w:b/>
          <w:bCs/>
        </w:rPr>
        <w:t>5、展示层</w:t>
      </w:r>
    </w:p>
    <w:p>
      <w:pPr>
        <w:pStyle w:val="14"/>
        <w:ind w:firstLine="480"/>
      </w:pPr>
      <w:r>
        <w:rPr>
          <w:rFonts w:hint="eastAsia" w:ascii="宋体" w:hAnsi="宋体"/>
          <w:kern w:val="0"/>
          <w:szCs w:val="24"/>
        </w:rPr>
        <w:t>展示层集成系统功能的入口，提供大屏和</w:t>
      </w:r>
      <w:r>
        <w:rPr>
          <w:rFonts w:ascii="宋体" w:hAnsi="宋体"/>
          <w:kern w:val="0"/>
          <w:szCs w:val="24"/>
        </w:rPr>
        <w:t>PC</w:t>
      </w:r>
      <w:r>
        <w:rPr>
          <w:rFonts w:hint="eastAsia" w:ascii="宋体" w:hAnsi="宋体"/>
          <w:kern w:val="0"/>
          <w:szCs w:val="24"/>
        </w:rPr>
        <w:t>端的应用。</w:t>
      </w:r>
    </w:p>
    <w:p>
      <w:pPr>
        <w:pStyle w:val="14"/>
        <w:ind w:firstLine="482"/>
        <w:rPr>
          <w:b/>
          <w:bCs/>
        </w:rPr>
      </w:pPr>
      <w:r>
        <w:rPr>
          <w:rFonts w:hint="eastAsia"/>
          <w:b/>
          <w:bCs/>
        </w:rPr>
        <w:t>6、管理与标准规范体系</w:t>
      </w:r>
    </w:p>
    <w:p>
      <w:pPr>
        <w:pStyle w:val="14"/>
        <w:ind w:firstLine="480"/>
        <w:rPr>
          <w:b/>
          <w:bCs/>
        </w:rPr>
      </w:pPr>
      <w:r>
        <w:rPr>
          <w:rFonts w:hint="eastAsia"/>
        </w:rPr>
        <w:t>监管大脑主题库</w:t>
      </w:r>
      <w:r>
        <w:rPr>
          <w:rFonts w:hint="eastAsia"/>
          <w:bCs/>
        </w:rPr>
        <w:t>管理</w:t>
      </w:r>
      <w:r>
        <w:rPr>
          <w:rFonts w:hint="eastAsia"/>
        </w:rPr>
        <w:t>标准规范体系，遵循黑龙江省市场监管局现有的总体标准、业务标准、管理标准、数据标准应用标准。</w:t>
      </w:r>
    </w:p>
    <w:p>
      <w:pPr>
        <w:pStyle w:val="14"/>
        <w:ind w:firstLine="482"/>
        <w:rPr>
          <w:b/>
          <w:bCs/>
        </w:rPr>
      </w:pPr>
      <w:r>
        <w:rPr>
          <w:rFonts w:hint="eastAsia"/>
          <w:b/>
          <w:bCs/>
        </w:rPr>
        <w:t>7、管理监管与信息安全体系</w:t>
      </w:r>
    </w:p>
    <w:p>
      <w:pPr>
        <w:pStyle w:val="14"/>
        <w:ind w:firstLine="480"/>
        <w:rPr>
          <w:b/>
          <w:bCs/>
        </w:rPr>
      </w:pPr>
      <w:r>
        <w:rPr>
          <w:rFonts w:hint="eastAsia"/>
        </w:rPr>
        <w:t>监管大脑主题库的管理监管与信息安全体系，遵循黑龙江省市场监管局现有的信息系统安全等级保护基本要求建设和防护。</w:t>
      </w:r>
    </w:p>
    <w:p>
      <w:pPr>
        <w:pStyle w:val="4"/>
        <w:ind w:left="240" w:leftChars="0" w:firstLineChars="0"/>
      </w:pPr>
      <w:bookmarkStart w:id="124" w:name="_Toc99092992"/>
      <w:bookmarkStart w:id="125" w:name="_Toc15328"/>
      <w:r>
        <w:rPr>
          <w:rFonts w:hint="eastAsia"/>
        </w:rPr>
        <w:t>应用架构</w:t>
      </w:r>
      <w:bookmarkEnd w:id="124"/>
      <w:bookmarkEnd w:id="125"/>
    </w:p>
    <w:p>
      <w:r>
        <w:rPr>
          <w:rFonts w:hint="eastAsia"/>
        </w:rPr>
        <w:t>1、数据质量综合管理平台</w:t>
      </w:r>
    </w:p>
    <w:p>
      <w:pPr>
        <w:ind w:left="0" w:leftChars="0" w:firstLine="480" w:firstLineChars="200"/>
      </w:pPr>
      <w:r>
        <w:object>
          <v:shape id="_x0000_i1025" o:spt="75" type="#_x0000_t75" style="height:232.2pt;width:414.6pt;" o:ole="t" filled="f" o:preferrelative="t" stroked="f" coordsize="21600,21600">
            <v:path/>
            <v:fill on="f" focussize="0,0"/>
            <v:stroke on="f" joinstyle="miter"/>
            <v:imagedata r:id="rId23" o:title=""/>
            <o:lock v:ext="edit" aspectratio="t"/>
            <w10:wrap type="none"/>
            <w10:anchorlock/>
          </v:shape>
          <o:OLEObject Type="Embed" ProgID="Visio.Drawing.15" ShapeID="_x0000_i1025" DrawAspect="Content" ObjectID="_1468075725" r:id="rId22">
            <o:LockedField>false</o:LockedField>
          </o:OLEObject>
        </w:object>
      </w:r>
    </w:p>
    <w:p>
      <w:pPr>
        <w:rPr>
          <w:rFonts w:hint="default" w:eastAsia="宋体"/>
          <w:lang w:val="en-US" w:eastAsia="zh-CN"/>
        </w:rPr>
      </w:pPr>
      <w:r>
        <w:rPr>
          <w:rFonts w:hint="eastAsia"/>
        </w:rPr>
        <w:t>2、监管大脑</w:t>
      </w:r>
      <w:r>
        <w:rPr>
          <w:rFonts w:hint="eastAsia"/>
          <w:lang w:val="en-US" w:eastAsia="zh-CN"/>
        </w:rPr>
        <w:t>主题库应用平台</w:t>
      </w:r>
    </w:p>
    <w:p>
      <w:pPr>
        <w:ind w:left="60" w:firstLine="420" w:firstLineChars="0"/>
      </w:pPr>
      <w:r>
        <w:object>
          <v:shape id="_x0000_i1026" o:spt="75" type="#_x0000_t75" style="height:239.1pt;width:392.25pt;" o:ole="t" filled="f" o:preferrelative="t" stroked="f" coordsize="21600,21600">
            <v:path/>
            <v:fill on="f" focussize="0,0"/>
            <v:stroke on="f"/>
            <v:imagedata r:id="rId24" o:title=""/>
            <o:lock v:ext="edit" aspectratio="t"/>
            <w10:wrap type="none"/>
            <w10:anchorlock/>
          </v:shape>
          <o:OLEObject Type="Embed" ProgID="Visio.Drawing.15" ShapeID="_x0000_i1026" DrawAspect="Content" ObjectID="_1468075726">
            <o:LockedField>false</o:LockedField>
          </o:OLEObject>
        </w:object>
      </w:r>
    </w:p>
    <w:p>
      <w:pPr>
        <w:pStyle w:val="4"/>
        <w:ind w:left="240" w:leftChars="0" w:firstLineChars="0"/>
      </w:pPr>
      <w:bookmarkStart w:id="126" w:name="_Toc99092993"/>
      <w:bookmarkStart w:id="127" w:name="_Toc8441"/>
      <w:r>
        <w:rPr>
          <w:rFonts w:hint="eastAsia"/>
        </w:rPr>
        <w:t>关键技术</w:t>
      </w:r>
      <w:bookmarkEnd w:id="126"/>
      <w:bookmarkEnd w:id="127"/>
    </w:p>
    <w:p>
      <w:r>
        <w:rPr>
          <w:rFonts w:hint="eastAsia"/>
        </w:rPr>
        <w:t>1、</w:t>
      </w:r>
      <w:r>
        <w:t>采用流程管理技术，实现</w:t>
      </w:r>
      <w:r>
        <w:rPr>
          <w:rFonts w:hint="eastAsia"/>
        </w:rPr>
        <w:t>数据质量</w:t>
      </w:r>
      <w:r>
        <w:t>流程的全生命周期管理</w:t>
      </w:r>
    </w:p>
    <w:p>
      <w:r>
        <w:rPr>
          <w:rFonts w:hint="eastAsia"/>
        </w:rPr>
        <w:t>使用全生命周期的</w:t>
      </w:r>
      <w:r>
        <w:t>流程管理技术，包括流程规划、流程梳理、流程建模、流程引擎、流程门户、流程运维、流程分析、流程监控、流程优化9种核心技术，提供一系列软件工具来优化流程，使抽象的目标具体化，监控流程行为并实现自动化，根据不同的</w:t>
      </w:r>
      <w:r>
        <w:rPr>
          <w:rFonts w:hint="eastAsia"/>
        </w:rPr>
        <w:t>数据质量提升的</w:t>
      </w:r>
      <w:r>
        <w:t>事件和结果进行实时的决策，进而提升业务流程的敏捷性。</w:t>
      </w:r>
    </w:p>
    <w:p>
      <w:bookmarkStart w:id="128" w:name="_Toc8553"/>
      <w:bookmarkStart w:id="129" w:name="_Toc376271482"/>
      <w:bookmarkStart w:id="130" w:name="_Toc491447375"/>
      <w:r>
        <w:t>2.运用数据可视化技术，全方面展现各类分析结果</w:t>
      </w:r>
    </w:p>
    <w:p>
      <w:r>
        <w:rPr>
          <w:rFonts w:hint="eastAsia"/>
        </w:rPr>
        <w:t>数据可视化工具（简称BI）整合了各行业的数据分析和决策支持的需求，提供了一整套满足用户需求的数据获取、数据建模、数据分析、报表、绩效监控和信息发布的解决方案。</w:t>
      </w:r>
    </w:p>
    <w:p>
      <w:r>
        <w:t>3采用大数据处理技术，对市场监管数据进行深度挖掘、分析</w:t>
      </w:r>
    </w:p>
    <w:p>
      <w:pPr>
        <w:rPr>
          <w:szCs w:val="28"/>
        </w:rPr>
      </w:pPr>
      <w:r>
        <w:rPr>
          <w:rFonts w:hint="eastAsia"/>
        </w:rPr>
        <w:t>采用数据仓库技术、数据获取技术、联机分析处理技术和数据挖掘技术进行数据分析，将不同数据源的数据进行收集，提取有用的数据进行加工、处理以保证数据的正确性，加工后的数据经过转换、重构存入数据仓库成为实体信息，并对这些实体信息进行查询、挖掘、分析和评估，融合元数据管理、数据仓库建模、</w:t>
      </w:r>
      <w:r>
        <w:t>ETL、报表、图表、地图、表单、智能文档、OLAP分析等为一体，使其成为辅助决策的知识进行呈现，为用户提供精准数据支撑。</w:t>
      </w:r>
      <w:bookmarkEnd w:id="128"/>
      <w:bookmarkEnd w:id="129"/>
      <w:bookmarkEnd w:id="130"/>
    </w:p>
    <w:p>
      <w:pPr>
        <w:pStyle w:val="4"/>
        <w:ind w:left="240" w:leftChars="0" w:firstLineChars="0"/>
      </w:pPr>
      <w:bookmarkStart w:id="131" w:name="_Toc99092994"/>
      <w:bookmarkStart w:id="132" w:name="_Toc3023"/>
      <w:bookmarkStart w:id="133" w:name="_Toc93395113"/>
      <w:r>
        <w:rPr>
          <w:rFonts w:hint="eastAsia"/>
        </w:rPr>
        <w:t>国产化适配</w:t>
      </w:r>
      <w:bookmarkEnd w:id="131"/>
      <w:bookmarkEnd w:id="132"/>
    </w:p>
    <w:p>
      <w:r>
        <w:rPr>
          <w:rFonts w:hint="eastAsia"/>
        </w:rPr>
        <w:t>本项目方案设计严格遵循国家法律法规与技术标准规范，支持主流的国产服务器、操作系统、中间件和数据库的运行环境，从系统设计、研发、测试、部署到上线运行，均可适用国内厂商自主知识产权的技术及软硬件平台，保障系统安全稳定运行。本项目建设系统支持主流的国产服务器、操作系统、中间件和数据库的运行环境，如：中标麒麟操作系统；支持达梦国产数据库；支持东方通、金蝶等国产中间件。该项目建成后能够达到安全可控，自主可靠。</w:t>
      </w:r>
    </w:p>
    <w:p>
      <w:pPr>
        <w:pStyle w:val="2"/>
      </w:pPr>
      <w:bookmarkStart w:id="134" w:name="_Toc99092995"/>
      <w:bookmarkStart w:id="135" w:name="_Toc12576"/>
      <w:r>
        <w:rPr>
          <w:rFonts w:hint="eastAsia"/>
        </w:rPr>
        <w:t>本期项目建设方案</w:t>
      </w:r>
      <w:bookmarkEnd w:id="133"/>
      <w:bookmarkEnd w:id="134"/>
      <w:bookmarkEnd w:id="135"/>
    </w:p>
    <w:p>
      <w:pPr>
        <w:pStyle w:val="3"/>
        <w:spacing w:before="120" w:after="120" w:line="240" w:lineRule="auto"/>
      </w:pPr>
      <w:bookmarkStart w:id="136" w:name="_Toc13094"/>
      <w:bookmarkStart w:id="137" w:name="_Toc68856324"/>
      <w:r>
        <w:rPr>
          <w:rFonts w:hint="eastAsia"/>
        </w:rPr>
        <w:t>建设目标、规模与内容</w:t>
      </w:r>
      <w:bookmarkEnd w:id="136"/>
      <w:bookmarkEnd w:id="137"/>
    </w:p>
    <w:p>
      <w:r>
        <w:rPr>
          <w:rFonts w:hint="eastAsia"/>
        </w:rPr>
        <w:t>本项目不分期进行建设，项目的建设目标和内容与4.2章节一致，此处不再赘述。</w:t>
      </w:r>
    </w:p>
    <w:p>
      <w:r>
        <w:rPr>
          <w:rFonts w:hint="eastAsia"/>
        </w:rPr>
        <w:t>一、数据质量综合管理平台</w:t>
      </w:r>
    </w:p>
    <w:p>
      <w:r>
        <w:rPr>
          <w:rFonts w:hint="eastAsia"/>
        </w:rPr>
        <w:t>满足总局对黑龙江省市场监管局的要求，在2021年底黑龙江市场监管部门对系统功能改造，开发数据检查监测工具，实现新设市场主体数据控制覆盖率达100%，新设市场主体数据实时上传总局。2022年底，完成黑龙省市场主体基础数据完整率达到100%，准确率达99%以上，变更、备案、注销市场主体数据实时上传总局，实现动态更新。</w:t>
      </w:r>
    </w:p>
    <w:p>
      <w:r>
        <w:rPr>
          <w:rFonts w:hint="eastAsia"/>
        </w:rPr>
        <w:t>二、主题库数据资源平台</w:t>
      </w:r>
    </w:p>
    <w:p>
      <w:r>
        <w:rPr>
          <w:rFonts w:hint="eastAsia"/>
        </w:rPr>
        <w:t>主题库数据资源平台从市场主体业务办理情况、监督检查情况、投诉举报情况、执法办案情况和监督效能情况出发，展示全局宏观各项业务办理和风险监测状况，辅助领导“揽全局、抓问题、定计划、督落实”，提供一站式决策支持。</w:t>
      </w:r>
    </w:p>
    <w:p>
      <w:r>
        <w:rPr>
          <w:rFonts w:hint="eastAsia"/>
        </w:rPr>
        <w:t>三、证照库平台</w:t>
      </w:r>
    </w:p>
    <w:p>
      <w:r>
        <w:rPr>
          <w:rFonts w:hint="eastAsia"/>
        </w:rPr>
        <w:t>按照总局文件要求，生成检验检测机构资质认定证书、认证机构批准书、全国工业产品生产许可证、计量授权证书、特种设备检验检测机构核准证、特种设备生产单位许可证、“三品一械”广告审查、移动式压力容器充装许可证、气瓶充装许可证、食品经营许可证、食品生产许可证等电子证照、共享电子证照至国家总局并提供查询接口服务。</w:t>
      </w:r>
    </w:p>
    <w:p>
      <w:pPr>
        <w:pStyle w:val="3"/>
      </w:pPr>
      <w:bookmarkStart w:id="138" w:name="_Toc11477"/>
      <w:r>
        <w:rPr>
          <w:rFonts w:hint="eastAsia"/>
        </w:rPr>
        <w:t>建设内容</w:t>
      </w:r>
      <w:bookmarkEnd w:id="138"/>
    </w:p>
    <w:p>
      <w:pPr>
        <w:ind w:firstLine="482"/>
        <w:rPr>
          <w:b/>
        </w:rPr>
      </w:pPr>
      <w:r>
        <w:rPr>
          <w:rFonts w:hint="eastAsia"/>
          <w:b/>
        </w:rPr>
        <w:t>一、数据质量综合管理平台</w:t>
      </w:r>
    </w:p>
    <w:p>
      <w:pPr>
        <w:rPr>
          <w:rFonts w:ascii="宋体" w:hAnsi="宋体" w:cstheme="minorBidi"/>
        </w:rPr>
      </w:pPr>
      <w:r>
        <w:rPr>
          <w:rFonts w:hint="eastAsia"/>
        </w:rPr>
        <w:t>数据质量综合管理平台建设，满足</w:t>
      </w:r>
      <w:r>
        <w:rPr>
          <w:rFonts w:hint="eastAsia" w:ascii="宋体" w:hAnsi="宋体"/>
        </w:rPr>
        <w:t>市场监管总局对于数据不同维度的质量要求，持续提升市场主体数据质量；实现对各级市场监管部门数据应用、数据分析、部门之间数据共享的基础需求。</w:t>
      </w:r>
    </w:p>
    <w:p>
      <w:r>
        <w:rPr>
          <w:rFonts w:hint="eastAsia"/>
        </w:rPr>
        <w:t>1、数据质量检查资源规划与设计</w:t>
      </w:r>
    </w:p>
    <w:p>
      <w:r>
        <w:rPr>
          <w:rFonts w:hint="eastAsia"/>
        </w:rPr>
        <w:t>全面梳理检查对象涉及的领域、业务范围、检查事项或内容，灵活设计检查规则，设计数据质量检查规则，形成数据质量检查体系的基础资源，支撑数据质量检查工作的开展。</w:t>
      </w:r>
    </w:p>
    <w:p>
      <w:r>
        <w:t>2</w:t>
      </w:r>
      <w:r>
        <w:rPr>
          <w:rFonts w:hint="eastAsia"/>
        </w:rPr>
        <w:t>、建设支撑平台</w:t>
      </w:r>
    </w:p>
    <w:p>
      <w:r>
        <w:rPr>
          <w:rFonts w:hint="eastAsia"/>
        </w:rPr>
        <w:t>数据质量检查组件是数据质量运行的基础，基于数据质量检查任务利用各类组件组合，支撑实现对检查对象的检查。</w:t>
      </w:r>
    </w:p>
    <w:p>
      <w:r>
        <w:t>3</w:t>
      </w:r>
      <w:r>
        <w:rPr>
          <w:rFonts w:hint="eastAsia"/>
        </w:rPr>
        <w:t>、建设数据质量检查应用</w:t>
      </w:r>
    </w:p>
    <w:p>
      <w:r>
        <w:rPr>
          <w:rFonts w:hint="eastAsia"/>
        </w:rPr>
        <w:t>实现基于服务门户，提供数据质量检查、数据质量评价、数据质量监测、数据质量反馈、数据质量考核等系统各项功能。</w:t>
      </w:r>
    </w:p>
    <w:p>
      <w:pPr>
        <w:ind w:firstLine="482"/>
        <w:rPr>
          <w:b/>
        </w:rPr>
      </w:pPr>
      <w:r>
        <w:rPr>
          <w:rFonts w:hint="eastAsia"/>
          <w:b/>
        </w:rPr>
        <w:t>二、监管大脑主题库应用平台</w:t>
      </w:r>
    </w:p>
    <w:p>
      <w:r>
        <w:rPr>
          <w:rFonts w:hint="eastAsia"/>
        </w:rPr>
        <w:t>监管大脑主题库应用从市场主体业务情况出发，通过数据处理、和主题库，监管大脑主题的建设，展示全局宏观各项业务状况，辅助领导“揽全局、抓问题、定计划、督落实”，提供决策支持。</w:t>
      </w:r>
    </w:p>
    <w:p>
      <w:r>
        <w:t>1</w:t>
      </w:r>
      <w:r>
        <w:rPr>
          <w:rFonts w:hint="eastAsia"/>
        </w:rPr>
        <w:t>、</w:t>
      </w:r>
      <w:r>
        <w:t>监管数据处理</w:t>
      </w:r>
    </w:p>
    <w:p>
      <w:pPr>
        <w:pStyle w:val="12"/>
      </w:pPr>
      <w:r>
        <w:rPr>
          <w:rFonts w:hint="eastAsia"/>
        </w:rPr>
        <w:t>对当前黑龙江省市场监管数据中心系统汇聚的数据，通过对数据进行采处理、治理，为监管大脑业务主题库提供标准规范的可利用数据。</w:t>
      </w:r>
    </w:p>
    <w:p>
      <w:r>
        <w:t>2</w:t>
      </w:r>
      <w:r>
        <w:rPr>
          <w:rFonts w:hint="eastAsia"/>
        </w:rPr>
        <w:t>、业务主题库</w:t>
      </w:r>
    </w:p>
    <w:p>
      <w:r>
        <w:rPr>
          <w:rFonts w:ascii="Times New Roman" w:hAnsi="Times New Roman" w:cs="Times New Roman"/>
          <w:color w:val="auto"/>
          <w:kern w:val="0"/>
          <w:lang w:val="zh-CN"/>
        </w:rPr>
        <w:t>以</w:t>
      </w:r>
      <w:r>
        <w:rPr>
          <w:rFonts w:hint="eastAsia" w:ascii="Times New Roman" w:hAnsi="Times New Roman" w:cs="Times New Roman"/>
          <w:color w:val="auto"/>
          <w:kern w:val="0"/>
          <w:lang w:val="zh-CN"/>
        </w:rPr>
        <w:t>处理后的监管数据</w:t>
      </w:r>
      <w:r>
        <w:rPr>
          <w:rFonts w:ascii="Times New Roman" w:hAnsi="Times New Roman" w:cs="Times New Roman"/>
          <w:color w:val="auto"/>
          <w:kern w:val="0"/>
          <w:lang w:val="zh-CN"/>
        </w:rPr>
        <w:t>为模型数据来源，根据市场监管业务场景生成具体的</w:t>
      </w:r>
      <w:r>
        <w:rPr>
          <w:rFonts w:hint="eastAsia" w:ascii="Times New Roman" w:hAnsi="Times New Roman" w:cs="Times New Roman"/>
          <w:color w:val="auto"/>
          <w:kern w:val="0"/>
          <w:lang w:val="zh-CN"/>
        </w:rPr>
        <w:t>市场主体</w:t>
      </w:r>
      <w:r>
        <w:rPr>
          <w:rFonts w:ascii="Times New Roman" w:hAnsi="Times New Roman" w:cs="Times New Roman"/>
          <w:color w:val="auto"/>
          <w:kern w:val="0"/>
          <w:lang w:val="zh-CN"/>
        </w:rPr>
        <w:t>、</w:t>
      </w:r>
      <w:r>
        <w:rPr>
          <w:rFonts w:hint="eastAsia" w:ascii="Times New Roman" w:hAnsi="Times New Roman" w:cs="Times New Roman"/>
          <w:color w:val="auto"/>
          <w:kern w:val="0"/>
          <w:lang w:val="zh-CN"/>
        </w:rPr>
        <w:t>企业发展</w:t>
      </w:r>
      <w:r>
        <w:rPr>
          <w:rFonts w:ascii="Times New Roman" w:hAnsi="Times New Roman" w:cs="Times New Roman"/>
          <w:color w:val="auto"/>
          <w:kern w:val="0"/>
          <w:lang w:val="zh-CN"/>
        </w:rPr>
        <w:t>、</w:t>
      </w:r>
      <w:r>
        <w:rPr>
          <w:rFonts w:hint="eastAsia" w:ascii="Times New Roman" w:hAnsi="Times New Roman" w:cs="Times New Roman"/>
          <w:color w:val="auto"/>
          <w:kern w:val="0"/>
          <w:lang w:val="zh-CN"/>
        </w:rPr>
        <w:t>企业生存状态</w:t>
      </w:r>
      <w:r>
        <w:rPr>
          <w:rFonts w:ascii="Times New Roman" w:hAnsi="Times New Roman" w:cs="Times New Roman"/>
          <w:color w:val="auto"/>
          <w:kern w:val="0"/>
          <w:lang w:val="zh-CN"/>
        </w:rPr>
        <w:t>、</w:t>
      </w:r>
      <w:r>
        <w:rPr>
          <w:rFonts w:hint="eastAsia" w:ascii="Times New Roman" w:hAnsi="Times New Roman" w:cs="Times New Roman"/>
          <w:color w:val="auto"/>
          <w:kern w:val="0"/>
          <w:lang w:val="zh-CN"/>
        </w:rPr>
        <w:t>企业活跃度等业务主题库</w:t>
      </w:r>
      <w:r>
        <w:rPr>
          <w:rFonts w:ascii="Times New Roman" w:hAnsi="Times New Roman" w:cs="Times New Roman"/>
          <w:color w:val="auto"/>
          <w:kern w:val="0"/>
          <w:lang w:val="zh-CN"/>
        </w:rPr>
        <w:t>。</w:t>
      </w:r>
    </w:p>
    <w:p>
      <w:r>
        <w:t>3</w:t>
      </w:r>
      <w:r>
        <w:rPr>
          <w:rFonts w:hint="eastAsia"/>
        </w:rPr>
        <w:t>、监管大脑主题</w:t>
      </w:r>
    </w:p>
    <w:p>
      <w:r>
        <w:rPr>
          <w:rFonts w:hint="eastAsia"/>
          <w:kern w:val="0"/>
        </w:rPr>
        <w:t>对部门工作中的重要业务关键指标，利用大数据技术直观展现，使决策者能够实时掌握全局工作，强化决策服务能力，为领导决策层提供更方便、快捷的服务，有效提升部门办事效率，</w:t>
      </w:r>
      <w:r>
        <w:rPr>
          <w:rFonts w:hint="eastAsia"/>
        </w:rPr>
        <w:t>建设内容包括市场监管大脑首页、政务服务、创新发展、效能督察、食品安全、放心消费和执法办案监管主题服务。</w:t>
      </w:r>
    </w:p>
    <w:p>
      <w:pPr>
        <w:ind w:firstLine="482"/>
        <w:rPr>
          <w:rFonts w:ascii="Times New Roman" w:hAnsi="Times New Roman" w:cs="Times New Roman"/>
          <w:b/>
        </w:rPr>
      </w:pPr>
      <w:r>
        <w:rPr>
          <w:rFonts w:hint="eastAsia" w:ascii="Times New Roman" w:hAnsi="Times New Roman" w:cs="Times New Roman"/>
          <w:b/>
        </w:rPr>
        <w:t>三、证照库平台</w:t>
      </w:r>
    </w:p>
    <w:p>
      <w:pPr>
        <w:rPr>
          <w:rFonts w:ascii="Times New Roman" w:hAnsi="Times New Roman" w:cs="Times New Roman"/>
        </w:rPr>
      </w:pPr>
      <w:r>
        <w:rPr>
          <w:rFonts w:hint="eastAsia" w:ascii="Times New Roman" w:hAnsi="Times New Roman" w:cs="Times New Roman"/>
        </w:rPr>
        <w:t>按照国家市场监督管理总局印发《市场监管总局关于充分发挥职能作用 落实深化“证照分离”改革任务的通知》（国市监注发〔2021〕36 号）文件要求，建设电子证照平台，具体建设内容如下：</w:t>
      </w:r>
    </w:p>
    <w:p>
      <w:pPr>
        <w:rPr>
          <w:rFonts w:ascii="Times New Roman" w:hAnsi="Times New Roman" w:cs="Times New Roman"/>
        </w:rPr>
      </w:pPr>
      <w:r>
        <w:rPr>
          <w:rFonts w:hint="eastAsia" w:ascii="Times New Roman" w:hAnsi="Times New Roman" w:cs="Times New Roman"/>
        </w:rPr>
        <w:t>1、电子证照生成</w:t>
      </w:r>
    </w:p>
    <w:p>
      <w:pPr>
        <w:rPr>
          <w:rFonts w:ascii="Times New Roman" w:hAnsi="Times New Roman" w:cs="Times New Roman"/>
        </w:rPr>
      </w:pPr>
      <w:r>
        <w:rPr>
          <w:rFonts w:hint="eastAsia" w:ascii="Times New Roman" w:hAnsi="Times New Roman" w:cs="Times New Roman"/>
        </w:rPr>
        <w:t>对特种设备、食品生产、食品经营、计量、认证认可和检验检测、工业产品生产等许可审批系统进行改造，按照市场监管部门涉企经营许可电子证件数据规范的要求，生成电子证件数据，加盖省信息中心电子印章。</w:t>
      </w:r>
    </w:p>
    <w:p>
      <w:pPr>
        <w:rPr>
          <w:rFonts w:ascii="Times New Roman" w:hAnsi="Times New Roman" w:cs="Times New Roman"/>
        </w:rPr>
      </w:pPr>
      <w:r>
        <w:rPr>
          <w:rFonts w:hint="eastAsia" w:ascii="Times New Roman" w:hAnsi="Times New Roman" w:cs="Times New Roman"/>
        </w:rPr>
        <w:t>2、电子证照共享接口服务</w:t>
      </w:r>
    </w:p>
    <w:p>
      <w:pPr>
        <w:rPr>
          <w:rFonts w:ascii="Times New Roman" w:hAnsi="Times New Roman" w:cs="Times New Roman"/>
        </w:rPr>
      </w:pPr>
      <w:r>
        <w:rPr>
          <w:rFonts w:hint="eastAsia" w:ascii="Times New Roman" w:hAnsi="Times New Roman" w:cs="Times New Roman"/>
        </w:rPr>
        <w:t>按照省政务服务网在数据共享交换平台上架的电子证照共享接口，把已生成的检验检测机构资质认定证书、认证机构批准书、全国工业产品生产许可证、计量授权证书、特种设备检验检测机构核准证、特种设备生产单位许可证、“三品一械”广告审查、移动式压力容器充装许可证、气瓶充装许可证等许可电子证照共享至省政务服务网。</w:t>
      </w:r>
    </w:p>
    <w:p>
      <w:pPr>
        <w:rPr>
          <w:rFonts w:ascii="Times New Roman" w:hAnsi="Times New Roman" w:cs="Times New Roman"/>
        </w:rPr>
      </w:pPr>
      <w:r>
        <w:rPr>
          <w:rFonts w:hint="eastAsia" w:ascii="Times New Roman" w:hAnsi="Times New Roman" w:cs="Times New Roman"/>
        </w:rPr>
        <w:t>3、总局数据中心上报服务</w:t>
      </w:r>
    </w:p>
    <w:p>
      <w:pPr>
        <w:rPr>
          <w:rFonts w:ascii="Times New Roman" w:hAnsi="Times New Roman" w:cs="Times New Roman"/>
        </w:rPr>
      </w:pPr>
      <w:r>
        <w:rPr>
          <w:rFonts w:hint="eastAsia" w:ascii="Times New Roman" w:hAnsi="Times New Roman" w:cs="Times New Roman"/>
        </w:rPr>
        <w:t>按照国家市场监督管理总局印发《市场监管总局关于充分发挥职能作用 落实深化“证照分离”改革任务的通知》（国市监注发〔2021〕36 号）文件要求，按照国家市场监督管理局数据中心标准，推送已生成的电子证照，其中包含已生成的食品经营许可电子证照、食品生成许可电子证照以及本系统生成的检验检测机构资质认定证书、认证机构批准书、全国工业产品生产许可证、“三品一械”广告审查、计量授权证书、特种设备检验检测机构核准证、特种设备生产单位许可证、移动式压力容器充装许可证、气瓶充装许可证等共享至国家数据中心上报库。</w:t>
      </w:r>
    </w:p>
    <w:p>
      <w:pPr>
        <w:rPr>
          <w:rFonts w:ascii="Times New Roman" w:hAnsi="Times New Roman" w:cs="Times New Roman"/>
        </w:rPr>
      </w:pPr>
      <w:r>
        <w:rPr>
          <w:rFonts w:hint="eastAsia" w:ascii="Times New Roman" w:hAnsi="Times New Roman" w:cs="Times New Roman"/>
        </w:rPr>
        <w:t>4、查询统计以及监控功能</w:t>
      </w:r>
    </w:p>
    <w:p>
      <w:pPr>
        <w:rPr>
          <w:rFonts w:ascii="Times New Roman" w:hAnsi="Times New Roman" w:cs="Times New Roman"/>
        </w:rPr>
      </w:pPr>
      <w:r>
        <w:rPr>
          <w:rFonts w:hint="eastAsia" w:ascii="Times New Roman" w:hAnsi="Times New Roman" w:cs="Times New Roman"/>
        </w:rPr>
        <w:t>系统提供电子证照查询功能，包含许可证的明细以及电子证照查看功能；系统提供电子证照统计功能，统计各类电子证照情况；系统提供电子证照监控功能，防止接口异常以及服务异常导致电子证照无法生成。</w:t>
      </w:r>
    </w:p>
    <w:p>
      <w:pPr>
        <w:rPr>
          <w:rFonts w:ascii="Times New Roman" w:hAnsi="Times New Roman" w:cs="Times New Roman"/>
        </w:rPr>
      </w:pPr>
      <w:r>
        <w:rPr>
          <w:rFonts w:hint="eastAsia" w:ascii="Times New Roman" w:hAnsi="Times New Roman" w:cs="Times New Roman"/>
        </w:rPr>
        <w:t>5、电子证照公示</w:t>
      </w:r>
    </w:p>
    <w:p>
      <w:r>
        <w:rPr>
          <w:rFonts w:hint="eastAsia"/>
        </w:rPr>
        <w:t>电子证照管理平台把已生成的电子证照通过关联企业，自动关联并推送至国家企业信用信息公示系统（黑龙江）电子证照栏目。</w:t>
      </w:r>
    </w:p>
    <w:p>
      <w:pPr>
        <w:pStyle w:val="3"/>
        <w:spacing w:before="120" w:after="120" w:line="240" w:lineRule="auto"/>
      </w:pPr>
      <w:bookmarkStart w:id="139" w:name="_Toc32624"/>
      <w:r>
        <w:rPr>
          <w:rFonts w:hint="eastAsia"/>
        </w:rPr>
        <w:t>标准规范建设内容</w:t>
      </w:r>
      <w:bookmarkEnd w:id="139"/>
    </w:p>
    <w:p>
      <w:r>
        <w:rPr>
          <w:rFonts w:hint="eastAsia"/>
        </w:rPr>
        <w:t>标准体系的制定是政务系统建设的基础，在遵循已有的各类规范标准基础上，还需要突出重点、狠抓关键，配合系统建设分析相关标准的轻重缓急，一些急用的标准先行制定，并逐步运用在系统的设计和建设中；相对次要的标准可以根据系统建设的不同阶段，有计划地、循序渐进地制定并运用。逐步完善和建立一套在国家现有规范标准基础之上的有本地特色的政务服务系统建设的管理规范标准。</w:t>
      </w:r>
    </w:p>
    <w:p>
      <w:pPr>
        <w:pStyle w:val="4"/>
        <w:spacing w:before="80" w:after="80" w:line="240" w:lineRule="auto"/>
        <w:ind w:left="240" w:leftChars="0" w:firstLineChars="0"/>
      </w:pPr>
      <w:bookmarkStart w:id="140" w:name="_Toc68856327"/>
      <w:bookmarkStart w:id="141" w:name="_Toc514152564"/>
      <w:bookmarkStart w:id="142" w:name="_Toc24203384"/>
      <w:bookmarkStart w:id="143" w:name="_Toc514238374"/>
      <w:bookmarkStart w:id="144" w:name="_Toc516133787"/>
      <w:bookmarkStart w:id="145" w:name="_Toc41489690"/>
      <w:bookmarkStart w:id="146" w:name="_Toc19419"/>
      <w:bookmarkStart w:id="147" w:name="_Toc24942"/>
      <w:r>
        <w:rPr>
          <w:rFonts w:hint="eastAsia"/>
        </w:rPr>
        <w:t>标准规范体系</w:t>
      </w:r>
      <w:bookmarkEnd w:id="140"/>
      <w:bookmarkEnd w:id="141"/>
      <w:bookmarkEnd w:id="142"/>
      <w:bookmarkEnd w:id="143"/>
      <w:bookmarkEnd w:id="144"/>
      <w:bookmarkEnd w:id="145"/>
      <w:bookmarkEnd w:id="146"/>
      <w:bookmarkEnd w:id="147"/>
    </w:p>
    <w:p>
      <w:pPr>
        <w:pStyle w:val="12"/>
        <w:rPr>
          <w:rFonts w:ascii="宋体" w:hAnsi="宋体"/>
        </w:rPr>
      </w:pPr>
      <w:r>
        <w:rPr>
          <w:rFonts w:hint="eastAsia" w:ascii="宋体" w:hAnsi="宋体"/>
        </w:rPr>
        <w:t>根据系统建设目标和总体方案，整个平台标准规范框架如下：</w:t>
      </w:r>
    </w:p>
    <w:p>
      <w:pPr>
        <w:pStyle w:val="14"/>
        <w:ind w:left="0" w:leftChars="0" w:firstLine="1440" w:firstLineChars="600"/>
      </w:pPr>
      <w:r>
        <w:drawing>
          <wp:inline distT="0" distB="0" distL="114300" distR="114300">
            <wp:extent cx="3836035" cy="1714500"/>
            <wp:effectExtent l="0" t="0" r="12065"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5"/>
                    <a:stretch>
                      <a:fillRect/>
                    </a:stretch>
                  </pic:blipFill>
                  <pic:spPr>
                    <a:xfrm>
                      <a:off x="0" y="0"/>
                      <a:ext cx="3836035" cy="1714500"/>
                    </a:xfrm>
                    <a:prstGeom prst="rect">
                      <a:avLst/>
                    </a:prstGeom>
                    <a:noFill/>
                    <a:ln>
                      <a:noFill/>
                    </a:ln>
                  </pic:spPr>
                </pic:pic>
              </a:graphicData>
            </a:graphic>
          </wp:inline>
        </w:drawing>
      </w:r>
    </w:p>
    <w:p>
      <w:pPr>
        <w:jc w:val="center"/>
      </w:pPr>
      <w:r>
        <w:rPr>
          <w:rFonts w:hint="eastAsia"/>
        </w:rPr>
        <w:t>图5.3.1 标准规范编制计划图</w:t>
      </w:r>
    </w:p>
    <w:p>
      <w:r>
        <w:rPr>
          <w:rFonts w:hint="eastAsia"/>
        </w:rPr>
        <w:t>项目标准规范框架体系是在政务服务信息化领域标准规范的基础上建立符合本土政特色的业务规范、数据规范、技术规范、管理规范和安全规范。</w:t>
      </w:r>
    </w:p>
    <w:p>
      <w:pPr>
        <w:pStyle w:val="4"/>
        <w:spacing w:before="80" w:after="80" w:line="240" w:lineRule="auto"/>
        <w:ind w:left="240" w:leftChars="0" w:firstLineChars="0"/>
      </w:pPr>
      <w:bookmarkStart w:id="148" w:name="_Toc20570"/>
      <w:r>
        <w:rPr>
          <w:rFonts w:hint="eastAsia"/>
        </w:rPr>
        <w:t>标准规范要求</w:t>
      </w:r>
      <w:bookmarkEnd w:id="148"/>
    </w:p>
    <w:p>
      <w:pPr>
        <w:pStyle w:val="5"/>
        <w:spacing w:before="240" w:after="120" w:line="240" w:lineRule="auto"/>
      </w:pPr>
      <w:r>
        <w:rPr>
          <w:rFonts w:hint="eastAsia"/>
        </w:rPr>
        <w:t>业务规范</w:t>
      </w:r>
    </w:p>
    <w:p>
      <w:r>
        <w:rPr>
          <w:rFonts w:hint="eastAsia"/>
        </w:rPr>
        <w:t>业务规范主要包括业务功能规范、业务流程规范、对外接口规范三个部分。</w:t>
      </w:r>
    </w:p>
    <w:p>
      <w:r>
        <w:rPr>
          <w:rFonts w:hint="eastAsia"/>
        </w:rPr>
        <w:t>业务功能规范主要明确各业务功能的设计要求，包括业务功能的分类、各功能的明确要求，功能特点和应用范围等。业务功能规范与信息系统建设的功能模块设计相近，规范编制过程中与应用功能设计相结合，从标准化和规范化的角度约束信息系统的功能设计。</w:t>
      </w:r>
    </w:p>
    <w:p>
      <w:r>
        <w:rPr>
          <w:rFonts w:hint="eastAsia"/>
        </w:rPr>
        <w:t>业务流程规范主要明确各类业务和办事流程的设计要求，包括业务流转节点，各阶段权限、授予角色或用户等。业务流程规范往往与对外的办事相结合，因此各类业务流程规范与办事流程相近统一。</w:t>
      </w:r>
    </w:p>
    <w:p>
      <w:r>
        <w:rPr>
          <w:rFonts w:hint="eastAsia"/>
        </w:rPr>
        <w:t>对外接口规范主要体现接口的类型、接口的方式以及接口交换频率等，接口的定义以规范化的描述和实现为主，不涉及具体的接口内容和对象。对于具体的接口对象和交换内容，通过交换平台的各类配置定义实现。</w:t>
      </w:r>
    </w:p>
    <w:p>
      <w:pPr>
        <w:jc w:val="center"/>
      </w:pPr>
      <w:bookmarkStart w:id="149" w:name="_Toc59383056"/>
      <w:bookmarkStart w:id="150" w:name="_Toc41489789"/>
      <w:r>
        <w:rPr>
          <w:rFonts w:hint="eastAsia"/>
        </w:rPr>
        <w:t>表5.2.1-1 业务规范建设表</w:t>
      </w:r>
      <w:bookmarkEnd w:id="149"/>
      <w:bookmarkEnd w:id="150"/>
    </w:p>
    <w:tbl>
      <w:tblPr>
        <w:tblStyle w:val="31"/>
        <w:tblW w:w="503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4"/>
        <w:gridCol w:w="2378"/>
        <w:gridCol w:w="6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blHeader/>
        </w:trPr>
        <w:tc>
          <w:tcPr>
            <w:tcW w:w="791"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序号</w:t>
            </w:r>
          </w:p>
        </w:tc>
        <w:tc>
          <w:tcPr>
            <w:tcW w:w="2177"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规范名称</w:t>
            </w:r>
          </w:p>
        </w:tc>
        <w:tc>
          <w:tcPr>
            <w:tcW w:w="5607"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规范描述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91"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w:t>
            </w:r>
          </w:p>
        </w:tc>
        <w:tc>
          <w:tcPr>
            <w:tcW w:w="2177"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《实体政务大厅标准化建设与服务规范》</w:t>
            </w:r>
          </w:p>
        </w:tc>
        <w:tc>
          <w:tcPr>
            <w:tcW w:w="5607"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制定《实体政务大厅标准化建设与服务规范》，不断推进政务服务大厅管理工作制度化、规范化、经常化，努力提升窗口工作服务质量和水平；进一步完善规章制度，更好的确保政务服务大厅有序、高效运转。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91"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c>
          <w:tcPr>
            <w:tcW w:w="2177"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《标准化建设与服务规范》</w:t>
            </w:r>
          </w:p>
        </w:tc>
        <w:tc>
          <w:tcPr>
            <w:tcW w:w="5607"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标准化建设与服务规范是对综合窗口、自助服务和链条式审批流程等内容进行规范，确保政务服务业务运行与材料流转。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91"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3</w:t>
            </w:r>
          </w:p>
        </w:tc>
        <w:tc>
          <w:tcPr>
            <w:tcW w:w="2177"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《电子文件材料建设与管理暂行办法》</w:t>
            </w:r>
          </w:p>
        </w:tc>
        <w:tc>
          <w:tcPr>
            <w:tcW w:w="5607"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针对电子文件材料的编码、归档、引用、安全等全过程进行记录和跟踪。</w:t>
            </w:r>
          </w:p>
        </w:tc>
      </w:tr>
    </w:tbl>
    <w:p>
      <w:pPr>
        <w:pStyle w:val="5"/>
        <w:spacing w:before="240" w:after="120" w:line="240" w:lineRule="auto"/>
      </w:pPr>
      <w:r>
        <w:rPr>
          <w:rFonts w:hint="eastAsia"/>
        </w:rPr>
        <w:t>数据规范</w:t>
      </w:r>
    </w:p>
    <w:p>
      <w:r>
        <w:rPr>
          <w:rFonts w:hint="eastAsia"/>
        </w:rPr>
        <w:t>数据规范主要包括信息分类规范、数据元规范、系统代码规范、数据交换规范四部分。</w:t>
      </w:r>
    </w:p>
    <w:p>
      <w:r>
        <w:rPr>
          <w:rFonts w:hint="eastAsia"/>
        </w:rPr>
        <w:t>信息分类规范主要定义各数据项的分类要求，包括各类数据项目录的类型和业务分类属性的定义。信息分类规范将考虑信息分类的形式、信息类别和业务分类。</w:t>
      </w:r>
    </w:p>
    <w:p>
      <w:r>
        <w:rPr>
          <w:rFonts w:hint="eastAsia"/>
        </w:rPr>
        <w:t>数据元规范明确了系统中最小的数据单元，通过数据元的规范，可以明确项目中的各类对象及其特性，并且在此基础上进一步明确了对象的特性的表示。数据元中对象的范围必须包括系统在数据采集和输出时涉及到的范围。</w:t>
      </w:r>
    </w:p>
    <w:p>
      <w:r>
        <w:rPr>
          <w:rFonts w:hint="eastAsia"/>
        </w:rPr>
        <w:t>系统代码规范明确了系统中对于各种代码的使用要求。代码规范实际上是对于系统中使用的各种数据元中的值域的一种规范化要求。代码规范是从最小数据单元的角度统一了对于最小数据的代码值的使用，为业务知识共享提供了基础的、必要的条件。</w:t>
      </w:r>
    </w:p>
    <w:p>
      <w:r>
        <w:rPr>
          <w:rFonts w:hint="eastAsia"/>
        </w:rPr>
        <w:t>数据交换规范明确了项目的所有输入和输出的业务知识以及这些业务知识的交换规则。业务知识的表现形式就是采用文件格式规范中的内容。交换规则考虑一些常用的方式，包括：基于消息的、基于介质。如果是基于消息的则要考虑数据在消息规范中的嵌入方式。</w:t>
      </w:r>
    </w:p>
    <w:p>
      <w:pPr>
        <w:jc w:val="center"/>
      </w:pPr>
      <w:r>
        <w:rPr>
          <w:rFonts w:hint="eastAsia"/>
        </w:rPr>
        <w:t>表5.2.1-2 数据规范编制表</w:t>
      </w:r>
    </w:p>
    <w:tbl>
      <w:tblPr>
        <w:tblStyle w:val="31"/>
        <w:tblW w:w="516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1883"/>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blHeader/>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bookmarkStart w:id="151" w:name="_Toc41489790"/>
            <w:bookmarkStart w:id="152" w:name="_Toc59383057"/>
            <w:r>
              <w:rPr>
                <w:rFonts w:hint="eastAsia" w:ascii="宋体" w:hAnsi="宋体" w:cs="宋体"/>
                <w:color w:val="000000"/>
                <w:kern w:val="0"/>
                <w:sz w:val="21"/>
                <w:szCs w:val="21"/>
                <w:lang w:bidi="ar"/>
              </w:rPr>
              <w:t>序号</w:t>
            </w:r>
          </w:p>
        </w:tc>
        <w:tc>
          <w:tcPr>
            <w:tcW w:w="172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规范名称</w:t>
            </w:r>
          </w:p>
        </w:tc>
        <w:tc>
          <w:tcPr>
            <w:tcW w:w="6370"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规范描述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w:t>
            </w:r>
          </w:p>
        </w:tc>
        <w:tc>
          <w:tcPr>
            <w:tcW w:w="1724"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《政务服务信息资源目录和共享汇聚标准》</w:t>
            </w:r>
          </w:p>
        </w:tc>
        <w:tc>
          <w:tcPr>
            <w:tcW w:w="6370"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政务服务信息资源目录和共享汇聚标准主要包括网上办事大厅各系统间的对接规范、省市互联互通规范及数据共享交换平台规范。适用于网上办事大厅各系统间的对接设计与开发、各级政务服务信息系统改造开发以及数据共享交换平台的设计、开发与对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c>
          <w:tcPr>
            <w:tcW w:w="1724"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《政务服务数据交换共享利用数据标准与管理制度》</w:t>
            </w:r>
          </w:p>
        </w:tc>
        <w:tc>
          <w:tcPr>
            <w:tcW w:w="6370"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为保证全区各类政务服务事项有效和规范接入平台，制定《政务服务数据交换共享利用数据标准与管理制度》，包括政务服务事项业务办理部署方式、业务办理系统与数据共享交换平台的对接方式、业务办理系统与政务服务管理平台的对接方式、政务服务业务流与数据流的实现方式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3</w:t>
            </w:r>
          </w:p>
        </w:tc>
        <w:tc>
          <w:tcPr>
            <w:tcW w:w="1724"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《电子文件材料调用接口规范》</w:t>
            </w:r>
          </w:p>
        </w:tc>
        <w:tc>
          <w:tcPr>
            <w:tcW w:w="6370"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对外部系统需要调用电子文件材料的情况，制定统一的接口规范，同时指导电子文件材料的接口开发和系统调用。</w:t>
            </w:r>
          </w:p>
        </w:tc>
      </w:tr>
      <w:bookmarkEnd w:id="151"/>
      <w:bookmarkEnd w:id="152"/>
    </w:tbl>
    <w:p>
      <w:pPr>
        <w:pStyle w:val="5"/>
        <w:spacing w:before="240" w:after="120" w:line="240" w:lineRule="auto"/>
      </w:pPr>
      <w:r>
        <w:rPr>
          <w:rFonts w:hint="eastAsia"/>
        </w:rPr>
        <w:t>技术规范</w:t>
      </w:r>
    </w:p>
    <w:p>
      <w:r>
        <w:rPr>
          <w:rFonts w:hint="eastAsia"/>
        </w:rPr>
        <w:t>技术规范主要包括信息资源描述规范、开发规范两个部分。</w:t>
      </w:r>
    </w:p>
    <w:p>
      <w:r>
        <w:rPr>
          <w:rFonts w:hint="eastAsia"/>
        </w:rPr>
        <w:t>信息资源描述规范主要包括用于定义各类信息资源描述的方法，包括数据元描述规范、代码描述规范等。</w:t>
      </w:r>
    </w:p>
    <w:p>
      <w:r>
        <w:rPr>
          <w:rFonts w:hint="eastAsia"/>
        </w:rPr>
        <w:t>开发规范主要针对项目建设过程中对于软件开发所需要遵循的各类规范，主要包括界面设计规范、编码规范、软件开发规范等。</w:t>
      </w:r>
    </w:p>
    <w:p>
      <w:pPr>
        <w:pStyle w:val="5"/>
        <w:spacing w:before="240" w:after="120" w:line="240" w:lineRule="auto"/>
      </w:pPr>
      <w:r>
        <w:rPr>
          <w:rFonts w:hint="eastAsia"/>
        </w:rPr>
        <w:t>管理规范</w:t>
      </w:r>
    </w:p>
    <w:p>
      <w:r>
        <w:rPr>
          <w:rFonts w:hint="eastAsia"/>
        </w:rPr>
        <w:t>管理规范主要包括软件质量体系规范、验收与监理规范两个部分。</w:t>
      </w:r>
    </w:p>
    <w:p>
      <w:r>
        <w:rPr>
          <w:rFonts w:hint="eastAsia"/>
        </w:rPr>
        <w:t>软件质量体系规范规定是在整个项目的开发过程中，所必须遵循的软件工程规范，该规范以CMMI5为基础，对之进行适当的剪裁，使之符合本项目的特点，而从内容上至少包含软件工程（软件需求分析、设计、编码、测试、验收）、系统集成、项目管理这三部分。</w:t>
      </w:r>
    </w:p>
    <w:p>
      <w:r>
        <w:rPr>
          <w:rFonts w:hint="eastAsia"/>
        </w:rPr>
        <w:t>验收与监理规范借鉴和参考国家电子政务信息系统工程监理规范，以及国家和地方性规范。</w:t>
      </w:r>
    </w:p>
    <w:p>
      <w:pPr>
        <w:jc w:val="center"/>
      </w:pPr>
      <w:bookmarkStart w:id="153" w:name="_Toc59383058"/>
      <w:bookmarkStart w:id="154" w:name="_Toc41489791"/>
      <w:r>
        <w:rPr>
          <w:rFonts w:hint="eastAsia"/>
        </w:rPr>
        <w:t>表5.2.1-3 管理规范编制表</w:t>
      </w:r>
      <w:bookmarkEnd w:id="153"/>
      <w:bookmarkEnd w:id="154"/>
    </w:p>
    <w:tbl>
      <w:tblPr>
        <w:tblStyle w:val="3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325"/>
        <w:gridCol w:w="7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序号</w:t>
            </w:r>
          </w:p>
        </w:tc>
        <w:tc>
          <w:tcPr>
            <w:tcW w:w="1325"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规范名称</w:t>
            </w:r>
          </w:p>
        </w:tc>
        <w:tc>
          <w:tcPr>
            <w:tcW w:w="0" w:type="auto"/>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规范描述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w:t>
            </w:r>
          </w:p>
        </w:tc>
        <w:tc>
          <w:tcPr>
            <w:tcW w:w="1325"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软件资源管理规范</w:t>
            </w:r>
          </w:p>
        </w:tc>
        <w:tc>
          <w:tcPr>
            <w:tcW w:w="0" w:type="auto"/>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针对项目开发过程的各类资源使用、分配、调度制定统一的管理规范，保障项目实施过程的完善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c>
          <w:tcPr>
            <w:tcW w:w="1325"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项目过程管理规范</w:t>
            </w:r>
          </w:p>
        </w:tc>
        <w:tc>
          <w:tcPr>
            <w:tcW w:w="0" w:type="auto"/>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对项目管理涉及的进度、人员、成本、干系人等要素进行统一管理，划定项目边界和实施范围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3</w:t>
            </w:r>
          </w:p>
        </w:tc>
        <w:tc>
          <w:tcPr>
            <w:tcW w:w="1325"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项目验收管理规范</w:t>
            </w:r>
          </w:p>
        </w:tc>
        <w:tc>
          <w:tcPr>
            <w:tcW w:w="0" w:type="auto"/>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对项目验收、资金拨付、试运行、培训等重要环节进行规范化管理</w:t>
            </w:r>
          </w:p>
        </w:tc>
      </w:tr>
    </w:tbl>
    <w:p>
      <w:pPr>
        <w:pStyle w:val="5"/>
        <w:spacing w:before="240" w:after="120" w:line="240" w:lineRule="auto"/>
      </w:pPr>
      <w:r>
        <w:rPr>
          <w:rFonts w:hint="eastAsia"/>
        </w:rPr>
        <w:t>安全规范</w:t>
      </w:r>
    </w:p>
    <w:p>
      <w:r>
        <w:rPr>
          <w:rFonts w:hint="eastAsia"/>
        </w:rPr>
        <w:t>安全规范主要包括物理安全规范、系统安全规范、网络安全规范和应用安全规范四个部分。</w:t>
      </w:r>
    </w:p>
    <w:p>
      <w:r>
        <w:rPr>
          <w:rFonts w:hint="eastAsia"/>
        </w:rPr>
        <w:t>本项目采取租用云资源的方式建设，使用政务云中心的物理运行环境，此处不再叙述。</w:t>
      </w:r>
    </w:p>
    <w:p>
      <w:r>
        <w:rPr>
          <w:rFonts w:hint="eastAsia"/>
        </w:rPr>
        <w:t>系统安全规范主要内容包括：口令、身份认证、安全操作系统、SSL协议、主机防病毒、主机入侵检测、数字签名、审计跟踪、系统容灾等。它是从操作系统的角度考虑系统安全措施，防止不法分子利用操作系统的一些BUG、后门取得对系统的非法操作权限。</w:t>
      </w:r>
    </w:p>
    <w:p>
      <w:r>
        <w:rPr>
          <w:rFonts w:hint="eastAsia"/>
        </w:rPr>
        <w:t>本项目使用政务云中心的网络安全环境，从而确保系统内部网络系统、广域网连接和拨号访问的运行安全。</w:t>
      </w:r>
    </w:p>
    <w:p>
      <w:pPr>
        <w:jc w:val="center"/>
      </w:pPr>
      <w:bookmarkStart w:id="155" w:name="_Toc41489792"/>
      <w:bookmarkStart w:id="156" w:name="_Toc59383059"/>
      <w:r>
        <w:rPr>
          <w:rFonts w:hint="eastAsia"/>
        </w:rPr>
        <w:t>表5.2.1-4 安全规范编制表</w:t>
      </w:r>
      <w:bookmarkEnd w:id="155"/>
      <w:bookmarkEnd w:id="156"/>
    </w:p>
    <w:tbl>
      <w:tblPr>
        <w:tblStyle w:val="3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9"/>
        <w:gridCol w:w="1971"/>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序号</w:t>
            </w:r>
          </w:p>
        </w:tc>
        <w:tc>
          <w:tcPr>
            <w:tcW w:w="18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规范名称</w:t>
            </w:r>
          </w:p>
        </w:tc>
        <w:tc>
          <w:tcPr>
            <w:tcW w:w="601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规范描述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w:t>
            </w:r>
          </w:p>
        </w:tc>
        <w:tc>
          <w:tcPr>
            <w:tcW w:w="1804"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国产密码应用管理制度</w:t>
            </w:r>
          </w:p>
        </w:tc>
        <w:tc>
          <w:tcPr>
            <w:tcW w:w="6014"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针对本项目制定统一的国产密码应用管理制度，主要对用户信息、认证信息的存储、传输等过程进行统一管理。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704" w:type="dxa"/>
            <w:shd w:val="clear" w:color="auto" w:fill="auto"/>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2</w:t>
            </w:r>
          </w:p>
        </w:tc>
        <w:tc>
          <w:tcPr>
            <w:tcW w:w="1804"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密码基础平台的服务接口规范</w:t>
            </w:r>
          </w:p>
        </w:tc>
        <w:tc>
          <w:tcPr>
            <w:tcW w:w="6014" w:type="dxa"/>
            <w:shd w:val="clear" w:color="auto" w:fill="auto"/>
            <w:vAlign w:val="center"/>
          </w:tcPr>
          <w:p>
            <w:pPr>
              <w:widowControl/>
              <w:ind w:firstLine="0" w:firstLineChars="0"/>
              <w:jc w:val="left"/>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针对本项目制定统一的国产密码应用的接口规范，主要对用户信息、认证信息的存储、传输等过程进行统一接口管理。</w:t>
            </w:r>
          </w:p>
        </w:tc>
      </w:tr>
    </w:tbl>
    <w:p>
      <w:pPr>
        <w:pStyle w:val="3"/>
        <w:bidi w:val="0"/>
      </w:pPr>
      <w:bookmarkStart w:id="157" w:name="_Toc99092996"/>
      <w:bookmarkStart w:id="158" w:name="_Toc8782"/>
      <w:bookmarkStart w:id="159" w:name="_Toc99028730"/>
      <w:r>
        <w:rPr>
          <w:rFonts w:hint="eastAsia"/>
        </w:rPr>
        <w:t>应用支撑平台和应用系统建设方案</w:t>
      </w:r>
      <w:bookmarkEnd w:id="157"/>
      <w:bookmarkEnd w:id="158"/>
      <w:bookmarkEnd w:id="159"/>
    </w:p>
    <w:p>
      <w:pPr>
        <w:pStyle w:val="4"/>
        <w:bidi w:val="0"/>
      </w:pPr>
      <w:bookmarkStart w:id="160" w:name="_Toc99092997"/>
      <w:bookmarkStart w:id="161" w:name="_Toc30733"/>
      <w:r>
        <w:rPr>
          <w:rFonts w:hint="eastAsia"/>
        </w:rPr>
        <w:t>数据质量综合管理平台</w:t>
      </w:r>
      <w:bookmarkEnd w:id="160"/>
      <w:bookmarkEnd w:id="161"/>
    </w:p>
    <w:p>
      <w:pPr>
        <w:pStyle w:val="5"/>
      </w:pPr>
      <w:r>
        <w:rPr>
          <w:rFonts w:hint="eastAsia"/>
        </w:rPr>
        <w:t>概述</w:t>
      </w:r>
    </w:p>
    <w:p>
      <w:pPr>
        <w:rPr>
          <w:rFonts w:ascii="宋体" w:hAnsi="宋体"/>
        </w:rPr>
      </w:pPr>
      <w:r>
        <w:rPr>
          <w:rFonts w:hint="eastAsia" w:ascii="宋体" w:hAnsi="宋体"/>
        </w:rPr>
        <w:t>市场监管总局于2021年3月先后发布《市场监管总局办公厅关于开展市场主体数据质量提升行动的通知》（市监注发</w:t>
      </w:r>
      <w:r>
        <w:rPr>
          <w:rFonts w:hint="eastAsia" w:ascii="宋体" w:hAnsi="宋体"/>
          <w:sz w:val="22"/>
        </w:rPr>
        <w:t>〔2021〕</w:t>
      </w:r>
      <w:r>
        <w:rPr>
          <w:rFonts w:hint="eastAsia" w:ascii="宋体" w:hAnsi="宋体"/>
        </w:rPr>
        <w:t>19号）、《市场主体数据质量评价指南（第一版）》的通知要求，</w:t>
      </w:r>
      <w:r>
        <w:rPr>
          <w:rFonts w:hint="eastAsia"/>
        </w:rPr>
        <w:t>黑龙江省市场监管局为</w:t>
      </w:r>
      <w:r>
        <w:rPr>
          <w:rFonts w:hint="eastAsia" w:ascii="宋体" w:hAnsi="宋体"/>
        </w:rPr>
        <w:t>确保数据真实、准确，进一步提升市场主体数据质量，</w:t>
      </w:r>
      <w:r>
        <w:rPr>
          <w:rFonts w:hint="eastAsia"/>
        </w:rPr>
        <w:t>建设数据质量综合管理平台，实现</w:t>
      </w:r>
      <w:r>
        <w:rPr>
          <w:rFonts w:hint="eastAsia" w:ascii="宋体" w:hAnsi="宋体"/>
        </w:rPr>
        <w:t>市场监管总局对于数据不同维度的质量要求。持续提升市场主体数据质量，满足市场监管部门数据应用、数据分析、部门之间数据共享的基础需求。</w:t>
      </w:r>
    </w:p>
    <w:p>
      <w:r>
        <w:rPr>
          <w:rFonts w:hint="eastAsia"/>
        </w:rPr>
        <w:t>结合业务判断要求和必要校验逻辑，</w:t>
      </w:r>
      <w:r>
        <w:t>强化数据前端采集阶段问</w:t>
      </w:r>
      <w:r>
        <w:rPr>
          <w:rFonts w:hint="eastAsia"/>
        </w:rPr>
        <w:t>题分析判断，重点监测空字段、冗余、逻辑错误、无关联错误、转码错误等基础数据问题，重点预警“一人多号”、“一号多名”、企业类型、行业、币种等异常数据问题，重点提示“一人多户”、“一址多照”、注册资本以及出资额极值等相关情况，并建立实地核实机制，确保市场主体登记信息真实、合理。</w:t>
      </w:r>
    </w:p>
    <w:p>
      <w:pPr>
        <w:pStyle w:val="5"/>
      </w:pPr>
      <w:r>
        <w:rPr>
          <w:rFonts w:hint="eastAsia"/>
        </w:rPr>
        <w:t>组成</w:t>
      </w:r>
    </w:p>
    <w:p>
      <w:r>
        <w:object>
          <v:shape id="_x0000_i1027" o:spt="75" type="#_x0000_t75" style="height:232.2pt;width:414.6pt;" o:ole="t" filled="f" o:preferrelative="t" stroked="f" coordsize="21600,21600">
            <v:path/>
            <v:fill on="f" focussize="0,0"/>
            <v:stroke on="f" joinstyle="miter"/>
            <v:imagedata r:id="rId27" o:title=""/>
            <o:lock v:ext="edit" aspectratio="t"/>
            <w10:wrap type="none"/>
            <w10:anchorlock/>
          </v:shape>
          <o:OLEObject Type="Embed" ProgID="Visio.Drawing.15" ShapeID="_x0000_i1027" DrawAspect="Content" ObjectID="_1468075727" r:id="rId26">
            <o:LockedField>false</o:LockedField>
          </o:OLEObject>
        </w:object>
      </w:r>
    </w:p>
    <w:p>
      <w:pPr>
        <w:pStyle w:val="5"/>
      </w:pPr>
      <w:bookmarkStart w:id="162" w:name="_Toc69908657"/>
      <w:bookmarkStart w:id="163" w:name="_Toc78909673"/>
      <w:r>
        <w:rPr>
          <w:rFonts w:hint="eastAsia"/>
        </w:rPr>
        <w:t>数据质量检查资源规划与设计</w:t>
      </w:r>
      <w:bookmarkEnd w:id="162"/>
      <w:bookmarkEnd w:id="163"/>
    </w:p>
    <w:p>
      <w:pPr>
        <w:pStyle w:val="6"/>
      </w:pPr>
      <w:bookmarkStart w:id="164" w:name="_Toc69908658"/>
      <w:bookmarkStart w:id="165" w:name="_Toc78909674"/>
      <w:r>
        <w:rPr>
          <w:rFonts w:hint="eastAsia"/>
        </w:rPr>
        <w:t>检查</w:t>
      </w:r>
      <w:bookmarkEnd w:id="164"/>
      <w:r>
        <w:rPr>
          <w:rFonts w:hint="eastAsia"/>
        </w:rPr>
        <w:t>规则梳理与设计</w:t>
      </w:r>
      <w:bookmarkEnd w:id="165"/>
    </w:p>
    <w:p>
      <w:r>
        <w:rPr>
          <w:rFonts w:hint="eastAsia"/>
        </w:rPr>
        <w:t>根据总局制定的标准与地方相关要求、标准，全面梳理检查对象涉及的领域、业务范围、检查事项或内容，灵活设计检查规则，从数据质量的完整性、准确性、规范性、及时性、真实性五个维度，全面设计数据质量检查规则，形成数据质量检查体系的基础资源，全面支撑数据质量检查工作的开展，提升市场主体的数据质量，服务于各级市场监管部门数据应用、数据分析、部门之间数据共享的需求。</w:t>
      </w:r>
    </w:p>
    <w:p>
      <w:r>
        <w:rPr>
          <w:rFonts w:hint="eastAsia"/>
        </w:rPr>
        <w:t>根据国</w:t>
      </w:r>
      <w:r>
        <w:t>家市场监督管理总局办公厅</w:t>
      </w:r>
      <w:r>
        <w:rPr>
          <w:rFonts w:hint="eastAsia"/>
        </w:rPr>
        <w:t>下发的（</w:t>
      </w:r>
      <w:r>
        <w:t>市监注发〔2021〕48号</w:t>
      </w:r>
      <w:r>
        <w:rPr>
          <w:rFonts w:hint="eastAsia"/>
        </w:rPr>
        <w:t>）《市场主体数据质量评价指南（第一版）》</w:t>
      </w:r>
      <w:r>
        <w:t>文件</w:t>
      </w:r>
      <w:r>
        <w:rPr>
          <w:rFonts w:hint="eastAsia"/>
        </w:rPr>
        <w:t>规定的检查内容，梳理并设计检查规则。</w:t>
      </w:r>
    </w:p>
    <w:p>
      <w:pPr>
        <w:pStyle w:val="7"/>
      </w:pPr>
      <w:bookmarkStart w:id="166" w:name="_Toc78909676"/>
      <w:r>
        <w:rPr>
          <w:rFonts w:hint="eastAsia"/>
        </w:rPr>
        <w:t>完整性检查规则设计</w:t>
      </w:r>
      <w:bookmarkEnd w:id="166"/>
    </w:p>
    <w:p>
      <w:r>
        <w:rPr>
          <w:rFonts w:hint="eastAsia"/>
        </w:rPr>
        <w:t>完整性检查规则主要包括数据完整性检查，涉及的检查对象包括内资企业、外资企业、农民专业合作社、个体工商户、一照多址、证照分离、股权冻结、简易注销、企业注销便利化、集团公示信息、营业执照作废声明、小微企业名录、电子营业照以及表关联完整性检查等</w:t>
      </w:r>
    </w:p>
    <w:p>
      <w:pPr>
        <w:pStyle w:val="8"/>
      </w:pPr>
      <w:r>
        <w:rPr>
          <w:rFonts w:hint="eastAsia"/>
        </w:rPr>
        <w:t>数据完整性检查规则设计</w:t>
      </w:r>
    </w:p>
    <w:p>
      <w:r>
        <w:rPr>
          <w:rFonts w:hint="eastAsia"/>
        </w:rPr>
        <w:t>涉及的检查对象包括内资企业、外资企业、农民专业合作社、个体工商户、一照多址、证照分离、股权冻结、简易注销、企业注销便利化、集团公示信息、营业执照作废声明、小微企业名录、电子营业照等。</w:t>
      </w:r>
    </w:p>
    <w:p>
      <w:pPr>
        <w:pStyle w:val="9"/>
      </w:pPr>
      <w:r>
        <w:rPr>
          <w:rFonts w:hint="eastAsia"/>
        </w:rPr>
        <w:t>内资企业</w:t>
      </w:r>
    </w:p>
    <w:p>
      <w:r>
        <w:rPr>
          <w:rFonts w:hint="eastAsia"/>
        </w:rPr>
        <w:t>包括企业基本信息、主要人员信息、投资人及出资信息、投资人认缴详细、分支机构备案信息、隶属企业信息、变更登记情况、注销信息、注销信息、吊销信息、撤销信息、迁出信息、迁入信息、股权出质登记信息。</w:t>
      </w:r>
    </w:p>
    <w:tbl>
      <w:tblPr>
        <w:tblStyle w:val="30"/>
        <w:tblW w:w="5000" w:type="pct"/>
        <w:tblInd w:w="0" w:type="dxa"/>
        <w:tblLayout w:type="fixed"/>
        <w:tblCellMar>
          <w:top w:w="0" w:type="dxa"/>
          <w:left w:w="108" w:type="dxa"/>
          <w:bottom w:w="0" w:type="dxa"/>
          <w:right w:w="108" w:type="dxa"/>
        </w:tblCellMar>
      </w:tblPr>
      <w:tblGrid>
        <w:gridCol w:w="884"/>
        <w:gridCol w:w="2997"/>
        <w:gridCol w:w="466"/>
        <w:gridCol w:w="652"/>
        <w:gridCol w:w="486"/>
        <w:gridCol w:w="583"/>
        <w:gridCol w:w="468"/>
        <w:gridCol w:w="468"/>
        <w:gridCol w:w="468"/>
        <w:gridCol w:w="468"/>
        <w:gridCol w:w="1370"/>
      </w:tblGrid>
      <w:tr>
        <w:tblPrEx>
          <w:tblCellMar>
            <w:top w:w="0" w:type="dxa"/>
            <w:left w:w="108" w:type="dxa"/>
            <w:bottom w:w="0" w:type="dxa"/>
            <w:right w:w="108" w:type="dxa"/>
          </w:tblCellMar>
        </w:tblPrEx>
        <w:trPr>
          <w:trHeight w:val="780" w:hRule="atLeast"/>
        </w:trPr>
        <w:tc>
          <w:tcPr>
            <w:tcW w:w="474" w:type="pct"/>
            <w:tcBorders>
              <w:top w:val="single" w:color="auto" w:sz="4" w:space="0"/>
              <w:left w:val="single" w:color="auto" w:sz="4" w:space="0"/>
              <w:bottom w:val="single" w:color="auto" w:sz="4" w:space="0"/>
              <w:right w:val="single" w:color="auto" w:sz="4" w:space="0"/>
            </w:tcBorders>
          </w:tcPr>
          <w:p>
            <w:pPr>
              <w:pStyle w:val="46"/>
            </w:pPr>
            <w:r>
              <w:rPr>
                <w:rFonts w:hint="eastAsia"/>
              </w:rPr>
              <w:t>信息类别</w:t>
            </w:r>
          </w:p>
        </w:tc>
        <w:tc>
          <w:tcPr>
            <w:tcW w:w="1609" w:type="pct"/>
            <w:tcBorders>
              <w:top w:val="single" w:color="auto" w:sz="4" w:space="0"/>
              <w:left w:val="nil"/>
              <w:bottom w:val="single" w:color="auto" w:sz="4" w:space="0"/>
              <w:right w:val="single" w:color="auto" w:sz="4" w:space="0"/>
            </w:tcBorders>
          </w:tcPr>
          <w:p>
            <w:pPr>
              <w:pStyle w:val="46"/>
            </w:pPr>
            <w:r>
              <w:rPr>
                <w:rFonts w:hint="eastAsia"/>
              </w:rPr>
              <w:t>指标项</w:t>
            </w:r>
          </w:p>
        </w:tc>
        <w:tc>
          <w:tcPr>
            <w:tcW w:w="250" w:type="pct"/>
            <w:tcBorders>
              <w:top w:val="single" w:color="auto" w:sz="4" w:space="0"/>
              <w:left w:val="nil"/>
              <w:bottom w:val="single" w:color="auto" w:sz="4" w:space="0"/>
              <w:right w:val="single" w:color="auto" w:sz="4" w:space="0"/>
            </w:tcBorders>
          </w:tcPr>
          <w:p>
            <w:pPr>
              <w:pStyle w:val="46"/>
            </w:pPr>
            <w:r>
              <w:rPr>
                <w:rFonts w:hint="eastAsia"/>
              </w:rPr>
              <w:t>有限责任公司</w:t>
            </w:r>
          </w:p>
        </w:tc>
        <w:tc>
          <w:tcPr>
            <w:tcW w:w="350" w:type="pct"/>
            <w:tcBorders>
              <w:top w:val="single" w:color="auto" w:sz="4" w:space="0"/>
              <w:left w:val="nil"/>
              <w:bottom w:val="single" w:color="auto" w:sz="4" w:space="0"/>
              <w:right w:val="single" w:color="auto" w:sz="4" w:space="0"/>
            </w:tcBorders>
          </w:tcPr>
          <w:p>
            <w:pPr>
              <w:pStyle w:val="46"/>
            </w:pPr>
            <w:r>
              <w:rPr>
                <w:rFonts w:hint="eastAsia"/>
              </w:rPr>
              <w:t>有限责任公司分公司</w:t>
            </w:r>
          </w:p>
        </w:tc>
        <w:tc>
          <w:tcPr>
            <w:tcW w:w="261" w:type="pct"/>
            <w:tcBorders>
              <w:top w:val="single" w:color="auto" w:sz="4" w:space="0"/>
              <w:left w:val="nil"/>
              <w:bottom w:val="single" w:color="auto" w:sz="4" w:space="0"/>
              <w:right w:val="single" w:color="auto" w:sz="4" w:space="0"/>
            </w:tcBorders>
          </w:tcPr>
          <w:p>
            <w:pPr>
              <w:pStyle w:val="46"/>
            </w:pPr>
            <w:r>
              <w:rPr>
                <w:rFonts w:hint="eastAsia"/>
              </w:rPr>
              <w:t>股份有限公司</w:t>
            </w:r>
          </w:p>
        </w:tc>
        <w:tc>
          <w:tcPr>
            <w:tcW w:w="313" w:type="pct"/>
            <w:tcBorders>
              <w:top w:val="single" w:color="auto" w:sz="4" w:space="0"/>
              <w:left w:val="nil"/>
              <w:bottom w:val="single" w:color="auto" w:sz="4" w:space="0"/>
              <w:right w:val="single" w:color="auto" w:sz="4" w:space="0"/>
            </w:tcBorders>
          </w:tcPr>
          <w:p>
            <w:pPr>
              <w:pStyle w:val="46"/>
            </w:pPr>
            <w:r>
              <w:rPr>
                <w:rFonts w:hint="eastAsia"/>
              </w:rPr>
              <w:t>股份有限公司分公司</w:t>
            </w:r>
          </w:p>
        </w:tc>
        <w:tc>
          <w:tcPr>
            <w:tcW w:w="251" w:type="pct"/>
            <w:tcBorders>
              <w:top w:val="single" w:color="auto" w:sz="4" w:space="0"/>
              <w:left w:val="nil"/>
              <w:bottom w:val="single" w:color="auto" w:sz="4" w:space="0"/>
              <w:right w:val="single" w:color="auto" w:sz="4" w:space="0"/>
            </w:tcBorders>
          </w:tcPr>
          <w:p>
            <w:pPr>
              <w:pStyle w:val="46"/>
            </w:pPr>
            <w:r>
              <w:rPr>
                <w:rFonts w:hint="eastAsia"/>
              </w:rPr>
              <w:t>内资企业法人</w:t>
            </w:r>
          </w:p>
        </w:tc>
        <w:tc>
          <w:tcPr>
            <w:tcW w:w="251" w:type="pct"/>
            <w:tcBorders>
              <w:top w:val="single" w:color="auto" w:sz="4" w:space="0"/>
              <w:left w:val="nil"/>
              <w:bottom w:val="single" w:color="auto" w:sz="4" w:space="0"/>
              <w:right w:val="single" w:color="auto" w:sz="4" w:space="0"/>
            </w:tcBorders>
          </w:tcPr>
          <w:p>
            <w:pPr>
              <w:pStyle w:val="46"/>
            </w:pPr>
            <w:r>
              <w:rPr>
                <w:rFonts w:hint="eastAsia"/>
              </w:rPr>
              <w:t>合伙企业</w:t>
            </w:r>
          </w:p>
        </w:tc>
        <w:tc>
          <w:tcPr>
            <w:tcW w:w="251" w:type="pct"/>
            <w:tcBorders>
              <w:top w:val="single" w:color="auto" w:sz="4" w:space="0"/>
              <w:left w:val="nil"/>
              <w:bottom w:val="single" w:color="auto" w:sz="4" w:space="0"/>
              <w:right w:val="single" w:color="auto" w:sz="4" w:space="0"/>
            </w:tcBorders>
          </w:tcPr>
          <w:p>
            <w:pPr>
              <w:pStyle w:val="46"/>
            </w:pPr>
            <w:r>
              <w:rPr>
                <w:rFonts w:hint="eastAsia"/>
              </w:rPr>
              <w:t>个人独资企业</w:t>
            </w:r>
          </w:p>
        </w:tc>
        <w:tc>
          <w:tcPr>
            <w:tcW w:w="251" w:type="pct"/>
            <w:tcBorders>
              <w:top w:val="single" w:color="auto" w:sz="4" w:space="0"/>
              <w:left w:val="nil"/>
              <w:bottom w:val="single" w:color="auto" w:sz="4" w:space="0"/>
              <w:right w:val="single" w:color="auto" w:sz="4" w:space="0"/>
            </w:tcBorders>
          </w:tcPr>
          <w:p>
            <w:pPr>
              <w:pStyle w:val="46"/>
            </w:pPr>
            <w:r>
              <w:rPr>
                <w:rFonts w:hint="eastAsia"/>
              </w:rPr>
              <w:t>完整性</w:t>
            </w:r>
          </w:p>
        </w:tc>
        <w:tc>
          <w:tcPr>
            <w:tcW w:w="735" w:type="pct"/>
            <w:tcBorders>
              <w:top w:val="single" w:color="auto" w:sz="4" w:space="0"/>
              <w:left w:val="nil"/>
              <w:bottom w:val="single" w:color="auto" w:sz="4" w:space="0"/>
              <w:right w:val="single" w:color="auto" w:sz="4" w:space="0"/>
            </w:tcBorders>
            <w:noWrap/>
          </w:tcPr>
          <w:p>
            <w:pPr>
              <w:pStyle w:val="46"/>
            </w:pPr>
            <w:r>
              <w:rPr>
                <w:rFonts w:hint="eastAsia"/>
              </w:rPr>
              <w:t>备注信息</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企业基本信息</w:t>
            </w:r>
          </w:p>
        </w:tc>
        <w:tc>
          <w:tcPr>
            <w:tcW w:w="1609" w:type="pct"/>
            <w:tcBorders>
              <w:top w:val="nil"/>
              <w:left w:val="nil"/>
              <w:bottom w:val="single" w:color="auto" w:sz="4" w:space="0"/>
              <w:right w:val="single" w:color="auto" w:sz="4" w:space="0"/>
            </w:tcBorders>
            <w:vAlign w:val="bottom"/>
          </w:tcPr>
          <w:p>
            <w:pPr>
              <w:pStyle w:val="46"/>
            </w:pPr>
            <w:r>
              <w:rPr>
                <w:rFonts w:hint="eastAsia"/>
              </w:rPr>
              <w:t>主体身份代码</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统一社会信用代码</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企业(机构)名称</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注册号</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市场主体类型</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注册资本(金)</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实收资本</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行业门类</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行业代码</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成立日期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登记机关</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核准日期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72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法定代表人（负责人、执行事务合伙人、投资人）</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经营(业务)范围</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经营(驻在)期限自</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经营(驻在)期限至</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noWrap/>
            <w:vAlign w:val="bottom"/>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登记状态</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住所</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住所所在行政区划</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属地市场监管所</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主要人员信息</w:t>
            </w:r>
          </w:p>
        </w:tc>
        <w:tc>
          <w:tcPr>
            <w:tcW w:w="1609" w:type="pct"/>
            <w:tcBorders>
              <w:top w:val="nil"/>
              <w:left w:val="nil"/>
              <w:bottom w:val="single" w:color="auto" w:sz="4" w:space="0"/>
              <w:right w:val="single" w:color="auto" w:sz="4" w:space="0"/>
            </w:tcBorders>
            <w:vAlign w:val="bottom"/>
          </w:tcPr>
          <w:p>
            <w:pPr>
              <w:pStyle w:val="46"/>
            </w:pPr>
            <w:r>
              <w:rPr>
                <w:rFonts w:hint="eastAsia"/>
              </w:rPr>
              <w:t>姓名</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证件类型</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证件号码</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职务</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48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法定代表人（负责人）标志</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投资人及出资信息</w:t>
            </w:r>
          </w:p>
        </w:tc>
        <w:tc>
          <w:tcPr>
            <w:tcW w:w="1609" w:type="pct"/>
            <w:tcBorders>
              <w:top w:val="nil"/>
              <w:left w:val="nil"/>
              <w:bottom w:val="single" w:color="auto" w:sz="4" w:space="0"/>
              <w:right w:val="single" w:color="auto" w:sz="4" w:space="0"/>
            </w:tcBorders>
            <w:vAlign w:val="bottom"/>
          </w:tcPr>
          <w:p>
            <w:pPr>
              <w:pStyle w:val="46"/>
            </w:pPr>
            <w:r>
              <w:rPr>
                <w:rFonts w:hint="eastAsia"/>
              </w:rPr>
              <w:t>投资人</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证件/照类型</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证件/照号码</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实缴出资额</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noWrap/>
            <w:vAlign w:val="bottom"/>
          </w:tcPr>
          <w:p>
            <w:pPr>
              <w:pStyle w:val="46"/>
            </w:pPr>
            <w:r>
              <w:rPr>
                <w:rFonts w:hint="eastAsia"/>
              </w:rPr>
              <w:t>　</w:t>
            </w:r>
          </w:p>
        </w:tc>
        <w:tc>
          <w:tcPr>
            <w:tcW w:w="251" w:type="pct"/>
            <w:tcBorders>
              <w:top w:val="nil"/>
              <w:left w:val="nil"/>
              <w:bottom w:val="single" w:color="auto" w:sz="4" w:space="0"/>
              <w:right w:val="single" w:color="auto" w:sz="4" w:space="0"/>
            </w:tcBorders>
            <w:noWrap/>
            <w:vAlign w:val="bottom"/>
          </w:tcPr>
          <w:p>
            <w:pPr>
              <w:pStyle w:val="46"/>
            </w:pPr>
            <w:r>
              <w:rPr>
                <w:rFonts w:hint="eastAsia"/>
              </w:rPr>
              <w:t>　</w:t>
            </w:r>
          </w:p>
        </w:tc>
        <w:tc>
          <w:tcPr>
            <w:tcW w:w="251" w:type="pct"/>
            <w:tcBorders>
              <w:top w:val="nil"/>
              <w:left w:val="nil"/>
              <w:bottom w:val="single" w:color="auto" w:sz="4" w:space="0"/>
              <w:right w:val="single" w:color="auto" w:sz="4" w:space="0"/>
            </w:tcBorders>
            <w:noWrap/>
            <w:vAlign w:val="bottom"/>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投资人类型</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出资方式</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出资日期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认缴出资额</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执行合伙事务标志</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投资人认缴详细</w:t>
            </w:r>
          </w:p>
        </w:tc>
        <w:tc>
          <w:tcPr>
            <w:tcW w:w="1609" w:type="pct"/>
            <w:tcBorders>
              <w:top w:val="nil"/>
              <w:left w:val="nil"/>
              <w:bottom w:val="single" w:color="auto" w:sz="4" w:space="0"/>
              <w:right w:val="single" w:color="auto" w:sz="4" w:space="0"/>
            </w:tcBorders>
            <w:noWrap/>
            <w:vAlign w:val="bottom"/>
          </w:tcPr>
          <w:p>
            <w:pPr>
              <w:pStyle w:val="46"/>
            </w:pPr>
            <w:r>
              <w:rPr>
                <w:rFonts w:hint="eastAsia"/>
              </w:rPr>
              <w:t>认缴出资额</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bottom"/>
          </w:tcPr>
          <w:p>
            <w:pPr>
              <w:pStyle w:val="46"/>
            </w:pPr>
            <w:r>
              <w:rPr>
                <w:rFonts w:hint="eastAsia"/>
              </w:rPr>
              <w:t>认缴出资方式</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bottom"/>
          </w:tcPr>
          <w:p>
            <w:pPr>
              <w:pStyle w:val="46"/>
            </w:pPr>
            <w:r>
              <w:rPr>
                <w:rFonts w:hint="eastAsia"/>
              </w:rPr>
              <w:t>认缴出资日期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分支机构备案信息</w:t>
            </w:r>
          </w:p>
        </w:tc>
        <w:tc>
          <w:tcPr>
            <w:tcW w:w="1609" w:type="pct"/>
            <w:tcBorders>
              <w:top w:val="nil"/>
              <w:left w:val="nil"/>
              <w:bottom w:val="single" w:color="auto" w:sz="4" w:space="0"/>
              <w:right w:val="single" w:color="auto" w:sz="4" w:space="0"/>
            </w:tcBorders>
            <w:noWrap/>
            <w:vAlign w:val="bottom"/>
          </w:tcPr>
          <w:p>
            <w:pPr>
              <w:pStyle w:val="46"/>
            </w:pPr>
            <w:r>
              <w:rPr>
                <w:rFonts w:hint="eastAsia"/>
              </w:rPr>
              <w:t>分支机构名称</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bottom"/>
          </w:tcPr>
          <w:p>
            <w:pPr>
              <w:pStyle w:val="46"/>
            </w:pPr>
            <w:r>
              <w:rPr>
                <w:rFonts w:hint="eastAsia"/>
              </w:rPr>
              <w:t>注册号</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bottom"/>
          </w:tcPr>
          <w:p>
            <w:pPr>
              <w:pStyle w:val="46"/>
            </w:pPr>
            <w:r>
              <w:rPr>
                <w:rFonts w:hint="eastAsia"/>
              </w:rPr>
              <w:t>统一社会信用代码</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bottom"/>
          </w:tcPr>
          <w:p>
            <w:pPr>
              <w:pStyle w:val="46"/>
            </w:pPr>
            <w:r>
              <w:rPr>
                <w:rFonts w:hint="eastAsia"/>
              </w:rPr>
              <w:t>登记机关</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bottom"/>
          </w:tcPr>
          <w:p>
            <w:pPr>
              <w:pStyle w:val="46"/>
            </w:pPr>
            <w:r>
              <w:rPr>
                <w:rFonts w:hint="eastAsia"/>
              </w:rPr>
              <w:t>登记日期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隶属企业信息</w:t>
            </w:r>
          </w:p>
        </w:tc>
        <w:tc>
          <w:tcPr>
            <w:tcW w:w="1609" w:type="pct"/>
            <w:tcBorders>
              <w:top w:val="nil"/>
              <w:left w:val="nil"/>
              <w:bottom w:val="single" w:color="auto" w:sz="4" w:space="0"/>
              <w:right w:val="single" w:color="auto" w:sz="4" w:space="0"/>
            </w:tcBorders>
            <w:vAlign w:val="bottom"/>
          </w:tcPr>
          <w:p>
            <w:pPr>
              <w:pStyle w:val="46"/>
            </w:pPr>
            <w:r>
              <w:rPr>
                <w:rFonts w:hint="eastAsia"/>
              </w:rPr>
              <w:t>隶属企业机构名称</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隶属企业注册号</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48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隶属企业统一社会信用代码</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变更登记情况</w:t>
            </w:r>
          </w:p>
        </w:tc>
        <w:tc>
          <w:tcPr>
            <w:tcW w:w="1609" w:type="pct"/>
            <w:tcBorders>
              <w:top w:val="nil"/>
              <w:left w:val="nil"/>
              <w:bottom w:val="single" w:color="auto" w:sz="4" w:space="0"/>
              <w:right w:val="single" w:color="auto" w:sz="4" w:space="0"/>
            </w:tcBorders>
            <w:vAlign w:val="bottom"/>
          </w:tcPr>
          <w:p>
            <w:pPr>
              <w:pStyle w:val="46"/>
            </w:pPr>
            <w:r>
              <w:rPr>
                <w:rFonts w:hint="eastAsia"/>
              </w:rPr>
              <w:t>变更事项</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vMerge w:val="restart"/>
            <w:tcBorders>
              <w:top w:val="nil"/>
              <w:left w:val="single" w:color="auto" w:sz="4" w:space="0"/>
              <w:bottom w:val="single" w:color="auto" w:sz="4" w:space="0"/>
              <w:right w:val="single" w:color="auto" w:sz="4" w:space="0"/>
            </w:tcBorders>
            <w:vAlign w:val="bottom"/>
          </w:tcPr>
          <w:p>
            <w:pPr>
              <w:pStyle w:val="46"/>
            </w:pPr>
            <w:r>
              <w:rPr>
                <w:rFonts w:hint="eastAsia"/>
              </w:rPr>
              <w:t>变更前内容、变更后内容至少一项不为空</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变更前内容</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vMerge w:val="continue"/>
            <w:tcBorders>
              <w:top w:val="nil"/>
              <w:left w:val="single" w:color="auto" w:sz="4" w:space="0"/>
              <w:bottom w:val="single" w:color="auto" w:sz="4" w:space="0"/>
              <w:right w:val="single" w:color="auto" w:sz="4" w:space="0"/>
            </w:tcBorders>
            <w:vAlign w:val="center"/>
          </w:tcPr>
          <w:p>
            <w:pPr>
              <w:pStyle w:val="46"/>
            </w:pP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变更日期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vMerge w:val="continue"/>
            <w:tcBorders>
              <w:top w:val="nil"/>
              <w:left w:val="single" w:color="auto" w:sz="4" w:space="0"/>
              <w:bottom w:val="single" w:color="auto" w:sz="4" w:space="0"/>
              <w:right w:val="single" w:color="auto" w:sz="4" w:space="0"/>
            </w:tcBorders>
            <w:vAlign w:val="center"/>
          </w:tcPr>
          <w:p>
            <w:pPr>
              <w:pStyle w:val="46"/>
            </w:pP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变更后内容</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vMerge w:val="continue"/>
            <w:tcBorders>
              <w:top w:val="nil"/>
              <w:left w:val="single" w:color="auto" w:sz="4" w:space="0"/>
              <w:bottom w:val="single" w:color="auto" w:sz="4" w:space="0"/>
              <w:right w:val="single" w:color="auto" w:sz="4" w:space="0"/>
            </w:tcBorders>
            <w:vAlign w:val="center"/>
          </w:tcPr>
          <w:p>
            <w:pPr>
              <w:pStyle w:val="46"/>
            </w:pPr>
          </w:p>
        </w:tc>
      </w:tr>
      <w:tr>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注销信息</w:t>
            </w:r>
          </w:p>
        </w:tc>
        <w:tc>
          <w:tcPr>
            <w:tcW w:w="1609" w:type="pct"/>
            <w:tcBorders>
              <w:top w:val="nil"/>
              <w:left w:val="nil"/>
              <w:bottom w:val="single" w:color="auto" w:sz="4" w:space="0"/>
              <w:right w:val="single" w:color="auto" w:sz="4" w:space="0"/>
            </w:tcBorders>
            <w:vAlign w:val="bottom"/>
          </w:tcPr>
          <w:p>
            <w:pPr>
              <w:pStyle w:val="46"/>
            </w:pPr>
            <w:r>
              <w:rPr>
                <w:rFonts w:hint="eastAsia"/>
              </w:rPr>
              <w:t>注销日期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注销原因</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吊销信息</w:t>
            </w:r>
          </w:p>
        </w:tc>
        <w:tc>
          <w:tcPr>
            <w:tcW w:w="1609" w:type="pct"/>
            <w:tcBorders>
              <w:top w:val="nil"/>
              <w:left w:val="nil"/>
              <w:bottom w:val="single" w:color="auto" w:sz="4" w:space="0"/>
              <w:right w:val="single" w:color="auto" w:sz="4" w:space="0"/>
            </w:tcBorders>
            <w:vAlign w:val="bottom"/>
          </w:tcPr>
          <w:p>
            <w:pPr>
              <w:pStyle w:val="46"/>
            </w:pPr>
            <w:r>
              <w:rPr>
                <w:rFonts w:hint="eastAsia"/>
              </w:rPr>
              <w:t>吊销依据</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吊销日期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撤销信息</w:t>
            </w:r>
          </w:p>
        </w:tc>
        <w:tc>
          <w:tcPr>
            <w:tcW w:w="1609" w:type="pct"/>
            <w:tcBorders>
              <w:top w:val="nil"/>
              <w:left w:val="nil"/>
              <w:bottom w:val="single" w:color="auto" w:sz="4" w:space="0"/>
              <w:right w:val="single" w:color="auto" w:sz="4" w:space="0"/>
            </w:tcBorders>
            <w:noWrap/>
            <w:vAlign w:val="center"/>
          </w:tcPr>
          <w:p>
            <w:pPr>
              <w:pStyle w:val="46"/>
            </w:pPr>
            <w:r>
              <w:rPr>
                <w:rFonts w:hint="eastAsia"/>
              </w:rPr>
              <w:t>撤销登记类型</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撤销对象</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撤销原因</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撤销日期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迁出信息</w:t>
            </w:r>
          </w:p>
        </w:tc>
        <w:tc>
          <w:tcPr>
            <w:tcW w:w="1609" w:type="pct"/>
            <w:tcBorders>
              <w:top w:val="nil"/>
              <w:left w:val="nil"/>
              <w:bottom w:val="single" w:color="auto" w:sz="4" w:space="0"/>
              <w:right w:val="single" w:color="auto" w:sz="4" w:space="0"/>
            </w:tcBorders>
            <w:vAlign w:val="bottom"/>
          </w:tcPr>
          <w:p>
            <w:pPr>
              <w:pStyle w:val="46"/>
            </w:pPr>
            <w:r>
              <w:rPr>
                <w:rFonts w:hint="eastAsia"/>
              </w:rPr>
              <w:t>迁入地区</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迁出原因</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迁入地登记机关</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迁出日期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迁出函号</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迁入信息</w:t>
            </w:r>
          </w:p>
        </w:tc>
        <w:tc>
          <w:tcPr>
            <w:tcW w:w="1609" w:type="pct"/>
            <w:tcBorders>
              <w:top w:val="nil"/>
              <w:left w:val="nil"/>
              <w:bottom w:val="single" w:color="auto" w:sz="4" w:space="0"/>
              <w:right w:val="single" w:color="auto" w:sz="4" w:space="0"/>
            </w:tcBorders>
            <w:vAlign w:val="bottom"/>
          </w:tcPr>
          <w:p>
            <w:pPr>
              <w:pStyle w:val="46"/>
            </w:pPr>
            <w:r>
              <w:rPr>
                <w:rFonts w:hint="eastAsia"/>
              </w:rPr>
              <w:t>迁出地登记机关</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迁入原因</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迁出地区</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迁入函号</w:t>
            </w:r>
          </w:p>
        </w:tc>
        <w:tc>
          <w:tcPr>
            <w:tcW w:w="250" w:type="pct"/>
            <w:tcBorders>
              <w:top w:val="nil"/>
              <w:left w:val="nil"/>
              <w:bottom w:val="single" w:color="auto" w:sz="4" w:space="0"/>
              <w:right w:val="single" w:color="auto" w:sz="4" w:space="0"/>
            </w:tcBorders>
            <w:vAlign w:val="center"/>
          </w:tcPr>
          <w:p>
            <w:pPr>
              <w:pStyle w:val="46"/>
            </w:pPr>
            <w:r>
              <w:rPr>
                <w:rFonts w:hint="eastAsia"/>
              </w:rPr>
              <w:t>　</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　</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vAlign w:val="bottom"/>
          </w:tcPr>
          <w:p>
            <w:pPr>
              <w:pStyle w:val="46"/>
            </w:pPr>
            <w:r>
              <w:rPr>
                <w:rFonts w:hint="eastAsia"/>
              </w:rPr>
              <w:t>迁入日期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股权出质登记信息</w:t>
            </w:r>
          </w:p>
        </w:tc>
        <w:tc>
          <w:tcPr>
            <w:tcW w:w="1609" w:type="pct"/>
            <w:tcBorders>
              <w:top w:val="nil"/>
              <w:left w:val="nil"/>
              <w:bottom w:val="single" w:color="auto" w:sz="4" w:space="0"/>
              <w:right w:val="single" w:color="auto" w:sz="4" w:space="0"/>
            </w:tcBorders>
            <w:noWrap/>
            <w:vAlign w:val="center"/>
          </w:tcPr>
          <w:p>
            <w:pPr>
              <w:pStyle w:val="46"/>
            </w:pPr>
            <w:r>
              <w:rPr>
                <w:rFonts w:hint="eastAsia"/>
              </w:rPr>
              <w:t>股权登记编号</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出质人</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出质人类型</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出质人类型（中文名称）</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出质人证照号码</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出质股权数额单位</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出质股权数额</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出质股权数额币种</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出质股权数额币种（中文名称）</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质权人</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质权人类型</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质权人类型（中文名称）</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质权人证照号码</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股权出质登记日期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状态</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注销日期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注销原因</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撤销日期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撤销原因</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变更日期</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474" w:type="pct"/>
            <w:vMerge w:val="continue"/>
            <w:tcBorders>
              <w:top w:val="nil"/>
              <w:left w:val="single" w:color="auto" w:sz="4" w:space="0"/>
              <w:bottom w:val="single" w:color="auto" w:sz="4" w:space="0"/>
              <w:right w:val="single" w:color="auto" w:sz="4" w:space="0"/>
            </w:tcBorders>
            <w:vAlign w:val="center"/>
          </w:tcPr>
          <w:p>
            <w:pPr>
              <w:pStyle w:val="46"/>
            </w:pPr>
          </w:p>
        </w:tc>
        <w:tc>
          <w:tcPr>
            <w:tcW w:w="1609" w:type="pct"/>
            <w:tcBorders>
              <w:top w:val="nil"/>
              <w:left w:val="nil"/>
              <w:bottom w:val="single" w:color="auto" w:sz="4" w:space="0"/>
              <w:right w:val="single" w:color="auto" w:sz="4" w:space="0"/>
            </w:tcBorders>
            <w:noWrap/>
            <w:vAlign w:val="center"/>
          </w:tcPr>
          <w:p>
            <w:pPr>
              <w:pStyle w:val="46"/>
            </w:pPr>
            <w:r>
              <w:rPr>
                <w:rFonts w:hint="eastAsia"/>
              </w:rPr>
              <w:t>变更内容</w:t>
            </w:r>
          </w:p>
        </w:tc>
        <w:tc>
          <w:tcPr>
            <w:tcW w:w="250" w:type="pct"/>
            <w:tcBorders>
              <w:top w:val="nil"/>
              <w:left w:val="nil"/>
              <w:bottom w:val="single" w:color="auto" w:sz="4" w:space="0"/>
              <w:right w:val="single" w:color="auto" w:sz="4" w:space="0"/>
            </w:tcBorders>
            <w:vAlign w:val="center"/>
          </w:tcPr>
          <w:p>
            <w:pPr>
              <w:pStyle w:val="46"/>
            </w:pPr>
            <w:r>
              <w:rPr>
                <w:rFonts w:hint="eastAsia"/>
              </w:rPr>
              <w:t>√</w:t>
            </w:r>
          </w:p>
        </w:tc>
        <w:tc>
          <w:tcPr>
            <w:tcW w:w="350" w:type="pct"/>
            <w:tcBorders>
              <w:top w:val="nil"/>
              <w:left w:val="nil"/>
              <w:bottom w:val="single" w:color="auto" w:sz="4" w:space="0"/>
              <w:right w:val="single" w:color="auto" w:sz="4" w:space="0"/>
            </w:tcBorders>
            <w:vAlign w:val="center"/>
          </w:tcPr>
          <w:p>
            <w:pPr>
              <w:pStyle w:val="46"/>
            </w:pPr>
            <w:r>
              <w:rPr>
                <w:rFonts w:hint="eastAsia"/>
              </w:rPr>
              <w:t>　</w:t>
            </w:r>
          </w:p>
        </w:tc>
        <w:tc>
          <w:tcPr>
            <w:tcW w:w="261" w:type="pct"/>
            <w:tcBorders>
              <w:top w:val="nil"/>
              <w:left w:val="nil"/>
              <w:bottom w:val="single" w:color="auto" w:sz="4" w:space="0"/>
              <w:right w:val="single" w:color="auto" w:sz="4" w:space="0"/>
            </w:tcBorders>
            <w:vAlign w:val="center"/>
          </w:tcPr>
          <w:p>
            <w:pPr>
              <w:pStyle w:val="46"/>
            </w:pPr>
            <w:r>
              <w:rPr>
                <w:rFonts w:hint="eastAsia"/>
              </w:rPr>
              <w:t>√</w:t>
            </w:r>
          </w:p>
        </w:tc>
        <w:tc>
          <w:tcPr>
            <w:tcW w:w="313"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　</w:t>
            </w:r>
          </w:p>
        </w:tc>
        <w:tc>
          <w:tcPr>
            <w:tcW w:w="251" w:type="pct"/>
            <w:tcBorders>
              <w:top w:val="nil"/>
              <w:left w:val="nil"/>
              <w:bottom w:val="single" w:color="auto" w:sz="4" w:space="0"/>
              <w:right w:val="single" w:color="auto" w:sz="4" w:space="0"/>
            </w:tcBorders>
            <w:vAlign w:val="center"/>
          </w:tcPr>
          <w:p>
            <w:pPr>
              <w:pStyle w:val="46"/>
            </w:pPr>
            <w:r>
              <w:rPr>
                <w:rFonts w:hint="eastAsia"/>
              </w:rPr>
              <w:t>√</w:t>
            </w:r>
          </w:p>
        </w:tc>
        <w:tc>
          <w:tcPr>
            <w:tcW w:w="735" w:type="pct"/>
            <w:tcBorders>
              <w:top w:val="nil"/>
              <w:left w:val="nil"/>
              <w:bottom w:val="single" w:color="auto" w:sz="4" w:space="0"/>
              <w:right w:val="single" w:color="auto" w:sz="4" w:space="0"/>
            </w:tcBorders>
            <w:noWrap/>
            <w:vAlign w:val="bottom"/>
          </w:tcPr>
          <w:p>
            <w:pPr>
              <w:pStyle w:val="46"/>
            </w:pPr>
            <w:r>
              <w:rPr>
                <w:rFonts w:hint="eastAsia"/>
              </w:rPr>
              <w:t>　</w:t>
            </w:r>
          </w:p>
        </w:tc>
      </w:tr>
    </w:tbl>
    <w:p>
      <w:pPr>
        <w:pStyle w:val="9"/>
      </w:pPr>
      <w:r>
        <w:rPr>
          <w:rFonts w:hint="eastAsia"/>
        </w:rPr>
        <w:t>外资企业</w:t>
      </w:r>
    </w:p>
    <w:tbl>
      <w:tblPr>
        <w:tblStyle w:val="30"/>
        <w:tblW w:w="4999" w:type="pct"/>
        <w:tblInd w:w="0" w:type="dxa"/>
        <w:tblLayout w:type="fixed"/>
        <w:tblCellMar>
          <w:top w:w="0" w:type="dxa"/>
          <w:left w:w="108" w:type="dxa"/>
          <w:bottom w:w="0" w:type="dxa"/>
          <w:right w:w="108" w:type="dxa"/>
        </w:tblCellMar>
      </w:tblPr>
      <w:tblGrid>
        <w:gridCol w:w="423"/>
        <w:gridCol w:w="891"/>
        <w:gridCol w:w="1833"/>
        <w:gridCol w:w="457"/>
        <w:gridCol w:w="457"/>
        <w:gridCol w:w="443"/>
        <w:gridCol w:w="423"/>
        <w:gridCol w:w="423"/>
        <w:gridCol w:w="423"/>
        <w:gridCol w:w="841"/>
        <w:gridCol w:w="700"/>
        <w:gridCol w:w="730"/>
        <w:gridCol w:w="520"/>
        <w:gridCol w:w="745"/>
      </w:tblGrid>
      <w:tr>
        <w:tblPrEx>
          <w:tblCellMar>
            <w:top w:w="0" w:type="dxa"/>
            <w:left w:w="108" w:type="dxa"/>
            <w:bottom w:w="0" w:type="dxa"/>
            <w:right w:w="108" w:type="dxa"/>
          </w:tblCellMar>
        </w:tblPrEx>
        <w:trPr>
          <w:cantSplit/>
          <w:trHeight w:val="1200" w:hRule="atLeast"/>
        </w:trPr>
        <w:tc>
          <w:tcPr>
            <w:tcW w:w="227" w:type="pct"/>
            <w:tcBorders>
              <w:top w:val="single" w:color="auto" w:sz="4" w:space="0"/>
              <w:left w:val="single" w:color="auto" w:sz="4" w:space="0"/>
              <w:bottom w:val="single" w:color="auto" w:sz="4" w:space="0"/>
              <w:right w:val="single" w:color="auto" w:sz="4" w:space="0"/>
            </w:tcBorders>
          </w:tcPr>
          <w:p>
            <w:pPr>
              <w:pStyle w:val="46"/>
            </w:pPr>
            <w:r>
              <w:rPr>
                <w:rFonts w:hint="eastAsia"/>
              </w:rPr>
              <w:t>业务类别</w:t>
            </w:r>
          </w:p>
        </w:tc>
        <w:tc>
          <w:tcPr>
            <w:tcW w:w="478" w:type="pct"/>
            <w:tcBorders>
              <w:top w:val="single" w:color="auto" w:sz="4" w:space="0"/>
              <w:left w:val="nil"/>
              <w:bottom w:val="single" w:color="auto" w:sz="4" w:space="0"/>
              <w:right w:val="single" w:color="auto" w:sz="4" w:space="0"/>
            </w:tcBorders>
          </w:tcPr>
          <w:p>
            <w:pPr>
              <w:pStyle w:val="46"/>
            </w:pPr>
            <w:r>
              <w:rPr>
                <w:rFonts w:hint="eastAsia"/>
              </w:rPr>
              <w:t>信息类别</w:t>
            </w:r>
          </w:p>
        </w:tc>
        <w:tc>
          <w:tcPr>
            <w:tcW w:w="984" w:type="pct"/>
            <w:tcBorders>
              <w:top w:val="single" w:color="auto" w:sz="4" w:space="0"/>
              <w:left w:val="nil"/>
              <w:bottom w:val="single" w:color="auto" w:sz="4" w:space="0"/>
              <w:right w:val="single" w:color="auto" w:sz="4" w:space="0"/>
            </w:tcBorders>
          </w:tcPr>
          <w:p>
            <w:pPr>
              <w:pStyle w:val="46"/>
            </w:pPr>
            <w:r>
              <w:rPr>
                <w:rFonts w:hint="eastAsia"/>
              </w:rPr>
              <w:t>指标项</w:t>
            </w:r>
          </w:p>
        </w:tc>
        <w:tc>
          <w:tcPr>
            <w:tcW w:w="245" w:type="pct"/>
            <w:tcBorders>
              <w:top w:val="single" w:color="auto" w:sz="4" w:space="0"/>
              <w:left w:val="nil"/>
              <w:bottom w:val="single" w:color="auto" w:sz="4" w:space="0"/>
              <w:right w:val="single" w:color="auto" w:sz="4" w:space="0"/>
            </w:tcBorders>
          </w:tcPr>
          <w:p>
            <w:pPr>
              <w:pStyle w:val="46"/>
            </w:pPr>
            <w:r>
              <w:rPr>
                <w:rFonts w:hint="eastAsia"/>
              </w:rPr>
              <w:t>有限责任公司</w:t>
            </w:r>
          </w:p>
        </w:tc>
        <w:tc>
          <w:tcPr>
            <w:tcW w:w="245" w:type="pct"/>
            <w:tcBorders>
              <w:top w:val="single" w:color="auto" w:sz="4" w:space="0"/>
              <w:left w:val="nil"/>
              <w:bottom w:val="single" w:color="auto" w:sz="4" w:space="0"/>
              <w:right w:val="single" w:color="auto" w:sz="4" w:space="0"/>
            </w:tcBorders>
          </w:tcPr>
          <w:p>
            <w:pPr>
              <w:pStyle w:val="46"/>
            </w:pPr>
            <w:r>
              <w:rPr>
                <w:rFonts w:hint="eastAsia"/>
              </w:rPr>
              <w:t>有限责任公司分公司</w:t>
            </w:r>
          </w:p>
        </w:tc>
        <w:tc>
          <w:tcPr>
            <w:tcW w:w="237" w:type="pct"/>
            <w:tcBorders>
              <w:top w:val="single" w:color="auto" w:sz="4" w:space="0"/>
              <w:left w:val="nil"/>
              <w:bottom w:val="single" w:color="auto" w:sz="4" w:space="0"/>
              <w:right w:val="single" w:color="auto" w:sz="4" w:space="0"/>
            </w:tcBorders>
          </w:tcPr>
          <w:p>
            <w:pPr>
              <w:pStyle w:val="46"/>
            </w:pPr>
            <w:r>
              <w:rPr>
                <w:rFonts w:hint="eastAsia"/>
              </w:rPr>
              <w:t>股份有限公司</w:t>
            </w:r>
          </w:p>
        </w:tc>
        <w:tc>
          <w:tcPr>
            <w:tcW w:w="227" w:type="pct"/>
            <w:tcBorders>
              <w:top w:val="single" w:color="auto" w:sz="4" w:space="0"/>
              <w:left w:val="nil"/>
              <w:bottom w:val="single" w:color="auto" w:sz="4" w:space="0"/>
              <w:right w:val="single" w:color="auto" w:sz="4" w:space="0"/>
            </w:tcBorders>
          </w:tcPr>
          <w:p>
            <w:pPr>
              <w:pStyle w:val="46"/>
            </w:pPr>
            <w:r>
              <w:rPr>
                <w:rFonts w:hint="eastAsia"/>
              </w:rPr>
              <w:t>股份有限公司分公司</w:t>
            </w:r>
          </w:p>
        </w:tc>
        <w:tc>
          <w:tcPr>
            <w:tcW w:w="227" w:type="pct"/>
            <w:tcBorders>
              <w:top w:val="single" w:color="auto" w:sz="4" w:space="0"/>
              <w:left w:val="nil"/>
              <w:bottom w:val="single" w:color="auto" w:sz="4" w:space="0"/>
              <w:right w:val="single" w:color="auto" w:sz="4" w:space="0"/>
            </w:tcBorders>
          </w:tcPr>
          <w:p>
            <w:pPr>
              <w:pStyle w:val="46"/>
            </w:pPr>
            <w:r>
              <w:rPr>
                <w:rFonts w:hint="eastAsia"/>
              </w:rPr>
              <w:t>外资合伙企业</w:t>
            </w:r>
          </w:p>
        </w:tc>
        <w:tc>
          <w:tcPr>
            <w:tcW w:w="227" w:type="pct"/>
            <w:tcBorders>
              <w:top w:val="single" w:color="auto" w:sz="4" w:space="0"/>
              <w:left w:val="nil"/>
              <w:bottom w:val="single" w:color="auto" w:sz="4" w:space="0"/>
              <w:right w:val="single" w:color="auto" w:sz="4" w:space="0"/>
            </w:tcBorders>
          </w:tcPr>
          <w:p>
            <w:pPr>
              <w:pStyle w:val="46"/>
            </w:pPr>
            <w:r>
              <w:rPr>
                <w:rFonts w:hint="eastAsia"/>
              </w:rPr>
              <w:t>外资合伙企业分支机构</w:t>
            </w:r>
          </w:p>
        </w:tc>
        <w:tc>
          <w:tcPr>
            <w:tcW w:w="451" w:type="pct"/>
            <w:tcBorders>
              <w:top w:val="single" w:color="auto" w:sz="4" w:space="0"/>
              <w:left w:val="nil"/>
              <w:bottom w:val="single" w:color="auto" w:sz="4" w:space="0"/>
              <w:right w:val="single" w:color="auto" w:sz="4" w:space="0"/>
            </w:tcBorders>
          </w:tcPr>
          <w:p>
            <w:pPr>
              <w:pStyle w:val="46"/>
            </w:pPr>
            <w:r>
              <w:rPr>
                <w:rFonts w:hint="eastAsia"/>
              </w:rPr>
              <w:t>外国</w:t>
            </w:r>
            <w:r>
              <w:t>(</w:t>
            </w:r>
            <w:r>
              <w:rPr>
                <w:rFonts w:hint="eastAsia"/>
              </w:rPr>
              <w:t>地区</w:t>
            </w:r>
            <w:r>
              <w:t>)</w:t>
            </w:r>
            <w:r>
              <w:rPr>
                <w:rFonts w:hint="eastAsia"/>
              </w:rPr>
              <w:t>企业在中国境内从事经营活动</w:t>
            </w:r>
          </w:p>
        </w:tc>
        <w:tc>
          <w:tcPr>
            <w:tcW w:w="375" w:type="pct"/>
            <w:tcBorders>
              <w:top w:val="single" w:color="auto" w:sz="4" w:space="0"/>
              <w:left w:val="nil"/>
              <w:bottom w:val="single" w:color="auto" w:sz="4" w:space="0"/>
              <w:right w:val="single" w:color="auto" w:sz="4" w:space="0"/>
            </w:tcBorders>
          </w:tcPr>
          <w:p>
            <w:pPr>
              <w:pStyle w:val="46"/>
            </w:pPr>
            <w:r>
              <w:rPr>
                <w:rFonts w:hint="eastAsia"/>
              </w:rPr>
              <w:t>外国(地区)企业常驻代表机构</w:t>
            </w:r>
          </w:p>
        </w:tc>
        <w:tc>
          <w:tcPr>
            <w:tcW w:w="392" w:type="pct"/>
            <w:tcBorders>
              <w:top w:val="single" w:color="auto" w:sz="4" w:space="0"/>
              <w:left w:val="nil"/>
              <w:bottom w:val="single" w:color="auto" w:sz="4" w:space="0"/>
              <w:right w:val="single" w:color="auto" w:sz="4" w:space="0"/>
            </w:tcBorders>
          </w:tcPr>
          <w:p>
            <w:pPr>
              <w:pStyle w:val="46"/>
            </w:pPr>
            <w:r>
              <w:rPr>
                <w:rFonts w:hint="eastAsia"/>
              </w:rPr>
              <w:t>外国（地区）公司分支机构</w:t>
            </w:r>
          </w:p>
        </w:tc>
        <w:tc>
          <w:tcPr>
            <w:tcW w:w="279" w:type="pct"/>
            <w:tcBorders>
              <w:top w:val="single" w:color="auto" w:sz="4" w:space="0"/>
              <w:left w:val="nil"/>
              <w:bottom w:val="single" w:color="auto" w:sz="4" w:space="0"/>
              <w:right w:val="single" w:color="auto" w:sz="4" w:space="0"/>
            </w:tcBorders>
          </w:tcPr>
          <w:p>
            <w:pPr>
              <w:pStyle w:val="46"/>
            </w:pPr>
            <w:r>
              <w:rPr>
                <w:rFonts w:hint="eastAsia"/>
              </w:rPr>
              <w:t>完整性</w:t>
            </w:r>
          </w:p>
        </w:tc>
        <w:tc>
          <w:tcPr>
            <w:tcW w:w="400" w:type="pct"/>
            <w:tcBorders>
              <w:top w:val="single" w:color="auto" w:sz="4" w:space="0"/>
              <w:bottom w:val="single" w:color="auto" w:sz="4" w:space="0"/>
              <w:right w:val="single" w:color="auto" w:sz="4" w:space="0"/>
            </w:tcBorders>
            <w:noWrap/>
          </w:tcPr>
          <w:p>
            <w:pPr>
              <w:pStyle w:val="46"/>
            </w:pPr>
            <w:r>
              <w:rPr>
                <w:rFonts w:hint="eastAsia"/>
              </w:rPr>
              <w:t>备注信息</w:t>
            </w:r>
          </w:p>
        </w:tc>
      </w:tr>
      <w:tr>
        <w:tblPrEx>
          <w:tblCellMar>
            <w:top w:w="0" w:type="dxa"/>
            <w:left w:w="108" w:type="dxa"/>
            <w:bottom w:w="0" w:type="dxa"/>
            <w:right w:w="108" w:type="dxa"/>
          </w:tblCellMar>
        </w:tblPrEx>
        <w:trPr>
          <w:cantSplit/>
          <w:trHeight w:val="240" w:hRule="atLeast"/>
        </w:trPr>
        <w:tc>
          <w:tcPr>
            <w:tcW w:w="227"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外资准入与退出信息</w:t>
            </w: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企业(机构)基本信息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主体身份代码</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统一社会信用代码</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企业(机构)名称</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注册号</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企业(机构)类型</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注册资本(金)</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行业门类</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行业代码</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成立日期</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48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法定代表人（负责人、常驻代表、投资人）</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登记机关</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投资总额</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shd w:val="clear" w:color="auto" w:fill="FFFFFF"/>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shd w:val="clear" w:color="auto" w:fill="FFFFFF"/>
            <w:vAlign w:val="center"/>
          </w:tcPr>
          <w:p>
            <w:pPr>
              <w:pStyle w:val="46"/>
            </w:pPr>
            <w:r>
              <w:rPr>
                <w:rFonts w:hint="eastAsia"/>
              </w:rPr>
              <w:t>　</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核准日期</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经营(业务)范围</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经营(驻在)期限自</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经营(驻在)期限至</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国别（地区）</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营业期限</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住所所在行政区划</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住所</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4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3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　</w:t>
            </w:r>
          </w:p>
        </w:tc>
        <w:tc>
          <w:tcPr>
            <w:tcW w:w="451"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75"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392"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279"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left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投资总额折万美元</w:t>
            </w:r>
          </w:p>
        </w:tc>
        <w:tc>
          <w:tcPr>
            <w:tcW w:w="245"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245"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237"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227"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451"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375"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392"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279" w:type="pct"/>
            <w:tcBorders>
              <w:top w:val="single" w:color="auto" w:sz="4" w:space="0"/>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注册资本(金)折万美元</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实收资本</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实收资本折万美元</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属地市场监管所</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登记状态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外商投资企业资金信息</w:t>
            </w:r>
          </w:p>
        </w:tc>
        <w:tc>
          <w:tcPr>
            <w:tcW w:w="984"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中方注册资本(金)折万美元</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外方注册资本(金)折万美元</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中方实收资本折万美元</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外方实收资本折万美元</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64"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隶属企业信息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企业</w:t>
            </w:r>
            <w:r>
              <w:t>(</w:t>
            </w:r>
            <w:r>
              <w:rPr>
                <w:rFonts w:hint="eastAsia"/>
              </w:rPr>
              <w:t>机构</w:t>
            </w:r>
            <w:r>
              <w:t>)</w:t>
            </w:r>
            <w:r>
              <w:rPr>
                <w:rFonts w:hint="eastAsia"/>
              </w:rPr>
              <w:t>名称</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隶属企业统一社会信用代码</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注册号</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主要人员信息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姓名</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证件类型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证件号码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职务</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法定代表人（负责人）标志</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首席代表标志</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性别</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民族</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出生日期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住址</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联系电话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委派方</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国别(地区)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p>
          <w:p>
            <w:pPr>
              <w:pStyle w:val="46"/>
            </w:pPr>
          </w:p>
          <w:p>
            <w:pPr>
              <w:pStyle w:val="46"/>
            </w:pPr>
          </w:p>
          <w:p>
            <w:pPr>
              <w:pStyle w:val="46"/>
            </w:pPr>
          </w:p>
          <w:p>
            <w:pPr>
              <w:pStyle w:val="46"/>
            </w:pPr>
            <w:r>
              <w:rPr>
                <w:rFonts w:hint="eastAsia"/>
              </w:rPr>
              <w:t>投资人及出资信息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投资人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证件/照类型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证件/照号码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实缴出资额</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投资人类型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出资方式</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出资日期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认缴出资额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币种</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国别（地区）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出资比例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认缴出资额折万美元</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实缴出资额折万美元</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职业状况</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联系人</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认缴出资信息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中方认缴出资数额</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中方认缴出资数额折万美元</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中方认缴出资数额折人民币</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外方认缴出资数额</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外方认缴出资数额折万美元</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外方认缴出资数额折人民币</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币种</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实缴出资信息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中方实缴出资数额</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中方实缴出资数额折万美元</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中方实缴出资数额折人民币</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外方实缴出资数额</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外方实缴出资数额折万美元</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外方实缴出资数额折人民币</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币种</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吊销信息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吊销原因</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吊销日期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注销信息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注销原因</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批准机关</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批准日期</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注销日期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债权债务清理情况完结标志</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清算组成员备案确认文书编号</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营业执照缴销正本编号</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非法人分支机构注销完毕标志</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　</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变更和备案信息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变更事项</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vMerge w:val="restart"/>
            <w:tcBorders>
              <w:top w:val="single" w:color="auto" w:sz="4" w:space="0"/>
              <w:bottom w:val="single" w:color="auto" w:sz="4" w:space="0"/>
              <w:right w:val="single" w:color="auto" w:sz="4" w:space="0"/>
            </w:tcBorders>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变更日期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vMerge w:val="continue"/>
            <w:tcBorders>
              <w:top w:val="single" w:color="auto" w:sz="4" w:space="0"/>
              <w:bottom w:val="single" w:color="auto" w:sz="4" w:space="0"/>
              <w:right w:val="single" w:color="auto" w:sz="4" w:space="0"/>
            </w:tcBorders>
            <w:vAlign w:val="center"/>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变更后内容</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vMerge w:val="continue"/>
            <w:tcBorders>
              <w:top w:val="single" w:color="auto" w:sz="4" w:space="0"/>
              <w:bottom w:val="single" w:color="auto" w:sz="4" w:space="0"/>
              <w:right w:val="single" w:color="auto" w:sz="4" w:space="0"/>
            </w:tcBorders>
            <w:vAlign w:val="center"/>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变更前内容</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w:t>
            </w:r>
          </w:p>
        </w:tc>
        <w:tc>
          <w:tcPr>
            <w:tcW w:w="451" w:type="pct"/>
            <w:tcBorders>
              <w:top w:val="nil"/>
              <w:left w:val="nil"/>
              <w:bottom w:val="single" w:color="auto" w:sz="4" w:space="0"/>
              <w:right w:val="single" w:color="auto" w:sz="4" w:space="0"/>
            </w:tcBorders>
            <w:vAlign w:val="center"/>
          </w:tcPr>
          <w:p>
            <w:pPr>
              <w:pStyle w:val="46"/>
            </w:pPr>
            <w:r>
              <w:rPr>
                <w:rFonts w:hint="eastAsia"/>
              </w:rPr>
              <w:t>√</w:t>
            </w:r>
          </w:p>
        </w:tc>
        <w:tc>
          <w:tcPr>
            <w:tcW w:w="375" w:type="pct"/>
            <w:tcBorders>
              <w:top w:val="nil"/>
              <w:left w:val="nil"/>
              <w:bottom w:val="single" w:color="auto" w:sz="4" w:space="0"/>
              <w:right w:val="single" w:color="auto" w:sz="4" w:space="0"/>
            </w:tcBorders>
            <w:vAlign w:val="center"/>
          </w:tcPr>
          <w:p>
            <w:pPr>
              <w:pStyle w:val="46"/>
            </w:pPr>
            <w:r>
              <w:rPr>
                <w:rFonts w:hint="eastAsia"/>
              </w:rPr>
              <w:t>√</w:t>
            </w:r>
          </w:p>
        </w:tc>
        <w:tc>
          <w:tcPr>
            <w:tcW w:w="392" w:type="pct"/>
            <w:tcBorders>
              <w:top w:val="nil"/>
              <w:left w:val="nil"/>
              <w:bottom w:val="single" w:color="auto" w:sz="4" w:space="0"/>
              <w:right w:val="single" w:color="auto" w:sz="4" w:space="0"/>
            </w:tcBorders>
            <w:vAlign w:val="center"/>
          </w:tcPr>
          <w:p>
            <w:pPr>
              <w:pStyle w:val="46"/>
            </w:pPr>
            <w:r>
              <w:rPr>
                <w:rFonts w:hint="eastAsia"/>
              </w:rPr>
              <w:t>√</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vMerge w:val="continue"/>
            <w:tcBorders>
              <w:top w:val="single" w:color="auto" w:sz="4" w:space="0"/>
              <w:bottom w:val="single" w:color="auto" w:sz="4" w:space="0"/>
              <w:right w:val="single" w:color="auto" w:sz="4" w:space="0"/>
            </w:tcBorders>
            <w:vAlign w:val="center"/>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迁出信息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迁入地登记机关</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迁出原因</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迁入地区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迁出日期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迁入信息</w:t>
            </w: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迁出地区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迁入日期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迁出地登记机关</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vAlign w:val="bottom"/>
          </w:tcPr>
          <w:p>
            <w:pPr>
              <w:pStyle w:val="46"/>
            </w:pPr>
            <w:r>
              <w:rPr>
                <w:rFonts w:hint="eastAsia"/>
              </w:rPr>
              <w:t>迁入原因</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股权出质登记信息</w:t>
            </w: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股权登记编号</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出质人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出质人类型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出质人类型（中文名称）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出质人证照号码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出质股权数额单位</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出质股权数额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出质股权数额币种</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出质股权数额币种（中文名称）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质权人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质权人类型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质权人类型（中文名称）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质权人证照号码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股权出质登记日期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状态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注销日期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注销原因</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撤销日期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撤销原因</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变更日期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变更内容</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vAlign w:val="center"/>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227" w:type="pct"/>
            <w:tcBorders>
              <w:top w:val="nil"/>
              <w:left w:val="nil"/>
              <w:bottom w:val="single" w:color="auto" w:sz="4" w:space="0"/>
              <w:right w:val="single" w:color="auto" w:sz="4" w:space="0"/>
            </w:tcBorders>
            <w:vAlign w:val="center"/>
          </w:tcPr>
          <w:p>
            <w:pPr>
              <w:pStyle w:val="46"/>
            </w:pPr>
            <w:r>
              <w:rPr>
                <w:rFonts w:hint="eastAsia"/>
              </w:rPr>
              <w:t>　</w:t>
            </w:r>
          </w:p>
        </w:tc>
        <w:tc>
          <w:tcPr>
            <w:tcW w:w="451" w:type="pct"/>
            <w:tcBorders>
              <w:top w:val="nil"/>
              <w:left w:val="nil"/>
              <w:bottom w:val="single" w:color="auto" w:sz="4" w:space="0"/>
              <w:right w:val="single" w:color="auto" w:sz="4" w:space="0"/>
            </w:tcBorders>
            <w:vAlign w:val="center"/>
          </w:tcPr>
          <w:p>
            <w:pPr>
              <w:pStyle w:val="46"/>
            </w:pPr>
            <w:r>
              <w:rPr>
                <w:rFonts w:hint="eastAsia"/>
              </w:rPr>
              <w:t>　</w:t>
            </w:r>
          </w:p>
        </w:tc>
        <w:tc>
          <w:tcPr>
            <w:tcW w:w="375" w:type="pct"/>
            <w:tcBorders>
              <w:top w:val="nil"/>
              <w:left w:val="nil"/>
              <w:bottom w:val="single" w:color="auto" w:sz="4" w:space="0"/>
              <w:right w:val="single" w:color="auto" w:sz="4" w:space="0"/>
            </w:tcBorders>
            <w:vAlign w:val="center"/>
          </w:tcPr>
          <w:p>
            <w:pPr>
              <w:pStyle w:val="46"/>
            </w:pPr>
            <w:r>
              <w:rPr>
                <w:rFonts w:hint="eastAsia"/>
              </w:rPr>
              <w:t>　</w:t>
            </w:r>
          </w:p>
        </w:tc>
        <w:tc>
          <w:tcPr>
            <w:tcW w:w="392" w:type="pct"/>
            <w:tcBorders>
              <w:top w:val="nil"/>
              <w:left w:val="nil"/>
              <w:bottom w:val="single" w:color="auto" w:sz="4" w:space="0"/>
              <w:right w:val="single" w:color="auto" w:sz="4" w:space="0"/>
            </w:tcBorders>
            <w:vAlign w:val="center"/>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外商直接投资-信息报告信息</w:t>
            </w:r>
          </w:p>
        </w:tc>
        <w:tc>
          <w:tcPr>
            <w:tcW w:w="478" w:type="pct"/>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外商基本信息</w:t>
            </w:r>
          </w:p>
        </w:tc>
        <w:tc>
          <w:tcPr>
            <w:tcW w:w="984" w:type="pct"/>
            <w:tcBorders>
              <w:top w:val="single" w:color="auto" w:sz="4" w:space="0"/>
              <w:left w:val="nil"/>
              <w:bottom w:val="single" w:color="auto" w:sz="4" w:space="0"/>
              <w:right w:val="single" w:color="auto" w:sz="4" w:space="0"/>
            </w:tcBorders>
            <w:vAlign w:val="center"/>
          </w:tcPr>
          <w:p>
            <w:pPr>
              <w:pStyle w:val="46"/>
            </w:pPr>
            <w:r>
              <w:rPr>
                <w:rFonts w:hint="eastAsia"/>
              </w:rPr>
              <w:t>主体身份代码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nil"/>
              <w:bottom w:val="single" w:color="auto" w:sz="4" w:space="0"/>
              <w:right w:val="single" w:color="auto" w:sz="4" w:space="0"/>
            </w:tcBorders>
            <w:vAlign w:val="center"/>
          </w:tcPr>
          <w:p>
            <w:pPr>
              <w:pStyle w:val="46"/>
            </w:pPr>
            <w:r>
              <w:rPr>
                <w:rFonts w:hint="eastAsia"/>
              </w:rPr>
              <w:t>统一社会信用代码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nil"/>
              <w:bottom w:val="single" w:color="auto" w:sz="4" w:space="0"/>
              <w:right w:val="single" w:color="auto" w:sz="4" w:space="0"/>
            </w:tcBorders>
            <w:vAlign w:val="center"/>
          </w:tcPr>
          <w:p>
            <w:pPr>
              <w:pStyle w:val="46"/>
            </w:pPr>
            <w:r>
              <w:rPr>
                <w:rFonts w:hint="eastAsia"/>
              </w:rPr>
              <w:t>企业（机构）名称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nil"/>
              <w:bottom w:val="single" w:color="auto" w:sz="4" w:space="0"/>
              <w:right w:val="single" w:color="auto" w:sz="4" w:space="0"/>
            </w:tcBorders>
            <w:vAlign w:val="center"/>
          </w:tcPr>
          <w:p>
            <w:pPr>
              <w:pStyle w:val="46"/>
            </w:pPr>
            <w:r>
              <w:rPr>
                <w:rFonts w:hint="eastAsia"/>
              </w:rPr>
              <w:t>初始报告日期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nil"/>
              <w:bottom w:val="single" w:color="auto" w:sz="4" w:space="0"/>
              <w:right w:val="single" w:color="auto" w:sz="4" w:space="0"/>
            </w:tcBorders>
            <w:vAlign w:val="center"/>
          </w:tcPr>
          <w:p>
            <w:pPr>
              <w:pStyle w:val="46"/>
            </w:pPr>
            <w:r>
              <w:rPr>
                <w:rFonts w:hint="eastAsia"/>
              </w:rPr>
              <w:t>企业名称（英文）</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nil"/>
              <w:bottom w:val="single" w:color="auto" w:sz="4" w:space="0"/>
              <w:right w:val="single" w:color="auto" w:sz="4" w:space="0"/>
            </w:tcBorders>
            <w:vAlign w:val="center"/>
          </w:tcPr>
          <w:p>
            <w:pPr>
              <w:pStyle w:val="46"/>
            </w:pPr>
            <w:r>
              <w:rPr>
                <w:rFonts w:hint="eastAsia"/>
              </w:rPr>
              <w:t>实缴出资额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nil"/>
              <w:bottom w:val="single" w:color="auto" w:sz="4" w:space="0"/>
              <w:right w:val="single" w:color="auto" w:sz="4" w:space="0"/>
            </w:tcBorders>
            <w:vAlign w:val="center"/>
          </w:tcPr>
          <w:p>
            <w:pPr>
              <w:pStyle w:val="46"/>
            </w:pPr>
            <w:r>
              <w:rPr>
                <w:rFonts w:hint="eastAsia"/>
              </w:rPr>
              <w:t>资金数额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984" w:type="pct"/>
            <w:tcBorders>
              <w:top w:val="single" w:color="auto" w:sz="4" w:space="0"/>
              <w:left w:val="nil"/>
              <w:bottom w:val="single" w:color="auto" w:sz="4" w:space="0"/>
              <w:right w:val="single" w:color="auto" w:sz="4" w:space="0"/>
            </w:tcBorders>
            <w:vAlign w:val="center"/>
          </w:tcPr>
          <w:p>
            <w:pPr>
              <w:pStyle w:val="46"/>
            </w:pPr>
            <w:r>
              <w:rPr>
                <w:rFonts w:hint="eastAsia"/>
              </w:rPr>
              <w:t>是否位于特殊经济区域内</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是否位于自由贸易试验区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自由贸易试验区代码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是否位于国家级经济技术开发区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国家级经济技术开发区代码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是否位于国家级边境经济合作区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国家级边境经济合作区代码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是否位于跨境经济合作区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跨境经济合作区代码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投资行业</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主营行业</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48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经营范围是否涉及国家规定实施的准入特别管理措施</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特别管理措施</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120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符合条件的港澳投资者、服务提供者经营范围是否涉及内地与香港、澳门《CEPA服务贸易协议》《CEPA投资协议》负面清单内的领域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业务类型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投资方式</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48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项目是否属于国家鼓励外商投资产业目录范围</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是否国家鼓励外商投资的产业</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48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是否中西部地区外商投资优势产业</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出资信息</w:t>
            </w:r>
          </w:p>
        </w:tc>
        <w:tc>
          <w:tcPr>
            <w:tcW w:w="984" w:type="pct"/>
            <w:tcBorders>
              <w:top w:val="nil"/>
              <w:left w:val="nil"/>
              <w:bottom w:val="single" w:color="auto" w:sz="4" w:space="0"/>
              <w:right w:val="single" w:color="auto" w:sz="4" w:space="0"/>
            </w:tcBorders>
            <w:vAlign w:val="center"/>
          </w:tcPr>
          <w:p>
            <w:pPr>
              <w:pStyle w:val="46"/>
            </w:pPr>
            <w:r>
              <w:rPr>
                <w:rFonts w:hint="eastAsia"/>
              </w:rPr>
              <w:t>投资人身份标识</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主体身份代码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自然人投资者或非自然人投资者</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投资者姓名/名称（英文）</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资金来源地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实缴出资额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出资比例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转让方实际出资金额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支付对价</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投资者性质</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投资者类型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72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境外投资者是否为内地与香港、澳门《CEPA服务贸易协议》规定的香港/澳门服务提供者</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72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境外投资者是否为内地与香港、澳门《CEPA投资协议》规定的香港/澳门投资者</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48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境外投资者是否为定居在国外的中国公民</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最终实际控制人</w:t>
            </w:r>
          </w:p>
        </w:tc>
        <w:tc>
          <w:tcPr>
            <w:tcW w:w="984" w:type="pct"/>
            <w:tcBorders>
              <w:top w:val="nil"/>
              <w:left w:val="nil"/>
              <w:bottom w:val="single" w:color="auto" w:sz="4" w:space="0"/>
              <w:right w:val="single" w:color="auto" w:sz="4" w:space="0"/>
            </w:tcBorders>
            <w:vAlign w:val="center"/>
          </w:tcPr>
          <w:p>
            <w:pPr>
              <w:pStyle w:val="46"/>
            </w:pPr>
            <w:r>
              <w:rPr>
                <w:rFonts w:hint="eastAsia"/>
              </w:rPr>
              <w:t>实际控制人ID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投资人身份标识</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姓名/名称（中文）</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姓名/名称（英文）</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国别（或地区）/注册地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证件类型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证件号码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类别</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实际控制方式</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是否为企业最终实际控制人</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鼓励类项目信息</w:t>
            </w:r>
          </w:p>
        </w:tc>
        <w:tc>
          <w:tcPr>
            <w:tcW w:w="984" w:type="pct"/>
            <w:tcBorders>
              <w:top w:val="nil"/>
              <w:left w:val="nil"/>
              <w:bottom w:val="single" w:color="auto" w:sz="4" w:space="0"/>
              <w:right w:val="single" w:color="auto" w:sz="4" w:space="0"/>
            </w:tcBorders>
            <w:vAlign w:val="center"/>
          </w:tcPr>
          <w:p>
            <w:pPr>
              <w:pStyle w:val="46"/>
            </w:pPr>
            <w:r>
              <w:rPr>
                <w:rFonts w:hint="eastAsia"/>
              </w:rPr>
              <w:t>鼓励类项目ID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主体身份代码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产业类型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产业条目</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项目内容</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项目投资总额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项目起始年度</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项目截止年度</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项目用汇额度</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被并购企业信息</w:t>
            </w:r>
          </w:p>
        </w:tc>
        <w:tc>
          <w:tcPr>
            <w:tcW w:w="984" w:type="pct"/>
            <w:tcBorders>
              <w:top w:val="nil"/>
              <w:left w:val="nil"/>
              <w:bottom w:val="single" w:color="auto" w:sz="4" w:space="0"/>
              <w:right w:val="single" w:color="auto" w:sz="4" w:space="0"/>
            </w:tcBorders>
            <w:vAlign w:val="center"/>
          </w:tcPr>
          <w:p>
            <w:pPr>
              <w:pStyle w:val="46"/>
            </w:pPr>
            <w:r>
              <w:rPr>
                <w:rFonts w:hint="eastAsia"/>
              </w:rPr>
              <w:t>被并购企业ID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主体身份代码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被并购企业名称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统一社会信用代码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资产总额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投资行业</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主营行业</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销售（营业）收入</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从业人数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是否涉及国有资产</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是否涉及知识产权交易</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是否关联并购</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关联关系描述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被并购方信息</w:t>
            </w:r>
          </w:p>
        </w:tc>
        <w:tc>
          <w:tcPr>
            <w:tcW w:w="984" w:type="pct"/>
            <w:tcBorders>
              <w:top w:val="nil"/>
              <w:left w:val="nil"/>
              <w:bottom w:val="single" w:color="auto" w:sz="4" w:space="0"/>
              <w:right w:val="single" w:color="auto" w:sz="4" w:space="0"/>
            </w:tcBorders>
            <w:vAlign w:val="center"/>
          </w:tcPr>
          <w:p>
            <w:pPr>
              <w:pStyle w:val="46"/>
            </w:pPr>
            <w:r>
              <w:rPr>
                <w:rFonts w:hint="eastAsia"/>
              </w:rPr>
              <w:t>被并购方ID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被并购企业ID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名称或姓名</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证件类型</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证件号码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实际出资金额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并购支付对价</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股权/资产评估值</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说明</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股权/资产财务审计报告编号</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股权/资产核准/备案机构</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被并购企业境内投资信息</w:t>
            </w:r>
          </w:p>
        </w:tc>
        <w:tc>
          <w:tcPr>
            <w:tcW w:w="984" w:type="pct"/>
            <w:tcBorders>
              <w:top w:val="nil"/>
              <w:left w:val="nil"/>
              <w:bottom w:val="single" w:color="auto" w:sz="4" w:space="0"/>
              <w:right w:val="single" w:color="auto" w:sz="4" w:space="0"/>
            </w:tcBorders>
            <w:vAlign w:val="center"/>
          </w:tcPr>
          <w:p>
            <w:pPr>
              <w:pStyle w:val="46"/>
            </w:pPr>
            <w:r>
              <w:rPr>
                <w:rFonts w:hint="eastAsia"/>
              </w:rPr>
              <w:t>境内投资ID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被并购企业ID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境内投资企业名称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境内投资企业统一社会信用代码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境内投资企业经营范围</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境内投资是否形成控制</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战略投资交易信息</w:t>
            </w:r>
          </w:p>
        </w:tc>
        <w:tc>
          <w:tcPr>
            <w:tcW w:w="984" w:type="pct"/>
            <w:tcBorders>
              <w:top w:val="nil"/>
              <w:left w:val="nil"/>
              <w:bottom w:val="single" w:color="auto" w:sz="4" w:space="0"/>
              <w:right w:val="single" w:color="auto" w:sz="4" w:space="0"/>
            </w:tcBorders>
            <w:vAlign w:val="center"/>
          </w:tcPr>
          <w:p>
            <w:pPr>
              <w:pStyle w:val="46"/>
            </w:pPr>
            <w:r>
              <w:rPr>
                <w:rFonts w:hint="eastAsia"/>
              </w:rPr>
              <w:t>交易信息ID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投资人身份标识</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战略投资阶段</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是否为被投资上市公司控股股东</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战略投资方式</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股份转让方情况说明</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外国投资者自身实有资产总额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外国投资者管理的实有资产总额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外国投资者母公司实有资产总额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48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外国投资者母公司管理的实有资产总额</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外国（地区）企业基本信息</w:t>
            </w:r>
          </w:p>
        </w:tc>
        <w:tc>
          <w:tcPr>
            <w:tcW w:w="984" w:type="pct"/>
            <w:tcBorders>
              <w:top w:val="nil"/>
              <w:left w:val="nil"/>
              <w:bottom w:val="single" w:color="auto" w:sz="4" w:space="0"/>
              <w:right w:val="single" w:color="auto" w:sz="4" w:space="0"/>
            </w:tcBorders>
            <w:vAlign w:val="center"/>
          </w:tcPr>
          <w:p>
            <w:pPr>
              <w:pStyle w:val="46"/>
            </w:pPr>
            <w:r>
              <w:rPr>
                <w:rFonts w:hint="eastAsia"/>
              </w:rPr>
              <w:t>外国地区ID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主体身份代码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外国（地区）企业名称（英文）</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国别（或地区）/注册地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资金来源地</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外商信息变更</w:t>
            </w:r>
          </w:p>
        </w:tc>
        <w:tc>
          <w:tcPr>
            <w:tcW w:w="984" w:type="pct"/>
            <w:tcBorders>
              <w:top w:val="nil"/>
              <w:left w:val="nil"/>
              <w:bottom w:val="single" w:color="auto" w:sz="4" w:space="0"/>
              <w:right w:val="single" w:color="auto" w:sz="4" w:space="0"/>
            </w:tcBorders>
            <w:vAlign w:val="center"/>
          </w:tcPr>
          <w:p>
            <w:pPr>
              <w:pStyle w:val="46"/>
            </w:pPr>
            <w:r>
              <w:rPr>
                <w:rFonts w:hint="eastAsia"/>
              </w:rPr>
              <w:t>变更项ID</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主体身份代码</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变更事项</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变更前内容</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变更后内容</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r>
        <w:tblPrEx>
          <w:tblCellMar>
            <w:top w:w="0" w:type="dxa"/>
            <w:left w:w="108" w:type="dxa"/>
            <w:bottom w:w="0" w:type="dxa"/>
            <w:right w:w="108" w:type="dxa"/>
          </w:tblCellMar>
        </w:tblPrEx>
        <w:trPr>
          <w:cantSplit/>
          <w:trHeight w:val="240" w:hRule="atLeast"/>
        </w:trPr>
        <w:tc>
          <w:tcPr>
            <w:tcW w:w="22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478" w:type="pct"/>
            <w:vMerge w:val="continue"/>
            <w:tcBorders>
              <w:top w:val="nil"/>
              <w:left w:val="single" w:color="auto" w:sz="4" w:space="0"/>
              <w:bottom w:val="single" w:color="auto" w:sz="4" w:space="0"/>
              <w:right w:val="single" w:color="auto" w:sz="4" w:space="0"/>
            </w:tcBorders>
            <w:vAlign w:val="center"/>
          </w:tcPr>
          <w:p>
            <w:pPr>
              <w:pStyle w:val="46"/>
            </w:pPr>
          </w:p>
        </w:tc>
        <w:tc>
          <w:tcPr>
            <w:tcW w:w="984" w:type="pct"/>
            <w:tcBorders>
              <w:top w:val="nil"/>
              <w:left w:val="nil"/>
              <w:bottom w:val="single" w:color="auto" w:sz="4" w:space="0"/>
              <w:right w:val="single" w:color="auto" w:sz="4" w:space="0"/>
            </w:tcBorders>
            <w:vAlign w:val="center"/>
          </w:tcPr>
          <w:p>
            <w:pPr>
              <w:pStyle w:val="46"/>
            </w:pPr>
            <w:r>
              <w:rPr>
                <w:rFonts w:hint="eastAsia"/>
              </w:rPr>
              <w:t>变更报告日期</w:t>
            </w:r>
          </w:p>
        </w:tc>
        <w:tc>
          <w:tcPr>
            <w:tcW w:w="245" w:type="pct"/>
            <w:tcBorders>
              <w:top w:val="nil"/>
              <w:left w:val="nil"/>
              <w:bottom w:val="single" w:color="auto" w:sz="4" w:space="0"/>
              <w:right w:val="single" w:color="auto" w:sz="4" w:space="0"/>
            </w:tcBorders>
            <w:vAlign w:val="center"/>
          </w:tcPr>
          <w:p>
            <w:pPr>
              <w:pStyle w:val="46"/>
            </w:pPr>
            <w:r>
              <w:rPr>
                <w:rFonts w:hint="eastAsia"/>
              </w:rPr>
              <w:t>√</w:t>
            </w:r>
          </w:p>
        </w:tc>
        <w:tc>
          <w:tcPr>
            <w:tcW w:w="245" w:type="pct"/>
            <w:tcBorders>
              <w:top w:val="nil"/>
              <w:left w:val="nil"/>
              <w:bottom w:val="single" w:color="auto" w:sz="4" w:space="0"/>
              <w:right w:val="single" w:color="auto" w:sz="4" w:space="0"/>
            </w:tcBorders>
            <w:noWrap/>
            <w:vAlign w:val="bottom"/>
          </w:tcPr>
          <w:p>
            <w:pPr>
              <w:pStyle w:val="46"/>
            </w:pPr>
            <w:r>
              <w:rPr>
                <w:rFonts w:hint="eastAsia"/>
              </w:rPr>
              <w:t>　</w:t>
            </w:r>
          </w:p>
        </w:tc>
        <w:tc>
          <w:tcPr>
            <w:tcW w:w="237" w:type="pct"/>
            <w:tcBorders>
              <w:top w:val="nil"/>
              <w:left w:val="nil"/>
              <w:bottom w:val="single" w:color="auto" w:sz="4" w:space="0"/>
              <w:right w:val="single" w:color="auto" w:sz="4" w:space="0"/>
            </w:tcBorders>
            <w:vAlign w:val="center"/>
          </w:tcPr>
          <w:p>
            <w:pPr>
              <w:pStyle w:val="46"/>
            </w:pPr>
            <w:r>
              <w:rPr>
                <w:rFonts w:hint="eastAsia"/>
              </w:rPr>
              <w:t>√</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227" w:type="pct"/>
            <w:tcBorders>
              <w:top w:val="nil"/>
              <w:left w:val="nil"/>
              <w:bottom w:val="single" w:color="auto" w:sz="4" w:space="0"/>
              <w:right w:val="single" w:color="auto" w:sz="4" w:space="0"/>
            </w:tcBorders>
            <w:noWrap/>
            <w:vAlign w:val="bottom"/>
          </w:tcPr>
          <w:p>
            <w:pPr>
              <w:pStyle w:val="46"/>
            </w:pPr>
            <w:r>
              <w:rPr>
                <w:rFonts w:hint="eastAsia"/>
              </w:rPr>
              <w:t>　</w:t>
            </w:r>
          </w:p>
        </w:tc>
        <w:tc>
          <w:tcPr>
            <w:tcW w:w="451" w:type="pct"/>
            <w:tcBorders>
              <w:top w:val="nil"/>
              <w:left w:val="nil"/>
              <w:bottom w:val="single" w:color="auto" w:sz="4" w:space="0"/>
              <w:right w:val="single" w:color="auto" w:sz="4" w:space="0"/>
            </w:tcBorders>
            <w:noWrap/>
            <w:vAlign w:val="bottom"/>
          </w:tcPr>
          <w:p>
            <w:pPr>
              <w:pStyle w:val="46"/>
            </w:pPr>
            <w:r>
              <w:rPr>
                <w:rFonts w:hint="eastAsia"/>
              </w:rPr>
              <w:t>　</w:t>
            </w:r>
          </w:p>
        </w:tc>
        <w:tc>
          <w:tcPr>
            <w:tcW w:w="375" w:type="pct"/>
            <w:tcBorders>
              <w:top w:val="nil"/>
              <w:left w:val="nil"/>
              <w:bottom w:val="single" w:color="auto" w:sz="4" w:space="0"/>
              <w:right w:val="single" w:color="auto" w:sz="4" w:space="0"/>
            </w:tcBorders>
            <w:noWrap/>
            <w:vAlign w:val="bottom"/>
          </w:tcPr>
          <w:p>
            <w:pPr>
              <w:pStyle w:val="46"/>
            </w:pPr>
            <w:r>
              <w:rPr>
                <w:rFonts w:hint="eastAsia"/>
              </w:rPr>
              <w:t>　</w:t>
            </w:r>
          </w:p>
        </w:tc>
        <w:tc>
          <w:tcPr>
            <w:tcW w:w="392" w:type="pct"/>
            <w:tcBorders>
              <w:top w:val="nil"/>
              <w:left w:val="nil"/>
              <w:bottom w:val="single" w:color="auto" w:sz="4" w:space="0"/>
              <w:right w:val="single" w:color="auto" w:sz="4" w:space="0"/>
            </w:tcBorders>
            <w:noWrap/>
            <w:vAlign w:val="bottom"/>
          </w:tcPr>
          <w:p>
            <w:pPr>
              <w:pStyle w:val="46"/>
            </w:pPr>
            <w:r>
              <w:rPr>
                <w:rFonts w:hint="eastAsia"/>
              </w:rPr>
              <w:t>　</w:t>
            </w:r>
          </w:p>
        </w:tc>
        <w:tc>
          <w:tcPr>
            <w:tcW w:w="279" w:type="pct"/>
            <w:tcBorders>
              <w:top w:val="nil"/>
              <w:left w:val="nil"/>
              <w:bottom w:val="single" w:color="auto" w:sz="4" w:space="0"/>
              <w:right w:val="single" w:color="auto" w:sz="4" w:space="0"/>
            </w:tcBorders>
            <w:vAlign w:val="center"/>
          </w:tcPr>
          <w:p>
            <w:pPr>
              <w:pStyle w:val="46"/>
            </w:pPr>
            <w:r>
              <w:rPr>
                <w:rFonts w:hint="eastAsia"/>
              </w:rPr>
              <w:t>√</w:t>
            </w:r>
          </w:p>
        </w:tc>
        <w:tc>
          <w:tcPr>
            <w:tcW w:w="400" w:type="pct"/>
            <w:tcBorders>
              <w:top w:val="single" w:color="auto" w:sz="4" w:space="0"/>
              <w:bottom w:val="single" w:color="auto" w:sz="4" w:space="0"/>
              <w:right w:val="single" w:color="auto" w:sz="4" w:space="0"/>
            </w:tcBorders>
            <w:noWrap/>
            <w:vAlign w:val="bottom"/>
          </w:tcPr>
          <w:p>
            <w:pPr>
              <w:pStyle w:val="46"/>
            </w:pPr>
          </w:p>
        </w:tc>
      </w:tr>
    </w:tbl>
    <w:p>
      <w:r>
        <w:rPr>
          <w:rFonts w:hint="eastAsia"/>
        </w:rPr>
        <w:t>包括企业(机构)基本信息、外商投资企业资金信息、隶属企业信息、主要人员信息、投资人及出资信息、认缴出资信息、实缴出资信息、吊销信息、注销信息、变更和备案信息、迁出信息、迁入信息、股权出质登记信息、外商基本信息、出资信息、最终实际控制人、鼓励类项目信息、被并购企业信息、被并购企业境内投资信息、战略投资交易信息、外国（地区）企业基本信息、外商信息变更。</w:t>
      </w:r>
    </w:p>
    <w:p>
      <w:pPr>
        <w:pStyle w:val="9"/>
      </w:pPr>
      <w:r>
        <w:rPr>
          <w:rFonts w:hint="eastAsia"/>
        </w:rPr>
        <w:t>农民专业合作社</w:t>
      </w:r>
    </w:p>
    <w:p>
      <w:r>
        <w:rPr>
          <w:rFonts w:hint="eastAsia"/>
        </w:rPr>
        <w:t>包括农民专业合作社基本信息、法定代表人（负责人）信息、非自然人成员信息、主要人员信息、自然人成员信息、投资人及出资信息、注销信息、吊销信息、变更信息。</w:t>
      </w:r>
    </w:p>
    <w:tbl>
      <w:tblPr>
        <w:tblStyle w:val="30"/>
        <w:tblW w:w="8620" w:type="dxa"/>
        <w:tblInd w:w="-20" w:type="dxa"/>
        <w:tblLayout w:type="autofit"/>
        <w:tblCellMar>
          <w:top w:w="0" w:type="dxa"/>
          <w:left w:w="108" w:type="dxa"/>
          <w:bottom w:w="0" w:type="dxa"/>
          <w:right w:w="108" w:type="dxa"/>
        </w:tblCellMar>
      </w:tblPr>
      <w:tblGrid>
        <w:gridCol w:w="1960"/>
        <w:gridCol w:w="3100"/>
        <w:gridCol w:w="1160"/>
        <w:gridCol w:w="1280"/>
        <w:gridCol w:w="1120"/>
      </w:tblGrid>
      <w:tr>
        <w:tblPrEx>
          <w:tblCellMar>
            <w:top w:w="0" w:type="dxa"/>
            <w:left w:w="108" w:type="dxa"/>
            <w:bottom w:w="0" w:type="dxa"/>
            <w:right w:w="108" w:type="dxa"/>
          </w:tblCellMar>
        </w:tblPrEx>
        <w:trPr>
          <w:trHeight w:val="489" w:hRule="atLeast"/>
        </w:trPr>
        <w:tc>
          <w:tcPr>
            <w:tcW w:w="1960" w:type="dxa"/>
            <w:tcBorders>
              <w:top w:val="single" w:color="auto" w:sz="4" w:space="0"/>
              <w:left w:val="single" w:color="auto" w:sz="4" w:space="0"/>
              <w:bottom w:val="nil"/>
              <w:right w:val="single" w:color="auto" w:sz="4" w:space="0"/>
            </w:tcBorders>
            <w:vAlign w:val="center"/>
          </w:tcPr>
          <w:p>
            <w:pPr>
              <w:pStyle w:val="46"/>
            </w:pPr>
            <w:r>
              <w:rPr>
                <w:rFonts w:hint="eastAsia"/>
              </w:rPr>
              <w:t>信息类别</w:t>
            </w:r>
          </w:p>
        </w:tc>
        <w:tc>
          <w:tcPr>
            <w:tcW w:w="3100" w:type="dxa"/>
            <w:tcBorders>
              <w:top w:val="single" w:color="auto" w:sz="4" w:space="0"/>
              <w:left w:val="nil"/>
              <w:bottom w:val="nil"/>
              <w:right w:val="single" w:color="auto" w:sz="4" w:space="0"/>
            </w:tcBorders>
            <w:vAlign w:val="center"/>
          </w:tcPr>
          <w:p>
            <w:pPr>
              <w:pStyle w:val="46"/>
            </w:pPr>
            <w:r>
              <w:rPr>
                <w:rFonts w:hint="eastAsia"/>
              </w:rPr>
              <w:t>指标项</w:t>
            </w:r>
          </w:p>
        </w:tc>
        <w:tc>
          <w:tcPr>
            <w:tcW w:w="1160" w:type="dxa"/>
            <w:tcBorders>
              <w:top w:val="single" w:color="auto" w:sz="4" w:space="0"/>
              <w:left w:val="nil"/>
              <w:bottom w:val="nil"/>
              <w:right w:val="single" w:color="auto" w:sz="4" w:space="0"/>
            </w:tcBorders>
            <w:vAlign w:val="center"/>
          </w:tcPr>
          <w:p>
            <w:pPr>
              <w:pStyle w:val="46"/>
            </w:pPr>
            <w:r>
              <w:rPr>
                <w:rFonts w:hint="eastAsia"/>
              </w:rPr>
              <w:t>农民专业合作社</w:t>
            </w:r>
          </w:p>
        </w:tc>
        <w:tc>
          <w:tcPr>
            <w:tcW w:w="1280" w:type="dxa"/>
            <w:tcBorders>
              <w:top w:val="single" w:color="auto" w:sz="4" w:space="0"/>
              <w:left w:val="nil"/>
              <w:bottom w:val="nil"/>
              <w:right w:val="single" w:color="auto" w:sz="4" w:space="0"/>
            </w:tcBorders>
            <w:vAlign w:val="center"/>
          </w:tcPr>
          <w:p>
            <w:pPr>
              <w:pStyle w:val="46"/>
            </w:pPr>
            <w:r>
              <w:rPr>
                <w:rFonts w:hint="eastAsia"/>
              </w:rPr>
              <w:t>分支机构</w:t>
            </w:r>
          </w:p>
        </w:tc>
        <w:tc>
          <w:tcPr>
            <w:tcW w:w="1120" w:type="dxa"/>
            <w:tcBorders>
              <w:top w:val="single" w:color="auto" w:sz="4" w:space="0"/>
              <w:left w:val="nil"/>
              <w:bottom w:val="nil"/>
              <w:right w:val="single" w:color="auto" w:sz="4" w:space="0"/>
            </w:tcBorders>
            <w:vAlign w:val="center"/>
          </w:tcPr>
          <w:p>
            <w:pPr>
              <w:pStyle w:val="46"/>
            </w:pPr>
            <w:r>
              <w:rPr>
                <w:rFonts w:hint="eastAsia"/>
              </w:rPr>
              <w:t>完整性</w:t>
            </w:r>
          </w:p>
        </w:tc>
      </w:tr>
      <w:tr>
        <w:tblPrEx>
          <w:tblCellMar>
            <w:top w:w="0" w:type="dxa"/>
            <w:left w:w="108" w:type="dxa"/>
            <w:bottom w:w="0" w:type="dxa"/>
            <w:right w:w="108" w:type="dxa"/>
          </w:tblCellMar>
        </w:tblPrEx>
        <w:trPr>
          <w:trHeight w:val="240" w:hRule="atLeast"/>
        </w:trPr>
        <w:tc>
          <w:tcPr>
            <w:tcW w:w="1960" w:type="dxa"/>
            <w:vMerge w:val="restar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农民专业合作社基本信息</w:t>
            </w:r>
          </w:p>
        </w:tc>
        <w:tc>
          <w:tcPr>
            <w:tcW w:w="3100" w:type="dxa"/>
            <w:tcBorders>
              <w:top w:val="single" w:color="auto" w:sz="4" w:space="0"/>
              <w:left w:val="nil"/>
              <w:bottom w:val="single" w:color="auto" w:sz="4" w:space="0"/>
              <w:right w:val="single" w:color="auto" w:sz="4" w:space="0"/>
            </w:tcBorders>
            <w:vAlign w:val="bottom"/>
          </w:tcPr>
          <w:p>
            <w:pPr>
              <w:pStyle w:val="46"/>
            </w:pPr>
            <w:r>
              <w:rPr>
                <w:rFonts w:hint="eastAsia"/>
              </w:rPr>
              <w:t>农民专业合作社名称</w:t>
            </w:r>
          </w:p>
        </w:tc>
        <w:tc>
          <w:tcPr>
            <w:tcW w:w="1160" w:type="dxa"/>
            <w:tcBorders>
              <w:top w:val="single" w:color="auto" w:sz="4" w:space="0"/>
              <w:left w:val="nil"/>
              <w:bottom w:val="single" w:color="auto" w:sz="4" w:space="0"/>
              <w:right w:val="single" w:color="auto" w:sz="4" w:space="0"/>
            </w:tcBorders>
            <w:vAlign w:val="center"/>
          </w:tcPr>
          <w:p>
            <w:pPr>
              <w:pStyle w:val="46"/>
            </w:pPr>
            <w:r>
              <w:rPr>
                <w:rFonts w:hint="eastAsia"/>
              </w:rPr>
              <w:t>√</w:t>
            </w:r>
          </w:p>
        </w:tc>
        <w:tc>
          <w:tcPr>
            <w:tcW w:w="1280" w:type="dxa"/>
            <w:tcBorders>
              <w:top w:val="single" w:color="auto" w:sz="4" w:space="0"/>
              <w:left w:val="nil"/>
              <w:bottom w:val="single" w:color="auto" w:sz="4" w:space="0"/>
              <w:right w:val="single" w:color="auto" w:sz="4" w:space="0"/>
            </w:tcBorders>
            <w:vAlign w:val="center"/>
          </w:tcPr>
          <w:p>
            <w:pPr>
              <w:pStyle w:val="46"/>
            </w:pPr>
            <w:r>
              <w:rPr>
                <w:rFonts w:hint="eastAsia"/>
              </w:rPr>
              <w:t>√</w:t>
            </w:r>
          </w:p>
        </w:tc>
        <w:tc>
          <w:tcPr>
            <w:tcW w:w="1120" w:type="dxa"/>
            <w:tcBorders>
              <w:top w:val="single" w:color="auto" w:sz="4" w:space="0"/>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64"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企业</w:t>
            </w:r>
            <w:r>
              <w:t>(</w:t>
            </w:r>
            <w:r>
              <w:rPr>
                <w:rFonts w:hint="eastAsia"/>
              </w:rPr>
              <w:t>机构</w:t>
            </w:r>
            <w:r>
              <w:t>)</w:t>
            </w:r>
            <w:r>
              <w:rPr>
                <w:rFonts w:hint="eastAsia"/>
              </w:rPr>
              <w:t>类型</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注册号</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统一社会信用代码</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行业门类</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行业代码</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住所所在行政区划</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住所</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住所产权</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业务范围类型</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成员出资总额</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成立日期</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登记机关</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属地市场监管所</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7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登记状态</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1960" w:type="dxa"/>
            <w:vMerge w:val="restart"/>
            <w:tcBorders>
              <w:top w:val="nil"/>
              <w:left w:val="single" w:color="auto" w:sz="4" w:space="0"/>
              <w:bottom w:val="single" w:color="auto" w:sz="4" w:space="0"/>
              <w:right w:val="single" w:color="auto" w:sz="4" w:space="0"/>
            </w:tcBorders>
            <w:vAlign w:val="center"/>
          </w:tcPr>
          <w:p>
            <w:pPr>
              <w:pStyle w:val="46"/>
            </w:pPr>
            <w:r>
              <w:rPr>
                <w:rFonts w:hint="eastAsia"/>
              </w:rPr>
              <w:t>法定代表人（负责人）信息</w:t>
            </w:r>
          </w:p>
        </w:tc>
        <w:tc>
          <w:tcPr>
            <w:tcW w:w="3100" w:type="dxa"/>
            <w:tcBorders>
              <w:top w:val="nil"/>
              <w:left w:val="nil"/>
              <w:bottom w:val="single" w:color="auto" w:sz="4" w:space="0"/>
              <w:right w:val="single" w:color="auto" w:sz="4" w:space="0"/>
            </w:tcBorders>
            <w:vAlign w:val="bottom"/>
          </w:tcPr>
          <w:p>
            <w:pPr>
              <w:pStyle w:val="46"/>
            </w:pPr>
            <w:r>
              <w:rPr>
                <w:rFonts w:hint="eastAsia"/>
              </w:rPr>
              <w:t>姓名</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证件类型</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证件号码</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1960" w:type="dxa"/>
            <w:vMerge w:val="restart"/>
            <w:tcBorders>
              <w:top w:val="nil"/>
              <w:left w:val="single" w:color="auto" w:sz="4" w:space="0"/>
              <w:bottom w:val="single" w:color="auto" w:sz="4" w:space="0"/>
              <w:right w:val="single" w:color="auto" w:sz="4" w:space="0"/>
            </w:tcBorders>
            <w:vAlign w:val="center"/>
          </w:tcPr>
          <w:p>
            <w:pPr>
              <w:pStyle w:val="46"/>
            </w:pPr>
            <w:r>
              <w:rPr>
                <w:rFonts w:hint="eastAsia"/>
              </w:rPr>
              <w:t>非自然人成员信息</w:t>
            </w:r>
          </w:p>
        </w:tc>
        <w:tc>
          <w:tcPr>
            <w:tcW w:w="3100" w:type="dxa"/>
            <w:tcBorders>
              <w:top w:val="nil"/>
              <w:left w:val="nil"/>
              <w:bottom w:val="single" w:color="auto" w:sz="4" w:space="0"/>
              <w:right w:val="single" w:color="auto" w:sz="4" w:space="0"/>
            </w:tcBorders>
            <w:vAlign w:val="bottom"/>
          </w:tcPr>
          <w:p>
            <w:pPr>
              <w:pStyle w:val="46"/>
            </w:pPr>
            <w:r>
              <w:rPr>
                <w:rFonts w:hint="eastAsia"/>
              </w:rPr>
              <w:t>合作社成员名称</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合作社成员身份标识</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shd w:val="clear" w:color="auto" w:fill="FFFFFF"/>
            <w:vAlign w:val="bottom"/>
          </w:tcPr>
          <w:p>
            <w:pPr>
              <w:pStyle w:val="46"/>
            </w:pPr>
            <w:r>
              <w:rPr>
                <w:rFonts w:hint="eastAsia"/>
              </w:rPr>
              <w:t>成员分类</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出资方式</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出资额</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1960" w:type="dxa"/>
            <w:vMerge w:val="restart"/>
            <w:tcBorders>
              <w:top w:val="nil"/>
              <w:left w:val="single" w:color="auto" w:sz="4" w:space="0"/>
              <w:bottom w:val="single" w:color="auto" w:sz="4" w:space="0"/>
              <w:right w:val="single" w:color="auto" w:sz="4" w:space="0"/>
            </w:tcBorders>
            <w:vAlign w:val="center"/>
          </w:tcPr>
          <w:p>
            <w:pPr>
              <w:pStyle w:val="46"/>
            </w:pPr>
            <w:r>
              <w:rPr>
                <w:rFonts w:hint="eastAsia"/>
              </w:rPr>
              <w:t>自然人成员信息</w:t>
            </w:r>
          </w:p>
        </w:tc>
        <w:tc>
          <w:tcPr>
            <w:tcW w:w="3100" w:type="dxa"/>
            <w:tcBorders>
              <w:top w:val="nil"/>
              <w:left w:val="nil"/>
              <w:bottom w:val="single" w:color="auto" w:sz="4" w:space="0"/>
              <w:right w:val="single" w:color="auto" w:sz="4" w:space="0"/>
            </w:tcBorders>
            <w:vAlign w:val="bottom"/>
          </w:tcPr>
          <w:p>
            <w:pPr>
              <w:pStyle w:val="46"/>
            </w:pPr>
            <w:r>
              <w:rPr>
                <w:rFonts w:hint="eastAsia"/>
              </w:rPr>
              <w:t>姓名</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性别</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证件类型</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证件号码</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成员分类</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出资方式</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vAlign w:val="bottom"/>
          </w:tcPr>
          <w:p>
            <w:pPr>
              <w:pStyle w:val="46"/>
            </w:pPr>
            <w:r>
              <w:rPr>
                <w:rFonts w:hint="eastAsia"/>
              </w:rPr>
              <w:t>出资额</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vAlign w:val="center"/>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1960" w:type="dxa"/>
            <w:vMerge w:val="restart"/>
            <w:tcBorders>
              <w:top w:val="nil"/>
              <w:left w:val="single" w:color="auto" w:sz="4" w:space="0"/>
              <w:bottom w:val="single" w:color="000000" w:sz="4" w:space="0"/>
              <w:right w:val="single" w:color="auto" w:sz="4" w:space="0"/>
            </w:tcBorders>
            <w:noWrap/>
            <w:vAlign w:val="center"/>
          </w:tcPr>
          <w:p>
            <w:pPr>
              <w:pStyle w:val="46"/>
            </w:pPr>
            <w:r>
              <w:rPr>
                <w:rFonts w:hint="eastAsia"/>
              </w:rPr>
              <w:t>注销信息</w:t>
            </w:r>
          </w:p>
        </w:tc>
        <w:tc>
          <w:tcPr>
            <w:tcW w:w="3100" w:type="dxa"/>
            <w:tcBorders>
              <w:top w:val="nil"/>
              <w:left w:val="nil"/>
              <w:bottom w:val="single" w:color="auto" w:sz="4" w:space="0"/>
              <w:right w:val="single" w:color="auto" w:sz="4" w:space="0"/>
            </w:tcBorders>
            <w:noWrap/>
            <w:vAlign w:val="bottom"/>
          </w:tcPr>
          <w:p>
            <w:pPr>
              <w:pStyle w:val="46"/>
            </w:pPr>
            <w:r>
              <w:rPr>
                <w:rFonts w:hint="eastAsia"/>
              </w:rPr>
              <w:t>注销原因</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noWrap/>
            <w:vAlign w:val="bottom"/>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noWrap/>
            <w:vAlign w:val="bottom"/>
          </w:tcPr>
          <w:p>
            <w:pPr>
              <w:pStyle w:val="46"/>
            </w:pPr>
            <w:r>
              <w:rPr>
                <w:rFonts w:hint="eastAsia"/>
              </w:rPr>
              <w:t>注销日期</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noWrap/>
            <w:vAlign w:val="bottom"/>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1960" w:type="dxa"/>
            <w:vMerge w:val="restart"/>
            <w:tcBorders>
              <w:top w:val="nil"/>
              <w:left w:val="single" w:color="auto" w:sz="4" w:space="0"/>
              <w:bottom w:val="single" w:color="000000" w:sz="4" w:space="0"/>
              <w:right w:val="single" w:color="auto" w:sz="4" w:space="0"/>
            </w:tcBorders>
            <w:noWrap/>
            <w:vAlign w:val="center"/>
          </w:tcPr>
          <w:p>
            <w:pPr>
              <w:pStyle w:val="46"/>
            </w:pPr>
            <w:r>
              <w:rPr>
                <w:rFonts w:hint="eastAsia"/>
              </w:rPr>
              <w:t>吊销信息</w:t>
            </w:r>
          </w:p>
        </w:tc>
        <w:tc>
          <w:tcPr>
            <w:tcW w:w="3100" w:type="dxa"/>
            <w:tcBorders>
              <w:top w:val="nil"/>
              <w:left w:val="nil"/>
              <w:bottom w:val="single" w:color="auto" w:sz="4" w:space="0"/>
              <w:right w:val="single" w:color="auto" w:sz="4" w:space="0"/>
            </w:tcBorders>
            <w:noWrap/>
            <w:vAlign w:val="bottom"/>
          </w:tcPr>
          <w:p>
            <w:pPr>
              <w:pStyle w:val="46"/>
            </w:pPr>
            <w:r>
              <w:rPr>
                <w:rFonts w:hint="eastAsia"/>
              </w:rPr>
              <w:t>吊销原因</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noWrap/>
            <w:vAlign w:val="bottom"/>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noWrap/>
            <w:vAlign w:val="bottom"/>
          </w:tcPr>
          <w:p>
            <w:pPr>
              <w:pStyle w:val="46"/>
            </w:pPr>
            <w:r>
              <w:rPr>
                <w:rFonts w:hint="eastAsia"/>
              </w:rPr>
              <w:t>吊销依据</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noWrap/>
            <w:vAlign w:val="bottom"/>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noWrap/>
            <w:vAlign w:val="bottom"/>
          </w:tcPr>
          <w:p>
            <w:pPr>
              <w:pStyle w:val="46"/>
            </w:pPr>
            <w:r>
              <w:rPr>
                <w:rFonts w:hint="eastAsia"/>
              </w:rPr>
              <w:t>吊销日期</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noWrap/>
            <w:vAlign w:val="bottom"/>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3100" w:type="dxa"/>
            <w:tcBorders>
              <w:top w:val="nil"/>
              <w:left w:val="nil"/>
              <w:bottom w:val="single" w:color="auto" w:sz="4" w:space="0"/>
              <w:right w:val="single" w:color="auto" w:sz="4" w:space="0"/>
            </w:tcBorders>
            <w:noWrap/>
            <w:vAlign w:val="bottom"/>
          </w:tcPr>
          <w:p>
            <w:pPr>
              <w:pStyle w:val="46"/>
            </w:pPr>
            <w:r>
              <w:rPr>
                <w:rFonts w:hint="eastAsia"/>
              </w:rPr>
              <w:t>吊销机关</w:t>
            </w:r>
          </w:p>
        </w:tc>
        <w:tc>
          <w:tcPr>
            <w:tcW w:w="1160" w:type="dxa"/>
            <w:tcBorders>
              <w:top w:val="nil"/>
              <w:left w:val="nil"/>
              <w:bottom w:val="single" w:color="auto" w:sz="4" w:space="0"/>
              <w:right w:val="single" w:color="auto" w:sz="4" w:space="0"/>
            </w:tcBorders>
            <w:vAlign w:val="center"/>
          </w:tcPr>
          <w:p>
            <w:pPr>
              <w:pStyle w:val="46"/>
            </w:pPr>
            <w:r>
              <w:rPr>
                <w:rFonts w:hint="eastAsia"/>
              </w:rPr>
              <w:t>√</w:t>
            </w:r>
          </w:p>
        </w:tc>
        <w:tc>
          <w:tcPr>
            <w:tcW w:w="1280" w:type="dxa"/>
            <w:tcBorders>
              <w:top w:val="nil"/>
              <w:left w:val="nil"/>
              <w:bottom w:val="single" w:color="auto" w:sz="4" w:space="0"/>
              <w:right w:val="single" w:color="auto" w:sz="4" w:space="0"/>
            </w:tcBorders>
            <w:noWrap/>
            <w:vAlign w:val="bottom"/>
          </w:tcPr>
          <w:p>
            <w:pPr>
              <w:pStyle w:val="46"/>
            </w:pPr>
            <w:r>
              <w:rPr>
                <w:rFonts w:hint="eastAsia"/>
              </w:rPr>
              <w:t>　</w:t>
            </w:r>
          </w:p>
        </w:tc>
        <w:tc>
          <w:tcPr>
            <w:tcW w:w="1120" w:type="dxa"/>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1960" w:type="dxa"/>
            <w:vMerge w:val="restar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变更信息</w:t>
            </w:r>
          </w:p>
        </w:tc>
        <w:tc>
          <w:tcPr>
            <w:tcW w:w="3100" w:type="dxa"/>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变更事项</w:t>
            </w:r>
          </w:p>
        </w:tc>
        <w:tc>
          <w:tcPr>
            <w:tcW w:w="1160" w:type="dxa"/>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1280" w:type="dxa"/>
            <w:tcBorders>
              <w:top w:val="single" w:color="000000" w:sz="4" w:space="0"/>
              <w:left w:val="single" w:color="000000" w:sz="4" w:space="0"/>
              <w:bottom w:val="single" w:color="000000" w:sz="4" w:space="0"/>
              <w:right w:val="single" w:color="000000" w:sz="4" w:space="0"/>
            </w:tcBorders>
            <w:noWrap/>
            <w:vAlign w:val="bottom"/>
          </w:tcPr>
          <w:p>
            <w:pPr>
              <w:pStyle w:val="46"/>
            </w:pPr>
            <w:r>
              <w:rPr>
                <w:rFonts w:hint="eastAsia"/>
              </w:rPr>
              <w:t>　</w:t>
            </w:r>
          </w:p>
        </w:tc>
        <w:tc>
          <w:tcPr>
            <w:tcW w:w="1120" w:type="dxa"/>
            <w:tcBorders>
              <w:top w:val="nil"/>
              <w:left w:val="single" w:color="auto" w:sz="4" w:space="0"/>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变更前内容</w:t>
            </w:r>
          </w:p>
        </w:tc>
        <w:tc>
          <w:tcPr>
            <w:tcW w:w="1160" w:type="dxa"/>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1280" w:type="dxa"/>
            <w:tcBorders>
              <w:top w:val="nil"/>
              <w:left w:val="single" w:color="000000" w:sz="4" w:space="0"/>
              <w:bottom w:val="single" w:color="000000" w:sz="4" w:space="0"/>
              <w:right w:val="single" w:color="000000" w:sz="4" w:space="0"/>
            </w:tcBorders>
            <w:noWrap/>
            <w:vAlign w:val="bottom"/>
          </w:tcPr>
          <w:p>
            <w:pPr>
              <w:pStyle w:val="46"/>
            </w:pPr>
            <w:r>
              <w:rPr>
                <w:rFonts w:hint="eastAsia"/>
              </w:rPr>
              <w:t>　</w:t>
            </w:r>
          </w:p>
        </w:tc>
        <w:tc>
          <w:tcPr>
            <w:tcW w:w="1120" w:type="dxa"/>
            <w:tcBorders>
              <w:top w:val="nil"/>
              <w:left w:val="single" w:color="auto" w:sz="4" w:space="0"/>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变更后内容</w:t>
            </w:r>
          </w:p>
        </w:tc>
        <w:tc>
          <w:tcPr>
            <w:tcW w:w="1160" w:type="dxa"/>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1280" w:type="dxa"/>
            <w:tcBorders>
              <w:top w:val="nil"/>
              <w:left w:val="single" w:color="000000" w:sz="4" w:space="0"/>
              <w:bottom w:val="single" w:color="000000" w:sz="4" w:space="0"/>
              <w:right w:val="single" w:color="000000" w:sz="4" w:space="0"/>
            </w:tcBorders>
            <w:noWrap/>
            <w:vAlign w:val="bottom"/>
          </w:tcPr>
          <w:p>
            <w:pPr>
              <w:pStyle w:val="46"/>
            </w:pPr>
            <w:r>
              <w:rPr>
                <w:rFonts w:hint="eastAsia"/>
              </w:rPr>
              <w:t>　</w:t>
            </w:r>
          </w:p>
        </w:tc>
        <w:tc>
          <w:tcPr>
            <w:tcW w:w="1120" w:type="dxa"/>
            <w:tcBorders>
              <w:top w:val="nil"/>
              <w:left w:val="single" w:color="auto" w:sz="4" w:space="0"/>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40" w:hRule="atLeast"/>
        </w:trPr>
        <w:tc>
          <w:tcPr>
            <w:tcW w:w="0" w:type="auto"/>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100" w:type="dxa"/>
            <w:tcBorders>
              <w:top w:val="single" w:color="auto" w:sz="4" w:space="0"/>
              <w:left w:val="single" w:color="auto" w:sz="4" w:space="0"/>
              <w:bottom w:val="single" w:color="auto" w:sz="4" w:space="0"/>
              <w:right w:val="single" w:color="auto" w:sz="4" w:space="0"/>
            </w:tcBorders>
            <w:vAlign w:val="center"/>
          </w:tcPr>
          <w:p>
            <w:pPr>
              <w:pStyle w:val="46"/>
            </w:pPr>
            <w:r>
              <w:rPr>
                <w:rFonts w:hint="eastAsia"/>
              </w:rPr>
              <w:t>变更日期</w:t>
            </w:r>
          </w:p>
        </w:tc>
        <w:tc>
          <w:tcPr>
            <w:tcW w:w="1160" w:type="dxa"/>
            <w:tcBorders>
              <w:top w:val="single" w:color="auto" w:sz="4" w:space="0"/>
              <w:left w:val="single" w:color="auto" w:sz="4" w:space="0"/>
              <w:bottom w:val="single" w:color="auto" w:sz="4" w:space="0"/>
              <w:right w:val="single" w:color="auto" w:sz="4" w:space="0"/>
            </w:tcBorders>
            <w:vAlign w:val="center"/>
          </w:tcPr>
          <w:p>
            <w:pPr>
              <w:pStyle w:val="46"/>
            </w:pPr>
            <w:r>
              <w:rPr>
                <w:rFonts w:hint="eastAsia"/>
              </w:rPr>
              <w:t>√</w:t>
            </w:r>
          </w:p>
        </w:tc>
        <w:tc>
          <w:tcPr>
            <w:tcW w:w="1280" w:type="dxa"/>
            <w:tcBorders>
              <w:top w:val="nil"/>
              <w:left w:val="single" w:color="000000" w:sz="4" w:space="0"/>
              <w:bottom w:val="single" w:color="000000" w:sz="4" w:space="0"/>
              <w:right w:val="single" w:color="000000" w:sz="4" w:space="0"/>
            </w:tcBorders>
            <w:noWrap/>
            <w:vAlign w:val="bottom"/>
          </w:tcPr>
          <w:p>
            <w:pPr>
              <w:pStyle w:val="46"/>
            </w:pPr>
            <w:r>
              <w:rPr>
                <w:rFonts w:hint="eastAsia"/>
              </w:rPr>
              <w:t>　</w:t>
            </w:r>
          </w:p>
        </w:tc>
        <w:tc>
          <w:tcPr>
            <w:tcW w:w="1120" w:type="dxa"/>
            <w:tcBorders>
              <w:top w:val="nil"/>
              <w:left w:val="single" w:color="auto" w:sz="4" w:space="0"/>
              <w:bottom w:val="single" w:color="auto" w:sz="4" w:space="0"/>
              <w:right w:val="single" w:color="auto" w:sz="4" w:space="0"/>
            </w:tcBorders>
            <w:vAlign w:val="center"/>
          </w:tcPr>
          <w:p>
            <w:pPr>
              <w:pStyle w:val="46"/>
            </w:pPr>
            <w:r>
              <w:rPr>
                <w:rFonts w:hint="eastAsia"/>
              </w:rPr>
              <w:t>√</w:t>
            </w:r>
          </w:p>
        </w:tc>
      </w:tr>
    </w:tbl>
    <w:p>
      <w:pPr>
        <w:pStyle w:val="9"/>
      </w:pPr>
      <w:r>
        <w:rPr>
          <w:rFonts w:hint="eastAsia"/>
        </w:rPr>
        <w:t>个体工商户</w:t>
      </w:r>
    </w:p>
    <w:p>
      <w:r>
        <w:rPr>
          <w:rFonts w:hint="eastAsia"/>
        </w:rPr>
        <w:t>包括个体工商户基本信息、经营者基本信息、注销信息、吊销信息、变更信息。</w:t>
      </w:r>
    </w:p>
    <w:tbl>
      <w:tblPr>
        <w:tblStyle w:val="30"/>
        <w:tblW w:w="5000" w:type="pct"/>
        <w:tblInd w:w="0" w:type="dxa"/>
        <w:tblLayout w:type="autofit"/>
        <w:tblCellMar>
          <w:top w:w="0" w:type="dxa"/>
          <w:left w:w="108" w:type="dxa"/>
          <w:bottom w:w="0" w:type="dxa"/>
          <w:right w:w="108" w:type="dxa"/>
        </w:tblCellMar>
      </w:tblPr>
      <w:tblGrid>
        <w:gridCol w:w="2614"/>
        <w:gridCol w:w="4165"/>
        <w:gridCol w:w="1450"/>
        <w:gridCol w:w="1081"/>
      </w:tblGrid>
      <w:tr>
        <w:tblPrEx>
          <w:tblCellMar>
            <w:top w:w="0" w:type="dxa"/>
            <w:left w:w="108" w:type="dxa"/>
            <w:bottom w:w="0" w:type="dxa"/>
            <w:right w:w="108" w:type="dxa"/>
          </w:tblCellMar>
        </w:tblPrEx>
        <w:trPr>
          <w:trHeight w:val="390" w:hRule="atLeast"/>
        </w:trPr>
        <w:tc>
          <w:tcPr>
            <w:tcW w:w="1404" w:type="pct"/>
            <w:tcBorders>
              <w:top w:val="single" w:color="auto" w:sz="4" w:space="0"/>
              <w:left w:val="single" w:color="auto" w:sz="4" w:space="0"/>
              <w:bottom w:val="single" w:color="auto" w:sz="4" w:space="0"/>
              <w:right w:val="single" w:color="auto" w:sz="4" w:space="0"/>
            </w:tcBorders>
            <w:vAlign w:val="center"/>
          </w:tcPr>
          <w:p>
            <w:pPr>
              <w:pStyle w:val="46"/>
            </w:pPr>
            <w:r>
              <w:rPr>
                <w:rFonts w:hint="eastAsia"/>
              </w:rPr>
              <w:t>信息类别</w:t>
            </w:r>
          </w:p>
        </w:tc>
        <w:tc>
          <w:tcPr>
            <w:tcW w:w="2237" w:type="pct"/>
            <w:tcBorders>
              <w:top w:val="single" w:color="auto" w:sz="4" w:space="0"/>
              <w:left w:val="nil"/>
              <w:bottom w:val="single" w:color="auto" w:sz="4" w:space="0"/>
              <w:right w:val="single" w:color="auto" w:sz="4" w:space="0"/>
            </w:tcBorders>
            <w:vAlign w:val="center"/>
          </w:tcPr>
          <w:p>
            <w:pPr>
              <w:pStyle w:val="46"/>
            </w:pPr>
            <w:r>
              <w:rPr>
                <w:rFonts w:hint="eastAsia"/>
              </w:rPr>
              <w:t>指标项</w:t>
            </w:r>
          </w:p>
        </w:tc>
        <w:tc>
          <w:tcPr>
            <w:tcW w:w="779" w:type="pct"/>
            <w:tcBorders>
              <w:top w:val="single" w:color="auto" w:sz="4" w:space="0"/>
              <w:left w:val="nil"/>
              <w:bottom w:val="single" w:color="auto" w:sz="4" w:space="0"/>
              <w:right w:val="single" w:color="auto" w:sz="4" w:space="0"/>
            </w:tcBorders>
            <w:vAlign w:val="center"/>
          </w:tcPr>
          <w:p>
            <w:pPr>
              <w:pStyle w:val="46"/>
            </w:pPr>
            <w:r>
              <w:rPr>
                <w:rFonts w:hint="eastAsia"/>
              </w:rPr>
              <w:t>完整性</w:t>
            </w:r>
          </w:p>
        </w:tc>
        <w:tc>
          <w:tcPr>
            <w:tcW w:w="581" w:type="pct"/>
            <w:tcBorders>
              <w:top w:val="single" w:color="auto" w:sz="4" w:space="0"/>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140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个体工商户基本信息</w:t>
            </w:r>
          </w:p>
        </w:tc>
        <w:tc>
          <w:tcPr>
            <w:tcW w:w="2237" w:type="pct"/>
            <w:tcBorders>
              <w:top w:val="nil"/>
              <w:left w:val="nil"/>
              <w:bottom w:val="single" w:color="auto" w:sz="4" w:space="0"/>
              <w:right w:val="single" w:color="auto" w:sz="4" w:space="0"/>
            </w:tcBorders>
            <w:noWrap/>
            <w:vAlign w:val="bottom"/>
          </w:tcPr>
          <w:p>
            <w:pPr>
              <w:pStyle w:val="46"/>
            </w:pPr>
            <w:r>
              <w:rPr>
                <w:rFonts w:hint="eastAsia"/>
              </w:rPr>
              <w:t>主体身份代码</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注册号</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vMerge w:val="restart"/>
            <w:tcBorders>
              <w:top w:val="nil"/>
              <w:left w:val="single" w:color="auto" w:sz="4" w:space="0"/>
              <w:bottom w:val="single" w:color="auto" w:sz="4" w:space="0"/>
              <w:right w:val="single" w:color="auto" w:sz="4" w:space="0"/>
            </w:tcBorders>
            <w:vAlign w:val="bottom"/>
          </w:tcPr>
          <w:p>
            <w:pPr>
              <w:pStyle w:val="46"/>
            </w:pPr>
            <w:r>
              <w:rPr>
                <w:rFonts w:hint="eastAsia"/>
              </w:rPr>
              <w:t>至少一项不为空</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统一社会信用代码</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0" w:type="auto"/>
            <w:vMerge w:val="continue"/>
            <w:tcBorders>
              <w:top w:val="nil"/>
              <w:left w:val="single" w:color="auto" w:sz="4" w:space="0"/>
              <w:bottom w:val="single" w:color="auto" w:sz="4" w:space="0"/>
              <w:right w:val="single" w:color="auto" w:sz="4" w:space="0"/>
            </w:tcBorders>
            <w:vAlign w:val="center"/>
          </w:tcPr>
          <w:p>
            <w:pPr>
              <w:pStyle w:val="46"/>
            </w:pP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资金数额</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组成形式</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行业门类</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行业代码</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成立日期</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核准日期</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登记机关</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经营范围</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经营场所所在行政区划</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经营场所</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经营(驻在)期限自</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经营(驻在)期限至</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登记状态</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属地市场监管所</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140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经营者基本信息</w:t>
            </w:r>
          </w:p>
        </w:tc>
        <w:tc>
          <w:tcPr>
            <w:tcW w:w="2237" w:type="pct"/>
            <w:tcBorders>
              <w:top w:val="nil"/>
              <w:left w:val="nil"/>
              <w:bottom w:val="single" w:color="auto" w:sz="4" w:space="0"/>
              <w:right w:val="single" w:color="auto" w:sz="4" w:space="0"/>
            </w:tcBorders>
            <w:noWrap/>
            <w:vAlign w:val="bottom"/>
          </w:tcPr>
          <w:p>
            <w:pPr>
              <w:pStyle w:val="46"/>
            </w:pPr>
            <w:r>
              <w:rPr>
                <w:rFonts w:hint="eastAsia"/>
              </w:rPr>
              <w:t>证件类型</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证件号码</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姓名</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140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注销信息</w:t>
            </w:r>
          </w:p>
        </w:tc>
        <w:tc>
          <w:tcPr>
            <w:tcW w:w="2237" w:type="pct"/>
            <w:tcBorders>
              <w:top w:val="nil"/>
              <w:left w:val="nil"/>
              <w:bottom w:val="single" w:color="auto" w:sz="4" w:space="0"/>
              <w:right w:val="single" w:color="auto" w:sz="4" w:space="0"/>
            </w:tcBorders>
            <w:noWrap/>
            <w:vAlign w:val="bottom"/>
          </w:tcPr>
          <w:p>
            <w:pPr>
              <w:pStyle w:val="46"/>
            </w:pPr>
            <w:r>
              <w:rPr>
                <w:rFonts w:hint="eastAsia"/>
              </w:rPr>
              <w:t>注销日期</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注销登记原因</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1404"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吊销信息</w:t>
            </w:r>
          </w:p>
        </w:tc>
        <w:tc>
          <w:tcPr>
            <w:tcW w:w="2237" w:type="pct"/>
            <w:tcBorders>
              <w:top w:val="nil"/>
              <w:left w:val="nil"/>
              <w:bottom w:val="single" w:color="auto" w:sz="4" w:space="0"/>
              <w:right w:val="single" w:color="auto" w:sz="4" w:space="0"/>
            </w:tcBorders>
            <w:noWrap/>
            <w:vAlign w:val="bottom"/>
          </w:tcPr>
          <w:p>
            <w:pPr>
              <w:pStyle w:val="46"/>
            </w:pPr>
            <w:r>
              <w:rPr>
                <w:rFonts w:hint="eastAsia"/>
              </w:rPr>
              <w:t>吊销日期</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noWrap/>
            <w:vAlign w:val="bottom"/>
          </w:tcPr>
          <w:p>
            <w:pPr>
              <w:pStyle w:val="46"/>
            </w:pPr>
            <w:r>
              <w:rPr>
                <w:rFonts w:hint="eastAsia"/>
              </w:rPr>
              <w:t>吊销原因</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1404"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变更信息</w:t>
            </w:r>
          </w:p>
        </w:tc>
        <w:tc>
          <w:tcPr>
            <w:tcW w:w="2237" w:type="pct"/>
            <w:tcBorders>
              <w:top w:val="nil"/>
              <w:left w:val="nil"/>
              <w:bottom w:val="single" w:color="auto" w:sz="4" w:space="0"/>
              <w:right w:val="single" w:color="auto" w:sz="4" w:space="0"/>
            </w:tcBorders>
            <w:vAlign w:val="center"/>
          </w:tcPr>
          <w:p>
            <w:pPr>
              <w:pStyle w:val="46"/>
            </w:pPr>
            <w:r>
              <w:rPr>
                <w:rFonts w:hint="eastAsia"/>
              </w:rPr>
              <w:t>变更事项</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vAlign w:val="center"/>
          </w:tcPr>
          <w:p>
            <w:pPr>
              <w:pStyle w:val="46"/>
            </w:pPr>
            <w:r>
              <w:rPr>
                <w:rFonts w:hint="eastAsia"/>
              </w:rPr>
              <w:t>变更前内容</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vAlign w:val="center"/>
          </w:tcPr>
          <w:p>
            <w:pPr>
              <w:pStyle w:val="46"/>
            </w:pPr>
            <w:r>
              <w:rPr>
                <w:rFonts w:hint="eastAsia"/>
              </w:rPr>
              <w:t>变更后内容</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vAlign w:val="center"/>
          </w:tcPr>
          <w:p>
            <w:pPr>
              <w:pStyle w:val="46"/>
            </w:pPr>
            <w:r>
              <w:rPr>
                <w:rFonts w:hint="eastAsia"/>
              </w:rPr>
              <w:t>变更日期</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40"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237" w:type="pct"/>
            <w:tcBorders>
              <w:top w:val="nil"/>
              <w:left w:val="nil"/>
              <w:bottom w:val="single" w:color="auto" w:sz="4" w:space="0"/>
              <w:right w:val="single" w:color="auto" w:sz="4" w:space="0"/>
            </w:tcBorders>
            <w:vAlign w:val="center"/>
          </w:tcPr>
          <w:p>
            <w:pPr>
              <w:pStyle w:val="46"/>
            </w:pPr>
            <w:r>
              <w:rPr>
                <w:rFonts w:hint="eastAsia"/>
              </w:rPr>
              <w:t>变更次数</w:t>
            </w:r>
          </w:p>
        </w:tc>
        <w:tc>
          <w:tcPr>
            <w:tcW w:w="779" w:type="pct"/>
            <w:tcBorders>
              <w:top w:val="nil"/>
              <w:left w:val="nil"/>
              <w:bottom w:val="single" w:color="auto" w:sz="4" w:space="0"/>
              <w:right w:val="single" w:color="auto" w:sz="4" w:space="0"/>
            </w:tcBorders>
            <w:vAlign w:val="center"/>
          </w:tcPr>
          <w:p>
            <w:pPr>
              <w:pStyle w:val="46"/>
            </w:pPr>
            <w:r>
              <w:rPr>
                <w:rFonts w:hint="eastAsia"/>
              </w:rPr>
              <w:t>√</w:t>
            </w:r>
          </w:p>
        </w:tc>
        <w:tc>
          <w:tcPr>
            <w:tcW w:w="581" w:type="pct"/>
            <w:tcBorders>
              <w:top w:val="nil"/>
              <w:left w:val="nil"/>
              <w:bottom w:val="single" w:color="auto" w:sz="4" w:space="0"/>
              <w:right w:val="single" w:color="auto" w:sz="4" w:space="0"/>
            </w:tcBorders>
            <w:noWrap/>
            <w:vAlign w:val="bottom"/>
          </w:tcPr>
          <w:p>
            <w:pPr>
              <w:pStyle w:val="46"/>
            </w:pPr>
            <w:r>
              <w:rPr>
                <w:rFonts w:hint="eastAsia"/>
              </w:rPr>
              <w:t>　</w:t>
            </w:r>
          </w:p>
        </w:tc>
      </w:tr>
    </w:tbl>
    <w:p>
      <w:pPr>
        <w:pStyle w:val="9"/>
      </w:pPr>
      <w:r>
        <w:rPr>
          <w:rFonts w:hint="eastAsia"/>
        </w:rPr>
        <w:t>一照多址</w:t>
      </w:r>
    </w:p>
    <w:p>
      <w:r>
        <w:rPr>
          <w:rFonts w:hint="eastAsia"/>
        </w:rPr>
        <w:t>包括一照多址信息等</w:t>
      </w:r>
    </w:p>
    <w:tbl>
      <w:tblPr>
        <w:tblStyle w:val="30"/>
        <w:tblW w:w="5000" w:type="pct"/>
        <w:tblInd w:w="0" w:type="dxa"/>
        <w:tblLayout w:type="autofit"/>
        <w:tblCellMar>
          <w:top w:w="0" w:type="dxa"/>
          <w:left w:w="108" w:type="dxa"/>
          <w:bottom w:w="0" w:type="dxa"/>
          <w:right w:w="108" w:type="dxa"/>
        </w:tblCellMar>
      </w:tblPr>
      <w:tblGrid>
        <w:gridCol w:w="3393"/>
        <w:gridCol w:w="4496"/>
        <w:gridCol w:w="1421"/>
      </w:tblGrid>
      <w:tr>
        <w:tblPrEx>
          <w:tblCellMar>
            <w:top w:w="0" w:type="dxa"/>
            <w:left w:w="108" w:type="dxa"/>
            <w:bottom w:w="0" w:type="dxa"/>
            <w:right w:w="108" w:type="dxa"/>
          </w:tblCellMar>
        </w:tblPrEx>
        <w:trPr>
          <w:trHeight w:val="579" w:hRule="atLeast"/>
        </w:trPr>
        <w:tc>
          <w:tcPr>
            <w:tcW w:w="1822"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信息类别</w:t>
            </w:r>
          </w:p>
        </w:tc>
        <w:tc>
          <w:tcPr>
            <w:tcW w:w="2414" w:type="pct"/>
            <w:tcBorders>
              <w:top w:val="single" w:color="auto" w:sz="4" w:space="0"/>
              <w:left w:val="nil"/>
              <w:bottom w:val="single" w:color="auto" w:sz="4" w:space="0"/>
              <w:right w:val="single" w:color="auto" w:sz="4" w:space="0"/>
            </w:tcBorders>
            <w:noWrap/>
            <w:vAlign w:val="center"/>
          </w:tcPr>
          <w:p>
            <w:pPr>
              <w:pStyle w:val="46"/>
            </w:pPr>
            <w:r>
              <w:rPr>
                <w:rFonts w:hint="eastAsia"/>
              </w:rPr>
              <w:t>指标项</w:t>
            </w:r>
          </w:p>
        </w:tc>
        <w:tc>
          <w:tcPr>
            <w:tcW w:w="763" w:type="pct"/>
            <w:tcBorders>
              <w:top w:val="single" w:color="auto" w:sz="4" w:space="0"/>
              <w:left w:val="nil"/>
              <w:bottom w:val="single" w:color="auto" w:sz="4" w:space="0"/>
              <w:right w:val="single" w:color="auto" w:sz="4" w:space="0"/>
            </w:tcBorders>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1822"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一照多址信息</w:t>
            </w:r>
          </w:p>
        </w:tc>
        <w:tc>
          <w:tcPr>
            <w:tcW w:w="2414" w:type="pct"/>
            <w:tcBorders>
              <w:top w:val="nil"/>
              <w:left w:val="nil"/>
              <w:bottom w:val="single" w:color="auto" w:sz="4" w:space="0"/>
              <w:right w:val="single" w:color="auto" w:sz="4" w:space="0"/>
            </w:tcBorders>
            <w:noWrap/>
            <w:vAlign w:val="center"/>
          </w:tcPr>
          <w:p>
            <w:pPr>
              <w:pStyle w:val="46"/>
            </w:pPr>
            <w:r>
              <w:rPr>
                <w:rFonts w:hint="eastAsia"/>
              </w:rPr>
              <w:t>住所ID</w:t>
            </w:r>
          </w:p>
        </w:tc>
        <w:tc>
          <w:tcPr>
            <w:tcW w:w="763"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22" w:type="pct"/>
            <w:vMerge w:val="continue"/>
            <w:tcBorders>
              <w:top w:val="nil"/>
              <w:left w:val="single" w:color="auto" w:sz="4" w:space="0"/>
              <w:bottom w:val="single" w:color="auto" w:sz="4" w:space="0"/>
              <w:right w:val="single" w:color="auto" w:sz="4" w:space="0"/>
            </w:tcBorders>
            <w:vAlign w:val="center"/>
          </w:tcPr>
          <w:p>
            <w:pPr>
              <w:pStyle w:val="46"/>
            </w:pPr>
          </w:p>
        </w:tc>
        <w:tc>
          <w:tcPr>
            <w:tcW w:w="2414"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763"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22" w:type="pct"/>
            <w:vMerge w:val="continue"/>
            <w:tcBorders>
              <w:top w:val="nil"/>
              <w:left w:val="single" w:color="auto" w:sz="4" w:space="0"/>
              <w:bottom w:val="single" w:color="auto" w:sz="4" w:space="0"/>
              <w:right w:val="single" w:color="auto" w:sz="4" w:space="0"/>
            </w:tcBorders>
            <w:vAlign w:val="center"/>
          </w:tcPr>
          <w:p>
            <w:pPr>
              <w:pStyle w:val="46"/>
            </w:pPr>
          </w:p>
        </w:tc>
        <w:tc>
          <w:tcPr>
            <w:tcW w:w="2414" w:type="pct"/>
            <w:tcBorders>
              <w:top w:val="nil"/>
              <w:left w:val="nil"/>
              <w:bottom w:val="single" w:color="auto" w:sz="4" w:space="0"/>
              <w:right w:val="single" w:color="auto" w:sz="4" w:space="0"/>
            </w:tcBorders>
            <w:noWrap/>
            <w:vAlign w:val="center"/>
          </w:tcPr>
          <w:p>
            <w:pPr>
              <w:pStyle w:val="46"/>
            </w:pPr>
            <w:r>
              <w:rPr>
                <w:rFonts w:hint="eastAsia"/>
              </w:rPr>
              <w:t>住所</w:t>
            </w:r>
          </w:p>
        </w:tc>
        <w:tc>
          <w:tcPr>
            <w:tcW w:w="763"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22" w:type="pct"/>
            <w:vMerge w:val="continue"/>
            <w:tcBorders>
              <w:top w:val="nil"/>
              <w:left w:val="single" w:color="auto" w:sz="4" w:space="0"/>
              <w:bottom w:val="single" w:color="auto" w:sz="4" w:space="0"/>
              <w:right w:val="single" w:color="auto" w:sz="4" w:space="0"/>
            </w:tcBorders>
            <w:vAlign w:val="center"/>
          </w:tcPr>
          <w:p>
            <w:pPr>
              <w:pStyle w:val="46"/>
            </w:pPr>
          </w:p>
        </w:tc>
        <w:tc>
          <w:tcPr>
            <w:tcW w:w="2414" w:type="pct"/>
            <w:tcBorders>
              <w:top w:val="nil"/>
              <w:left w:val="nil"/>
              <w:bottom w:val="single" w:color="auto" w:sz="4" w:space="0"/>
              <w:right w:val="single" w:color="auto" w:sz="4" w:space="0"/>
            </w:tcBorders>
            <w:noWrap/>
            <w:vAlign w:val="center"/>
          </w:tcPr>
          <w:p>
            <w:pPr>
              <w:pStyle w:val="46"/>
            </w:pPr>
            <w:r>
              <w:rPr>
                <w:rFonts w:hint="eastAsia"/>
              </w:rPr>
              <w:t>住所所在行政区划</w:t>
            </w:r>
          </w:p>
        </w:tc>
        <w:tc>
          <w:tcPr>
            <w:tcW w:w="763" w:type="pct"/>
            <w:tcBorders>
              <w:top w:val="nil"/>
              <w:left w:val="nil"/>
              <w:bottom w:val="single" w:color="auto" w:sz="4" w:space="0"/>
              <w:right w:val="single" w:color="auto" w:sz="4" w:space="0"/>
            </w:tcBorders>
            <w:vAlign w:val="center"/>
          </w:tcPr>
          <w:p>
            <w:pPr>
              <w:pStyle w:val="46"/>
            </w:pPr>
            <w:r>
              <w:rPr>
                <w:rFonts w:hint="eastAsia"/>
              </w:rPr>
              <w:t>√</w:t>
            </w:r>
          </w:p>
        </w:tc>
      </w:tr>
    </w:tbl>
    <w:p>
      <w:pPr>
        <w:pStyle w:val="9"/>
      </w:pPr>
      <w:r>
        <w:rPr>
          <w:rFonts w:hint="eastAsia"/>
        </w:rPr>
        <w:t>多证合一</w:t>
      </w:r>
    </w:p>
    <w:p>
      <w:r>
        <w:rPr>
          <w:rFonts w:hint="eastAsia"/>
        </w:rPr>
        <w:t>包括涉企证照事项公示信息等</w:t>
      </w:r>
    </w:p>
    <w:tbl>
      <w:tblPr>
        <w:tblStyle w:val="30"/>
        <w:tblW w:w="5000" w:type="pct"/>
        <w:tblInd w:w="0" w:type="dxa"/>
        <w:tblLayout w:type="autofit"/>
        <w:tblCellMar>
          <w:top w:w="0" w:type="dxa"/>
          <w:left w:w="108" w:type="dxa"/>
          <w:bottom w:w="0" w:type="dxa"/>
          <w:right w:w="108" w:type="dxa"/>
        </w:tblCellMar>
      </w:tblPr>
      <w:tblGrid>
        <w:gridCol w:w="3375"/>
        <w:gridCol w:w="2341"/>
        <w:gridCol w:w="3594"/>
      </w:tblGrid>
      <w:tr>
        <w:tblPrEx>
          <w:tblCellMar>
            <w:top w:w="0" w:type="dxa"/>
            <w:left w:w="108" w:type="dxa"/>
            <w:bottom w:w="0" w:type="dxa"/>
            <w:right w:w="108" w:type="dxa"/>
          </w:tblCellMar>
        </w:tblPrEx>
        <w:trPr>
          <w:trHeight w:val="561" w:hRule="atLeast"/>
        </w:trPr>
        <w:tc>
          <w:tcPr>
            <w:tcW w:w="1813" w:type="pct"/>
            <w:tcBorders>
              <w:top w:val="single" w:color="auto" w:sz="4" w:space="0"/>
              <w:left w:val="single" w:color="auto" w:sz="4" w:space="0"/>
              <w:bottom w:val="single" w:color="auto" w:sz="4" w:space="0"/>
              <w:right w:val="single" w:color="auto" w:sz="4" w:space="0"/>
            </w:tcBorders>
            <w:shd w:val="clear" w:color="auto" w:fill="auto"/>
            <w:noWrap/>
            <w:vAlign w:val="center"/>
          </w:tcPr>
          <w:p>
            <w:pPr>
              <w:pStyle w:val="46"/>
            </w:pPr>
            <w:r>
              <w:rPr>
                <w:rFonts w:hint="eastAsia"/>
              </w:rPr>
              <w:t>信息类别</w:t>
            </w:r>
          </w:p>
        </w:tc>
        <w:tc>
          <w:tcPr>
            <w:tcW w:w="1257" w:type="pct"/>
            <w:tcBorders>
              <w:top w:val="single" w:color="auto" w:sz="4" w:space="0"/>
              <w:left w:val="nil"/>
              <w:bottom w:val="single" w:color="auto" w:sz="4" w:space="0"/>
              <w:right w:val="single" w:color="auto" w:sz="4" w:space="0"/>
            </w:tcBorders>
            <w:shd w:val="clear" w:color="auto" w:fill="auto"/>
            <w:noWrap/>
            <w:vAlign w:val="center"/>
          </w:tcPr>
          <w:p>
            <w:pPr>
              <w:pStyle w:val="46"/>
            </w:pPr>
            <w:r>
              <w:rPr>
                <w:rFonts w:hint="eastAsia"/>
              </w:rPr>
              <w:t>指标项</w:t>
            </w:r>
          </w:p>
        </w:tc>
        <w:tc>
          <w:tcPr>
            <w:tcW w:w="1930" w:type="pct"/>
            <w:tcBorders>
              <w:top w:val="single" w:color="auto" w:sz="4" w:space="0"/>
              <w:left w:val="nil"/>
              <w:bottom w:val="single" w:color="auto" w:sz="4" w:space="0"/>
              <w:right w:val="single" w:color="auto" w:sz="4" w:space="0"/>
            </w:tcBorders>
            <w:shd w:val="clear" w:color="auto" w:fill="auto"/>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1813" w:type="pct"/>
            <w:vMerge w:val="restart"/>
            <w:tcBorders>
              <w:top w:val="nil"/>
              <w:left w:val="single" w:color="auto" w:sz="4" w:space="0"/>
              <w:bottom w:val="single" w:color="auto" w:sz="4" w:space="0"/>
              <w:right w:val="single" w:color="auto" w:sz="4" w:space="0"/>
            </w:tcBorders>
            <w:shd w:val="clear" w:color="auto" w:fill="auto"/>
            <w:noWrap/>
            <w:vAlign w:val="center"/>
          </w:tcPr>
          <w:p>
            <w:pPr>
              <w:pStyle w:val="46"/>
            </w:pPr>
            <w:r>
              <w:rPr>
                <w:rFonts w:hint="eastAsia"/>
              </w:rPr>
              <w:t>涉企证照事项公示信息</w:t>
            </w:r>
          </w:p>
        </w:tc>
        <w:tc>
          <w:tcPr>
            <w:tcW w:w="1257" w:type="pct"/>
            <w:tcBorders>
              <w:top w:val="nil"/>
              <w:left w:val="nil"/>
              <w:bottom w:val="single" w:color="auto" w:sz="4" w:space="0"/>
              <w:right w:val="single" w:color="auto" w:sz="4" w:space="0"/>
            </w:tcBorders>
            <w:shd w:val="clear" w:color="auto" w:fill="auto"/>
            <w:vAlign w:val="center"/>
          </w:tcPr>
          <w:p>
            <w:pPr>
              <w:pStyle w:val="46"/>
            </w:pPr>
            <w:r>
              <w:rPr>
                <w:rFonts w:hint="eastAsia"/>
              </w:rPr>
              <w:t>备案ID</w:t>
            </w:r>
          </w:p>
        </w:tc>
        <w:tc>
          <w:tcPr>
            <w:tcW w:w="1930" w:type="pct"/>
            <w:tcBorders>
              <w:top w:val="nil"/>
              <w:left w:val="nil"/>
              <w:bottom w:val="single" w:color="auto" w:sz="4" w:space="0"/>
              <w:right w:val="single" w:color="auto" w:sz="4" w:space="0"/>
            </w:tcBorders>
            <w:shd w:val="clear" w:color="auto" w:fill="auto"/>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13" w:type="pct"/>
            <w:vMerge w:val="continue"/>
            <w:tcBorders>
              <w:top w:val="nil"/>
              <w:left w:val="single" w:color="auto" w:sz="4" w:space="0"/>
              <w:bottom w:val="single" w:color="auto" w:sz="4" w:space="0"/>
              <w:right w:val="single" w:color="auto" w:sz="4" w:space="0"/>
            </w:tcBorders>
            <w:vAlign w:val="center"/>
          </w:tcPr>
          <w:p>
            <w:pPr>
              <w:pStyle w:val="46"/>
            </w:pPr>
          </w:p>
        </w:tc>
        <w:tc>
          <w:tcPr>
            <w:tcW w:w="1257" w:type="pct"/>
            <w:tcBorders>
              <w:top w:val="nil"/>
              <w:left w:val="nil"/>
              <w:bottom w:val="single" w:color="auto" w:sz="4" w:space="0"/>
              <w:right w:val="single" w:color="auto" w:sz="4" w:space="0"/>
            </w:tcBorders>
            <w:shd w:val="clear" w:color="auto" w:fill="auto"/>
            <w:vAlign w:val="center"/>
          </w:tcPr>
          <w:p>
            <w:pPr>
              <w:pStyle w:val="46"/>
            </w:pPr>
            <w:r>
              <w:rPr>
                <w:rFonts w:hint="eastAsia"/>
              </w:rPr>
              <w:t>主体身份代码</w:t>
            </w:r>
          </w:p>
        </w:tc>
        <w:tc>
          <w:tcPr>
            <w:tcW w:w="1930" w:type="pct"/>
            <w:tcBorders>
              <w:top w:val="nil"/>
              <w:left w:val="nil"/>
              <w:bottom w:val="single" w:color="auto" w:sz="4" w:space="0"/>
              <w:right w:val="single" w:color="auto" w:sz="4" w:space="0"/>
            </w:tcBorders>
            <w:shd w:val="clear" w:color="auto" w:fill="auto"/>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13" w:type="pct"/>
            <w:vMerge w:val="continue"/>
            <w:tcBorders>
              <w:top w:val="nil"/>
              <w:left w:val="single" w:color="auto" w:sz="4" w:space="0"/>
              <w:bottom w:val="single" w:color="auto" w:sz="4" w:space="0"/>
              <w:right w:val="single" w:color="auto" w:sz="4" w:space="0"/>
            </w:tcBorders>
            <w:vAlign w:val="center"/>
          </w:tcPr>
          <w:p>
            <w:pPr>
              <w:pStyle w:val="46"/>
            </w:pPr>
          </w:p>
        </w:tc>
        <w:tc>
          <w:tcPr>
            <w:tcW w:w="1257" w:type="pct"/>
            <w:tcBorders>
              <w:top w:val="nil"/>
              <w:left w:val="nil"/>
              <w:bottom w:val="single" w:color="auto" w:sz="4" w:space="0"/>
              <w:right w:val="single" w:color="auto" w:sz="4" w:space="0"/>
            </w:tcBorders>
            <w:shd w:val="clear" w:color="auto" w:fill="auto"/>
            <w:vAlign w:val="center"/>
          </w:tcPr>
          <w:p>
            <w:pPr>
              <w:pStyle w:val="46"/>
            </w:pPr>
            <w:r>
              <w:rPr>
                <w:rFonts w:hint="eastAsia"/>
              </w:rPr>
              <w:t>备案事项代码</w:t>
            </w:r>
          </w:p>
        </w:tc>
        <w:tc>
          <w:tcPr>
            <w:tcW w:w="1930" w:type="pct"/>
            <w:tcBorders>
              <w:top w:val="nil"/>
              <w:left w:val="nil"/>
              <w:bottom w:val="single" w:color="auto" w:sz="4" w:space="0"/>
              <w:right w:val="single" w:color="auto" w:sz="4" w:space="0"/>
            </w:tcBorders>
            <w:shd w:val="clear" w:color="auto" w:fill="auto"/>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13" w:type="pct"/>
            <w:vMerge w:val="continue"/>
            <w:tcBorders>
              <w:top w:val="nil"/>
              <w:left w:val="single" w:color="auto" w:sz="4" w:space="0"/>
              <w:bottom w:val="single" w:color="auto" w:sz="4" w:space="0"/>
              <w:right w:val="single" w:color="auto" w:sz="4" w:space="0"/>
            </w:tcBorders>
            <w:vAlign w:val="center"/>
          </w:tcPr>
          <w:p>
            <w:pPr>
              <w:pStyle w:val="46"/>
            </w:pPr>
          </w:p>
        </w:tc>
        <w:tc>
          <w:tcPr>
            <w:tcW w:w="1257" w:type="pct"/>
            <w:tcBorders>
              <w:top w:val="nil"/>
              <w:left w:val="nil"/>
              <w:bottom w:val="single" w:color="auto" w:sz="4" w:space="0"/>
              <w:right w:val="single" w:color="auto" w:sz="4" w:space="0"/>
            </w:tcBorders>
            <w:shd w:val="clear" w:color="auto" w:fill="auto"/>
            <w:vAlign w:val="center"/>
          </w:tcPr>
          <w:p>
            <w:pPr>
              <w:pStyle w:val="46"/>
            </w:pPr>
            <w:r>
              <w:rPr>
                <w:rFonts w:hint="eastAsia"/>
              </w:rPr>
              <w:t>备案事项名称</w:t>
            </w:r>
          </w:p>
        </w:tc>
        <w:tc>
          <w:tcPr>
            <w:tcW w:w="1930" w:type="pct"/>
            <w:tcBorders>
              <w:top w:val="nil"/>
              <w:left w:val="nil"/>
              <w:bottom w:val="single" w:color="auto" w:sz="4" w:space="0"/>
              <w:right w:val="single" w:color="auto" w:sz="4" w:space="0"/>
            </w:tcBorders>
            <w:shd w:val="clear" w:color="auto" w:fill="auto"/>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13" w:type="pct"/>
            <w:vMerge w:val="continue"/>
            <w:tcBorders>
              <w:top w:val="nil"/>
              <w:left w:val="single" w:color="auto" w:sz="4" w:space="0"/>
              <w:bottom w:val="single" w:color="auto" w:sz="4" w:space="0"/>
              <w:right w:val="single" w:color="auto" w:sz="4" w:space="0"/>
            </w:tcBorders>
            <w:vAlign w:val="center"/>
          </w:tcPr>
          <w:p>
            <w:pPr>
              <w:pStyle w:val="46"/>
            </w:pPr>
          </w:p>
        </w:tc>
        <w:tc>
          <w:tcPr>
            <w:tcW w:w="1257" w:type="pct"/>
            <w:tcBorders>
              <w:top w:val="nil"/>
              <w:left w:val="nil"/>
              <w:bottom w:val="single" w:color="auto" w:sz="4" w:space="0"/>
              <w:right w:val="single" w:color="auto" w:sz="4" w:space="0"/>
            </w:tcBorders>
            <w:shd w:val="clear" w:color="auto" w:fill="auto"/>
            <w:vAlign w:val="center"/>
          </w:tcPr>
          <w:p>
            <w:pPr>
              <w:pStyle w:val="46"/>
            </w:pPr>
            <w:r>
              <w:rPr>
                <w:rFonts w:hint="eastAsia"/>
              </w:rPr>
              <w:t>备注</w:t>
            </w:r>
          </w:p>
        </w:tc>
        <w:tc>
          <w:tcPr>
            <w:tcW w:w="1930" w:type="pct"/>
            <w:tcBorders>
              <w:top w:val="nil"/>
              <w:left w:val="nil"/>
              <w:bottom w:val="single" w:color="auto" w:sz="4" w:space="0"/>
              <w:right w:val="single" w:color="auto" w:sz="4" w:space="0"/>
            </w:tcBorders>
            <w:shd w:val="clear" w:color="auto" w:fill="auto"/>
            <w:vAlign w:val="center"/>
          </w:tcPr>
          <w:p>
            <w:pPr>
              <w:pStyle w:val="46"/>
            </w:pPr>
            <w:r>
              <w:rPr>
                <w:rFonts w:hint="eastAsia"/>
              </w:rPr>
              <w:t>√</w:t>
            </w:r>
          </w:p>
        </w:tc>
      </w:tr>
    </w:tbl>
    <w:p>
      <w:pPr>
        <w:pStyle w:val="9"/>
      </w:pPr>
      <w:r>
        <w:rPr>
          <w:rFonts w:hint="eastAsia"/>
        </w:rPr>
        <w:t>证照分离</w:t>
      </w:r>
    </w:p>
    <w:p>
      <w:r>
        <w:rPr>
          <w:rFonts w:hint="eastAsia"/>
        </w:rPr>
        <w:t>包括涉企证照事项公示信息等</w:t>
      </w:r>
    </w:p>
    <w:tbl>
      <w:tblPr>
        <w:tblStyle w:val="30"/>
        <w:tblW w:w="5000" w:type="pct"/>
        <w:tblInd w:w="0" w:type="dxa"/>
        <w:tblLayout w:type="autofit"/>
        <w:tblCellMar>
          <w:top w:w="0" w:type="dxa"/>
          <w:left w:w="108" w:type="dxa"/>
          <w:bottom w:w="0" w:type="dxa"/>
          <w:right w:w="108" w:type="dxa"/>
        </w:tblCellMar>
      </w:tblPr>
      <w:tblGrid>
        <w:gridCol w:w="3375"/>
        <w:gridCol w:w="2341"/>
        <w:gridCol w:w="3594"/>
      </w:tblGrid>
      <w:tr>
        <w:tblPrEx>
          <w:tblCellMar>
            <w:top w:w="0" w:type="dxa"/>
            <w:left w:w="108" w:type="dxa"/>
            <w:bottom w:w="0" w:type="dxa"/>
            <w:right w:w="108" w:type="dxa"/>
          </w:tblCellMar>
        </w:tblPrEx>
        <w:trPr>
          <w:trHeight w:val="561" w:hRule="atLeast"/>
        </w:trPr>
        <w:tc>
          <w:tcPr>
            <w:tcW w:w="1813"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信息类别</w:t>
            </w:r>
          </w:p>
        </w:tc>
        <w:tc>
          <w:tcPr>
            <w:tcW w:w="1257" w:type="pct"/>
            <w:tcBorders>
              <w:top w:val="single" w:color="auto" w:sz="4" w:space="0"/>
              <w:left w:val="nil"/>
              <w:bottom w:val="single" w:color="auto" w:sz="4" w:space="0"/>
              <w:right w:val="single" w:color="auto" w:sz="4" w:space="0"/>
            </w:tcBorders>
            <w:noWrap/>
            <w:vAlign w:val="center"/>
          </w:tcPr>
          <w:p>
            <w:pPr>
              <w:pStyle w:val="46"/>
            </w:pPr>
            <w:r>
              <w:rPr>
                <w:rFonts w:hint="eastAsia"/>
              </w:rPr>
              <w:t>指标项</w:t>
            </w:r>
          </w:p>
        </w:tc>
        <w:tc>
          <w:tcPr>
            <w:tcW w:w="1930" w:type="pct"/>
            <w:tcBorders>
              <w:top w:val="single" w:color="auto" w:sz="4" w:space="0"/>
              <w:left w:val="nil"/>
              <w:bottom w:val="single" w:color="auto" w:sz="4" w:space="0"/>
              <w:right w:val="single" w:color="auto" w:sz="4" w:space="0"/>
            </w:tcBorders>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1813"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涉企证照事项公示信息</w:t>
            </w:r>
          </w:p>
        </w:tc>
        <w:tc>
          <w:tcPr>
            <w:tcW w:w="1257" w:type="pct"/>
            <w:tcBorders>
              <w:top w:val="nil"/>
              <w:left w:val="nil"/>
              <w:bottom w:val="single" w:color="auto" w:sz="4" w:space="0"/>
              <w:right w:val="single" w:color="auto" w:sz="4" w:space="0"/>
            </w:tcBorders>
            <w:vAlign w:val="center"/>
          </w:tcPr>
          <w:p>
            <w:pPr>
              <w:pStyle w:val="46"/>
            </w:pPr>
            <w:r>
              <w:rPr>
                <w:rFonts w:hint="eastAsia"/>
              </w:rPr>
              <w:t>备案ID</w:t>
            </w:r>
          </w:p>
        </w:tc>
        <w:tc>
          <w:tcPr>
            <w:tcW w:w="193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13" w:type="pct"/>
            <w:vMerge w:val="continue"/>
            <w:tcBorders>
              <w:top w:val="nil"/>
              <w:left w:val="single" w:color="auto" w:sz="4" w:space="0"/>
              <w:bottom w:val="single" w:color="auto" w:sz="4" w:space="0"/>
              <w:right w:val="single" w:color="auto" w:sz="4" w:space="0"/>
            </w:tcBorders>
            <w:vAlign w:val="center"/>
          </w:tcPr>
          <w:p>
            <w:pPr>
              <w:pStyle w:val="46"/>
            </w:pPr>
          </w:p>
        </w:tc>
        <w:tc>
          <w:tcPr>
            <w:tcW w:w="1257" w:type="pct"/>
            <w:tcBorders>
              <w:top w:val="nil"/>
              <w:left w:val="nil"/>
              <w:bottom w:val="single" w:color="auto" w:sz="4" w:space="0"/>
              <w:right w:val="single" w:color="auto" w:sz="4" w:space="0"/>
            </w:tcBorders>
            <w:vAlign w:val="center"/>
          </w:tcPr>
          <w:p>
            <w:pPr>
              <w:pStyle w:val="46"/>
            </w:pPr>
            <w:r>
              <w:rPr>
                <w:rFonts w:hint="eastAsia"/>
              </w:rPr>
              <w:t>主体身份代码</w:t>
            </w:r>
          </w:p>
        </w:tc>
        <w:tc>
          <w:tcPr>
            <w:tcW w:w="193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13" w:type="pct"/>
            <w:vMerge w:val="continue"/>
            <w:tcBorders>
              <w:top w:val="nil"/>
              <w:left w:val="single" w:color="auto" w:sz="4" w:space="0"/>
              <w:bottom w:val="single" w:color="auto" w:sz="4" w:space="0"/>
              <w:right w:val="single" w:color="auto" w:sz="4" w:space="0"/>
            </w:tcBorders>
            <w:vAlign w:val="center"/>
          </w:tcPr>
          <w:p>
            <w:pPr>
              <w:pStyle w:val="46"/>
            </w:pPr>
          </w:p>
        </w:tc>
        <w:tc>
          <w:tcPr>
            <w:tcW w:w="1257" w:type="pct"/>
            <w:tcBorders>
              <w:top w:val="nil"/>
              <w:left w:val="nil"/>
              <w:bottom w:val="single" w:color="auto" w:sz="4" w:space="0"/>
              <w:right w:val="single" w:color="auto" w:sz="4" w:space="0"/>
            </w:tcBorders>
            <w:vAlign w:val="center"/>
          </w:tcPr>
          <w:p>
            <w:pPr>
              <w:pStyle w:val="46"/>
            </w:pPr>
            <w:r>
              <w:rPr>
                <w:rFonts w:hint="eastAsia"/>
              </w:rPr>
              <w:t>备案事项代码</w:t>
            </w:r>
          </w:p>
        </w:tc>
        <w:tc>
          <w:tcPr>
            <w:tcW w:w="193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13" w:type="pct"/>
            <w:vMerge w:val="continue"/>
            <w:tcBorders>
              <w:top w:val="nil"/>
              <w:left w:val="single" w:color="auto" w:sz="4" w:space="0"/>
              <w:bottom w:val="single" w:color="auto" w:sz="4" w:space="0"/>
              <w:right w:val="single" w:color="auto" w:sz="4" w:space="0"/>
            </w:tcBorders>
            <w:vAlign w:val="center"/>
          </w:tcPr>
          <w:p>
            <w:pPr>
              <w:pStyle w:val="46"/>
            </w:pPr>
          </w:p>
        </w:tc>
        <w:tc>
          <w:tcPr>
            <w:tcW w:w="1257" w:type="pct"/>
            <w:tcBorders>
              <w:top w:val="nil"/>
              <w:left w:val="nil"/>
              <w:bottom w:val="single" w:color="auto" w:sz="4" w:space="0"/>
              <w:right w:val="single" w:color="auto" w:sz="4" w:space="0"/>
            </w:tcBorders>
            <w:vAlign w:val="center"/>
          </w:tcPr>
          <w:p>
            <w:pPr>
              <w:pStyle w:val="46"/>
            </w:pPr>
            <w:r>
              <w:rPr>
                <w:rFonts w:hint="eastAsia"/>
              </w:rPr>
              <w:t>备案事项名称</w:t>
            </w:r>
          </w:p>
        </w:tc>
        <w:tc>
          <w:tcPr>
            <w:tcW w:w="193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13" w:type="pct"/>
            <w:vMerge w:val="continue"/>
            <w:tcBorders>
              <w:top w:val="nil"/>
              <w:left w:val="single" w:color="auto" w:sz="4" w:space="0"/>
              <w:bottom w:val="single" w:color="auto" w:sz="4" w:space="0"/>
              <w:right w:val="single" w:color="auto" w:sz="4" w:space="0"/>
            </w:tcBorders>
            <w:vAlign w:val="center"/>
          </w:tcPr>
          <w:p>
            <w:pPr>
              <w:pStyle w:val="46"/>
            </w:pPr>
          </w:p>
        </w:tc>
        <w:tc>
          <w:tcPr>
            <w:tcW w:w="1257" w:type="pct"/>
            <w:tcBorders>
              <w:top w:val="nil"/>
              <w:left w:val="nil"/>
              <w:bottom w:val="single" w:color="auto" w:sz="4" w:space="0"/>
              <w:right w:val="single" w:color="auto" w:sz="4" w:space="0"/>
            </w:tcBorders>
            <w:vAlign w:val="center"/>
          </w:tcPr>
          <w:p>
            <w:pPr>
              <w:pStyle w:val="46"/>
            </w:pPr>
            <w:r>
              <w:rPr>
                <w:rFonts w:hint="eastAsia"/>
              </w:rPr>
              <w:t>备注</w:t>
            </w:r>
          </w:p>
        </w:tc>
        <w:tc>
          <w:tcPr>
            <w:tcW w:w="1930" w:type="pct"/>
            <w:tcBorders>
              <w:top w:val="nil"/>
              <w:left w:val="nil"/>
              <w:bottom w:val="single" w:color="auto" w:sz="4" w:space="0"/>
              <w:right w:val="single" w:color="auto" w:sz="4" w:space="0"/>
            </w:tcBorders>
            <w:vAlign w:val="center"/>
          </w:tcPr>
          <w:p>
            <w:pPr>
              <w:pStyle w:val="46"/>
            </w:pPr>
            <w:r>
              <w:rPr>
                <w:rFonts w:hint="eastAsia"/>
              </w:rPr>
              <w:t>√</w:t>
            </w:r>
          </w:p>
        </w:tc>
      </w:tr>
    </w:tbl>
    <w:p>
      <w:pPr>
        <w:pStyle w:val="9"/>
      </w:pPr>
      <w:r>
        <w:rPr>
          <w:rFonts w:hint="eastAsia"/>
        </w:rPr>
        <w:t>股权冻结</w:t>
      </w:r>
    </w:p>
    <w:p>
      <w:r>
        <w:rPr>
          <w:rFonts w:hint="eastAsia"/>
        </w:rPr>
        <w:t>包括股权冻结信息、股权冻结被执行人信息、股权变更信息等</w:t>
      </w:r>
    </w:p>
    <w:tbl>
      <w:tblPr>
        <w:tblStyle w:val="30"/>
        <w:tblW w:w="5000" w:type="pct"/>
        <w:tblInd w:w="0" w:type="dxa"/>
        <w:tblLayout w:type="autofit"/>
        <w:tblCellMar>
          <w:top w:w="0" w:type="dxa"/>
          <w:left w:w="108" w:type="dxa"/>
          <w:bottom w:w="0" w:type="dxa"/>
          <w:right w:w="108" w:type="dxa"/>
        </w:tblCellMar>
      </w:tblPr>
      <w:tblGrid>
        <w:gridCol w:w="2467"/>
        <w:gridCol w:w="4851"/>
        <w:gridCol w:w="1992"/>
      </w:tblGrid>
      <w:tr>
        <w:tblPrEx>
          <w:tblCellMar>
            <w:top w:w="0" w:type="dxa"/>
            <w:left w:w="108" w:type="dxa"/>
            <w:bottom w:w="0" w:type="dxa"/>
            <w:right w:w="108" w:type="dxa"/>
          </w:tblCellMar>
        </w:tblPrEx>
        <w:trPr>
          <w:trHeight w:val="480" w:hRule="atLeast"/>
        </w:trPr>
        <w:tc>
          <w:tcPr>
            <w:tcW w:w="1325"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信息类别</w:t>
            </w:r>
          </w:p>
        </w:tc>
        <w:tc>
          <w:tcPr>
            <w:tcW w:w="2605" w:type="pct"/>
            <w:tcBorders>
              <w:top w:val="single" w:color="auto" w:sz="4" w:space="0"/>
              <w:left w:val="nil"/>
              <w:bottom w:val="single" w:color="auto" w:sz="4" w:space="0"/>
              <w:right w:val="single" w:color="auto" w:sz="4" w:space="0"/>
            </w:tcBorders>
            <w:noWrap/>
            <w:vAlign w:val="center"/>
          </w:tcPr>
          <w:p>
            <w:pPr>
              <w:pStyle w:val="46"/>
            </w:pPr>
            <w:r>
              <w:rPr>
                <w:rFonts w:hint="eastAsia"/>
              </w:rPr>
              <w:t>指标项</w:t>
            </w:r>
          </w:p>
        </w:tc>
        <w:tc>
          <w:tcPr>
            <w:tcW w:w="1071" w:type="pct"/>
            <w:tcBorders>
              <w:top w:val="single" w:color="auto" w:sz="4" w:space="0"/>
              <w:left w:val="nil"/>
              <w:bottom w:val="single" w:color="auto" w:sz="4" w:space="0"/>
              <w:right w:val="single" w:color="auto" w:sz="4" w:space="0"/>
            </w:tcBorders>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1325" w:type="pct"/>
            <w:vMerge w:val="restart"/>
            <w:tcBorders>
              <w:top w:val="nil"/>
              <w:left w:val="single" w:color="auto" w:sz="4" w:space="0"/>
              <w:bottom w:val="single" w:color="auto" w:sz="4" w:space="0"/>
              <w:right w:val="single" w:color="auto" w:sz="4" w:space="0"/>
            </w:tcBorders>
            <w:vAlign w:val="center"/>
          </w:tcPr>
          <w:p>
            <w:pPr>
              <w:pStyle w:val="46"/>
            </w:pPr>
            <w:r>
              <w:rPr>
                <w:rFonts w:hint="eastAsia"/>
              </w:rPr>
              <w:t>股权冻结信息</w:t>
            </w:r>
          </w:p>
        </w:tc>
        <w:tc>
          <w:tcPr>
            <w:tcW w:w="2605" w:type="pct"/>
            <w:tcBorders>
              <w:top w:val="nil"/>
              <w:left w:val="nil"/>
              <w:bottom w:val="single" w:color="auto" w:sz="4" w:space="0"/>
              <w:right w:val="single" w:color="auto" w:sz="4" w:space="0"/>
            </w:tcBorders>
            <w:noWrap/>
            <w:vAlign w:val="center"/>
          </w:tcPr>
          <w:p>
            <w:pPr>
              <w:pStyle w:val="46"/>
            </w:pPr>
            <w:r>
              <w:rPr>
                <w:rFonts w:hint="eastAsia"/>
              </w:rPr>
              <w:t>冻结ID</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被冻结股权所在市场主体身份代码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股权冻结被执行人信息ID</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执行事项</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执行事项（中文名称）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执行法院</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执行裁定书文号</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协助执行通知书文号</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被执行人类型</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被执行人类型（中文名称）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证件类型</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证件类型（中文名称）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证件号码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证照类型</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证照类型（中文名称）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证照编号</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被冻结股权所在市场主体名称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被冻结股权所在市场主体注册号</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被冻结股权所在市场统一社会信用代码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股权数额</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股权数额单位</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币种</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币种（中文名称）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冻结期限</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冻结期限自</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冻结期限至</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续行冻结期限自</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续行冻结期限至</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续行冻结期限</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公示日期</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股权冻结状态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股权冻结状态（中文名称）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解冻日期</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失效日期</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失效原因</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失效原因（中文名称）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股权冻结被执行人信息</w:t>
            </w:r>
          </w:p>
        </w:tc>
        <w:tc>
          <w:tcPr>
            <w:tcW w:w="2605" w:type="pct"/>
            <w:tcBorders>
              <w:top w:val="nil"/>
              <w:left w:val="nil"/>
              <w:bottom w:val="single" w:color="auto" w:sz="4" w:space="0"/>
              <w:right w:val="single" w:color="auto" w:sz="4" w:space="0"/>
            </w:tcBorders>
            <w:noWrap/>
            <w:vAlign w:val="center"/>
          </w:tcPr>
          <w:p>
            <w:pPr>
              <w:pStyle w:val="46"/>
            </w:pPr>
            <w:r>
              <w:rPr>
                <w:rFonts w:hint="eastAsia"/>
              </w:rPr>
              <w:t>股权冻结被执行人信息ID</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执行法院</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协助公示通知书文号</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股权所在公司名称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股权所在企业注册号</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股权所在企业统一社会信用代码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股权数额</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币种</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币种（中文名称）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股权冻结状态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股权冻结状态（中文名称）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公示日期</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股权变更信息</w:t>
            </w:r>
          </w:p>
        </w:tc>
        <w:tc>
          <w:tcPr>
            <w:tcW w:w="2605" w:type="pct"/>
            <w:tcBorders>
              <w:top w:val="nil"/>
              <w:left w:val="nil"/>
              <w:bottom w:val="single" w:color="auto" w:sz="4" w:space="0"/>
              <w:right w:val="single" w:color="auto" w:sz="4" w:space="0"/>
            </w:tcBorders>
            <w:noWrap/>
            <w:vAlign w:val="center"/>
          </w:tcPr>
          <w:p>
            <w:pPr>
              <w:pStyle w:val="46"/>
            </w:pPr>
            <w:r>
              <w:rPr>
                <w:rFonts w:hint="eastAsia"/>
              </w:rPr>
              <w:t>股权变更ID</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股权所在公司名称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股权所在企业注册号</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股权所在企业统一社会信用代码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执行法院</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执行裁定书文号</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协助执行通知书文号</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被执行人类型</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被执行人类型（中文名称）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被执行人证件类型</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被执行人证件类型（中文名称）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被执行人证件号码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被执行人证照类型</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被执行人证照类型（中文名称）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被执行人证照号码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股权（其他投资权益）数额</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币种</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币种（中文名称）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受让人类型</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受让人类型（中文名称）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受让人</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受让人证件类型</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受让人证件类型（中文名称）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受让人证件号码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受让人证照类型</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受让人证照类型（中文名称）</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受让人证照号码</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325" w:type="pct"/>
            <w:vMerge w:val="continue"/>
            <w:tcBorders>
              <w:top w:val="nil"/>
              <w:left w:val="single" w:color="auto" w:sz="4" w:space="0"/>
              <w:bottom w:val="single" w:color="auto" w:sz="4" w:space="0"/>
              <w:right w:val="single" w:color="auto" w:sz="4" w:space="0"/>
            </w:tcBorders>
            <w:vAlign w:val="center"/>
          </w:tcPr>
          <w:p>
            <w:pPr>
              <w:pStyle w:val="46"/>
            </w:pPr>
          </w:p>
        </w:tc>
        <w:tc>
          <w:tcPr>
            <w:tcW w:w="2605" w:type="pct"/>
            <w:tcBorders>
              <w:top w:val="nil"/>
              <w:left w:val="nil"/>
              <w:bottom w:val="single" w:color="auto" w:sz="4" w:space="0"/>
              <w:right w:val="single" w:color="auto" w:sz="4" w:space="0"/>
            </w:tcBorders>
            <w:noWrap/>
            <w:vAlign w:val="center"/>
          </w:tcPr>
          <w:p>
            <w:pPr>
              <w:pStyle w:val="46"/>
            </w:pPr>
            <w:r>
              <w:rPr>
                <w:rFonts w:hint="eastAsia"/>
              </w:rPr>
              <w:t>协助执行日期</w:t>
            </w:r>
          </w:p>
        </w:tc>
        <w:tc>
          <w:tcPr>
            <w:tcW w:w="1071" w:type="pct"/>
            <w:tcBorders>
              <w:top w:val="nil"/>
              <w:left w:val="nil"/>
              <w:bottom w:val="single" w:color="auto" w:sz="4" w:space="0"/>
              <w:right w:val="single" w:color="auto" w:sz="4" w:space="0"/>
            </w:tcBorders>
            <w:vAlign w:val="center"/>
          </w:tcPr>
          <w:p>
            <w:pPr>
              <w:pStyle w:val="46"/>
            </w:pPr>
            <w:r>
              <w:rPr>
                <w:rFonts w:hint="eastAsia"/>
              </w:rPr>
              <w:t>√</w:t>
            </w:r>
          </w:p>
        </w:tc>
      </w:tr>
    </w:tbl>
    <w:p>
      <w:pPr>
        <w:pStyle w:val="9"/>
      </w:pPr>
      <w:r>
        <w:rPr>
          <w:rFonts w:hint="eastAsia"/>
        </w:rPr>
        <w:t>简易注销</w:t>
      </w:r>
    </w:p>
    <w:p>
      <w:r>
        <w:rPr>
          <w:rFonts w:hint="eastAsia"/>
        </w:rPr>
        <w:t>包括简易注销公告信息、简易注销异议信息等。</w:t>
      </w:r>
    </w:p>
    <w:tbl>
      <w:tblPr>
        <w:tblStyle w:val="30"/>
        <w:tblW w:w="5000" w:type="pct"/>
        <w:tblInd w:w="0" w:type="dxa"/>
        <w:tblLayout w:type="autofit"/>
        <w:tblCellMar>
          <w:top w:w="0" w:type="dxa"/>
          <w:left w:w="108" w:type="dxa"/>
          <w:bottom w:w="0" w:type="dxa"/>
          <w:right w:w="108" w:type="dxa"/>
        </w:tblCellMar>
      </w:tblPr>
      <w:tblGrid>
        <w:gridCol w:w="2886"/>
        <w:gridCol w:w="5150"/>
        <w:gridCol w:w="1274"/>
      </w:tblGrid>
      <w:tr>
        <w:tblPrEx>
          <w:tblCellMar>
            <w:top w:w="0" w:type="dxa"/>
            <w:left w:w="108" w:type="dxa"/>
            <w:bottom w:w="0" w:type="dxa"/>
            <w:right w:w="108" w:type="dxa"/>
          </w:tblCellMar>
        </w:tblPrEx>
        <w:trPr>
          <w:trHeight w:val="561" w:hRule="atLeast"/>
        </w:trPr>
        <w:tc>
          <w:tcPr>
            <w:tcW w:w="1550"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信息类别</w:t>
            </w:r>
          </w:p>
        </w:tc>
        <w:tc>
          <w:tcPr>
            <w:tcW w:w="2765" w:type="pct"/>
            <w:tcBorders>
              <w:top w:val="single" w:color="auto" w:sz="4" w:space="0"/>
              <w:left w:val="nil"/>
              <w:bottom w:val="single" w:color="auto" w:sz="4" w:space="0"/>
              <w:right w:val="single" w:color="auto" w:sz="4" w:space="0"/>
            </w:tcBorders>
            <w:noWrap/>
            <w:vAlign w:val="center"/>
          </w:tcPr>
          <w:p>
            <w:pPr>
              <w:pStyle w:val="46"/>
            </w:pPr>
            <w:r>
              <w:rPr>
                <w:rFonts w:hint="eastAsia"/>
              </w:rPr>
              <w:t>指标项</w:t>
            </w:r>
          </w:p>
        </w:tc>
        <w:tc>
          <w:tcPr>
            <w:tcW w:w="684" w:type="pct"/>
            <w:tcBorders>
              <w:top w:val="single" w:color="auto" w:sz="4" w:space="0"/>
              <w:left w:val="nil"/>
              <w:bottom w:val="single" w:color="auto" w:sz="4" w:space="0"/>
              <w:right w:val="single" w:color="auto" w:sz="4" w:space="0"/>
            </w:tcBorders>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1550"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简易注销公告信息</w:t>
            </w:r>
          </w:p>
        </w:tc>
        <w:tc>
          <w:tcPr>
            <w:tcW w:w="2765" w:type="pct"/>
            <w:tcBorders>
              <w:top w:val="nil"/>
              <w:left w:val="nil"/>
              <w:bottom w:val="single" w:color="auto" w:sz="4" w:space="0"/>
              <w:right w:val="single" w:color="auto" w:sz="4" w:space="0"/>
            </w:tcBorders>
            <w:noWrap/>
            <w:vAlign w:val="bottom"/>
          </w:tcPr>
          <w:p>
            <w:pPr>
              <w:pStyle w:val="46"/>
            </w:pPr>
            <w:r>
              <w:rPr>
                <w:rFonts w:hint="eastAsia"/>
              </w:rPr>
              <w:t>简易注销公告ID</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主体身份代码</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名称</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统一社会信用代码</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注册号</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登记机关</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公告申请日期</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公告期自</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公告期至</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全体投资人承诺书</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全体投资人承诺书文件名称</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简易注销结果</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核准日期</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公告撤销日期</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简易注销异议信息</w:t>
            </w:r>
          </w:p>
        </w:tc>
        <w:tc>
          <w:tcPr>
            <w:tcW w:w="2765" w:type="pct"/>
            <w:tcBorders>
              <w:top w:val="nil"/>
              <w:left w:val="nil"/>
              <w:bottom w:val="single" w:color="auto" w:sz="4" w:space="0"/>
              <w:right w:val="single" w:color="auto" w:sz="4" w:space="0"/>
            </w:tcBorders>
            <w:noWrap/>
            <w:vAlign w:val="bottom"/>
          </w:tcPr>
          <w:p>
            <w:pPr>
              <w:pStyle w:val="46"/>
            </w:pPr>
            <w:r>
              <w:rPr>
                <w:rFonts w:hint="eastAsia"/>
              </w:rPr>
              <w:t>简易注销异议ID</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简易注销ID</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异议人名称</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异议内容</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550" w:type="pct"/>
            <w:vMerge w:val="continue"/>
            <w:tcBorders>
              <w:top w:val="nil"/>
              <w:left w:val="single" w:color="auto" w:sz="4" w:space="0"/>
              <w:bottom w:val="single" w:color="auto" w:sz="4" w:space="0"/>
              <w:right w:val="single" w:color="auto" w:sz="4" w:space="0"/>
            </w:tcBorders>
            <w:vAlign w:val="center"/>
          </w:tcPr>
          <w:p>
            <w:pPr>
              <w:pStyle w:val="46"/>
            </w:pPr>
          </w:p>
        </w:tc>
        <w:tc>
          <w:tcPr>
            <w:tcW w:w="2765" w:type="pct"/>
            <w:tcBorders>
              <w:top w:val="nil"/>
              <w:left w:val="nil"/>
              <w:bottom w:val="single" w:color="auto" w:sz="4" w:space="0"/>
              <w:right w:val="single" w:color="auto" w:sz="4" w:space="0"/>
            </w:tcBorders>
            <w:noWrap/>
            <w:vAlign w:val="bottom"/>
          </w:tcPr>
          <w:p>
            <w:pPr>
              <w:pStyle w:val="46"/>
            </w:pPr>
            <w:r>
              <w:rPr>
                <w:rFonts w:hint="eastAsia"/>
              </w:rPr>
              <w:t>异议申请日期</w:t>
            </w:r>
          </w:p>
        </w:tc>
        <w:tc>
          <w:tcPr>
            <w:tcW w:w="684" w:type="pct"/>
            <w:tcBorders>
              <w:top w:val="nil"/>
              <w:left w:val="nil"/>
              <w:bottom w:val="single" w:color="auto" w:sz="4" w:space="0"/>
              <w:right w:val="single" w:color="auto" w:sz="4" w:space="0"/>
            </w:tcBorders>
            <w:vAlign w:val="center"/>
          </w:tcPr>
          <w:p>
            <w:pPr>
              <w:pStyle w:val="46"/>
            </w:pPr>
            <w:r>
              <w:rPr>
                <w:rFonts w:hint="eastAsia"/>
              </w:rPr>
              <w:t>√</w:t>
            </w:r>
          </w:p>
        </w:tc>
      </w:tr>
    </w:tbl>
    <w:p>
      <w:pPr>
        <w:pStyle w:val="9"/>
      </w:pPr>
      <w:r>
        <w:rPr>
          <w:rFonts w:hint="eastAsia"/>
        </w:rPr>
        <w:t>企业注销便利化</w:t>
      </w:r>
    </w:p>
    <w:p>
      <w:r>
        <w:rPr>
          <w:rFonts w:hint="eastAsia"/>
        </w:rPr>
        <w:t>包括清算基本信息、清算组成员信息</w:t>
      </w:r>
      <w:r>
        <w:t>(</w:t>
      </w:r>
      <w:r>
        <w:rPr>
          <w:rFonts w:hint="eastAsia"/>
        </w:rPr>
        <w:t>自然人</w:t>
      </w:r>
      <w:r>
        <w:t>)</w:t>
      </w:r>
      <w:r>
        <w:rPr>
          <w:rFonts w:hint="eastAsia"/>
        </w:rPr>
        <w:t>、清算组成员信息</w:t>
      </w:r>
      <w:r>
        <w:t>(</w:t>
      </w:r>
      <w:r>
        <w:rPr>
          <w:rFonts w:hint="eastAsia"/>
        </w:rPr>
        <w:t>非自然人</w:t>
      </w:r>
      <w:r>
        <w:t>)</w:t>
      </w:r>
      <w:r>
        <w:rPr>
          <w:rFonts w:hint="eastAsia"/>
        </w:rPr>
        <w:t>、清算组备案修改信息、债权人公告信息等。</w:t>
      </w:r>
    </w:p>
    <w:tbl>
      <w:tblPr>
        <w:tblStyle w:val="30"/>
        <w:tblW w:w="5000" w:type="pct"/>
        <w:tblInd w:w="0" w:type="dxa"/>
        <w:tblLayout w:type="autofit"/>
        <w:tblCellMar>
          <w:top w:w="0" w:type="dxa"/>
          <w:left w:w="108" w:type="dxa"/>
          <w:bottom w:w="0" w:type="dxa"/>
          <w:right w:w="108" w:type="dxa"/>
        </w:tblCellMar>
      </w:tblPr>
      <w:tblGrid>
        <w:gridCol w:w="3609"/>
        <w:gridCol w:w="3932"/>
        <w:gridCol w:w="1769"/>
      </w:tblGrid>
      <w:tr>
        <w:tblPrEx>
          <w:tblCellMar>
            <w:top w:w="0" w:type="dxa"/>
            <w:left w:w="108" w:type="dxa"/>
            <w:bottom w:w="0" w:type="dxa"/>
            <w:right w:w="108" w:type="dxa"/>
          </w:tblCellMar>
        </w:tblPrEx>
        <w:trPr>
          <w:trHeight w:val="579" w:hRule="atLeast"/>
        </w:trPr>
        <w:tc>
          <w:tcPr>
            <w:tcW w:w="1938"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信息类别</w:t>
            </w:r>
          </w:p>
        </w:tc>
        <w:tc>
          <w:tcPr>
            <w:tcW w:w="2111" w:type="pct"/>
            <w:tcBorders>
              <w:top w:val="single" w:color="auto" w:sz="4" w:space="0"/>
              <w:left w:val="nil"/>
              <w:bottom w:val="single" w:color="auto" w:sz="4" w:space="0"/>
              <w:right w:val="single" w:color="auto" w:sz="4" w:space="0"/>
            </w:tcBorders>
            <w:noWrap/>
            <w:vAlign w:val="center"/>
          </w:tcPr>
          <w:p>
            <w:pPr>
              <w:pStyle w:val="46"/>
            </w:pPr>
            <w:r>
              <w:rPr>
                <w:rFonts w:hint="eastAsia"/>
              </w:rPr>
              <w:t>指标项</w:t>
            </w:r>
          </w:p>
        </w:tc>
        <w:tc>
          <w:tcPr>
            <w:tcW w:w="950" w:type="pct"/>
            <w:tcBorders>
              <w:top w:val="single" w:color="auto" w:sz="4" w:space="0"/>
              <w:left w:val="nil"/>
              <w:bottom w:val="single" w:color="auto" w:sz="4" w:space="0"/>
              <w:right w:val="single" w:color="auto" w:sz="4" w:space="0"/>
            </w:tcBorders>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1938"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清算基本信息</w:t>
            </w:r>
          </w:p>
        </w:tc>
        <w:tc>
          <w:tcPr>
            <w:tcW w:w="2111" w:type="pct"/>
            <w:tcBorders>
              <w:top w:val="nil"/>
              <w:left w:val="nil"/>
              <w:bottom w:val="single" w:color="auto" w:sz="4" w:space="0"/>
              <w:right w:val="single" w:color="auto" w:sz="4" w:space="0"/>
            </w:tcBorders>
            <w:noWrap/>
            <w:vAlign w:val="center"/>
          </w:tcPr>
          <w:p>
            <w:pPr>
              <w:pStyle w:val="46"/>
            </w:pPr>
            <w:r>
              <w:rPr>
                <w:rFonts w:hint="eastAsia"/>
              </w:rPr>
              <w:t>清算信息编号</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企业（机构）名称</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统一社会信用代码</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注册号</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登记机关</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vAlign w:val="center"/>
          </w:tcPr>
          <w:p>
            <w:pPr>
              <w:pStyle w:val="46"/>
            </w:pPr>
            <w:r>
              <w:rPr>
                <w:rFonts w:hint="eastAsia"/>
              </w:rPr>
              <w:t>登记机关（中文名称）</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注销原因</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清算组成立日期</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联系电话</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地址</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备案日期</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清算组成员信息(自然人)</w:t>
            </w:r>
          </w:p>
        </w:tc>
        <w:tc>
          <w:tcPr>
            <w:tcW w:w="2111" w:type="pct"/>
            <w:tcBorders>
              <w:top w:val="nil"/>
              <w:left w:val="nil"/>
              <w:bottom w:val="single" w:color="auto" w:sz="4" w:space="0"/>
              <w:right w:val="single" w:color="auto" w:sz="4" w:space="0"/>
            </w:tcBorders>
            <w:noWrap/>
            <w:vAlign w:val="center"/>
          </w:tcPr>
          <w:p>
            <w:pPr>
              <w:pStyle w:val="46"/>
            </w:pPr>
            <w:r>
              <w:rPr>
                <w:rFonts w:hint="eastAsia"/>
              </w:rPr>
              <w:t>清算成员编号</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清算信息编号</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清算组成员</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证件类型</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证件号码</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联系电话</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地址</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清算负责人标志</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清算组成员信息(非自然人)</w:t>
            </w:r>
          </w:p>
        </w:tc>
        <w:tc>
          <w:tcPr>
            <w:tcW w:w="2111" w:type="pct"/>
            <w:tcBorders>
              <w:top w:val="nil"/>
              <w:left w:val="nil"/>
              <w:bottom w:val="single" w:color="auto" w:sz="4" w:space="0"/>
              <w:right w:val="single" w:color="auto" w:sz="4" w:space="0"/>
            </w:tcBorders>
            <w:noWrap/>
            <w:vAlign w:val="center"/>
          </w:tcPr>
          <w:p>
            <w:pPr>
              <w:pStyle w:val="46"/>
            </w:pPr>
            <w:r>
              <w:rPr>
                <w:rFonts w:hint="eastAsia"/>
              </w:rPr>
              <w:t>清算成员编号</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清算信息编号</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清算组成员</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证照类型</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证照号码</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联系电话</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地址</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清算负责人标志</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清算组备案修改信息</w:t>
            </w:r>
          </w:p>
        </w:tc>
        <w:tc>
          <w:tcPr>
            <w:tcW w:w="2111" w:type="pct"/>
            <w:tcBorders>
              <w:top w:val="nil"/>
              <w:left w:val="nil"/>
              <w:bottom w:val="single" w:color="auto" w:sz="4" w:space="0"/>
              <w:right w:val="single" w:color="auto" w:sz="4" w:space="0"/>
            </w:tcBorders>
            <w:noWrap/>
            <w:vAlign w:val="center"/>
          </w:tcPr>
          <w:p>
            <w:pPr>
              <w:pStyle w:val="46"/>
            </w:pPr>
            <w:r>
              <w:rPr>
                <w:rFonts w:hint="eastAsia"/>
              </w:rPr>
              <w:t>清算变更ID</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清算信息编号</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修改事项</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修改前</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修改后</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修改日期</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债权人公告信息</w:t>
            </w:r>
          </w:p>
        </w:tc>
        <w:tc>
          <w:tcPr>
            <w:tcW w:w="2111" w:type="pct"/>
            <w:tcBorders>
              <w:top w:val="nil"/>
              <w:left w:val="nil"/>
              <w:bottom w:val="single" w:color="auto" w:sz="4" w:space="0"/>
              <w:right w:val="single" w:color="auto" w:sz="4" w:space="0"/>
            </w:tcBorders>
            <w:noWrap/>
            <w:vAlign w:val="bottom"/>
          </w:tcPr>
          <w:p>
            <w:pPr>
              <w:pStyle w:val="46"/>
            </w:pPr>
            <w:r>
              <w:rPr>
                <w:rFonts w:hint="eastAsia"/>
              </w:rPr>
              <w:t>债权人公告ID</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清算信息编号</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企业（机构）名称</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统一社会信用代码</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注册号</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登记机关</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vAlign w:val="center"/>
          </w:tcPr>
          <w:p>
            <w:pPr>
              <w:pStyle w:val="46"/>
            </w:pPr>
            <w:r>
              <w:rPr>
                <w:rFonts w:hint="eastAsia"/>
              </w:rPr>
              <w:t>登记机关（中文名称）</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公告期自</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公告期至</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center"/>
          </w:tcPr>
          <w:p>
            <w:pPr>
              <w:pStyle w:val="46"/>
            </w:pPr>
            <w:r>
              <w:rPr>
                <w:rFonts w:hint="eastAsia"/>
              </w:rPr>
              <w:t>注销原因</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公告内容</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债权申报联系人</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联系电话</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938" w:type="pct"/>
            <w:vMerge w:val="continue"/>
            <w:tcBorders>
              <w:top w:val="nil"/>
              <w:left w:val="single" w:color="auto" w:sz="4" w:space="0"/>
              <w:bottom w:val="single" w:color="auto" w:sz="4" w:space="0"/>
              <w:right w:val="single" w:color="auto" w:sz="4" w:space="0"/>
            </w:tcBorders>
            <w:vAlign w:val="center"/>
          </w:tcPr>
          <w:p>
            <w:pPr>
              <w:pStyle w:val="46"/>
            </w:pPr>
          </w:p>
        </w:tc>
        <w:tc>
          <w:tcPr>
            <w:tcW w:w="2111" w:type="pct"/>
            <w:tcBorders>
              <w:top w:val="nil"/>
              <w:left w:val="nil"/>
              <w:bottom w:val="single" w:color="auto" w:sz="4" w:space="0"/>
              <w:right w:val="single" w:color="auto" w:sz="4" w:space="0"/>
            </w:tcBorders>
            <w:noWrap/>
            <w:vAlign w:val="bottom"/>
          </w:tcPr>
          <w:p>
            <w:pPr>
              <w:pStyle w:val="46"/>
            </w:pPr>
            <w:r>
              <w:rPr>
                <w:rFonts w:hint="eastAsia"/>
              </w:rPr>
              <w:t>地址</w:t>
            </w:r>
          </w:p>
        </w:tc>
        <w:tc>
          <w:tcPr>
            <w:tcW w:w="950" w:type="pct"/>
            <w:tcBorders>
              <w:top w:val="nil"/>
              <w:left w:val="nil"/>
              <w:bottom w:val="single" w:color="auto" w:sz="4" w:space="0"/>
              <w:right w:val="single" w:color="auto" w:sz="4" w:space="0"/>
            </w:tcBorders>
            <w:vAlign w:val="center"/>
          </w:tcPr>
          <w:p>
            <w:pPr>
              <w:pStyle w:val="46"/>
            </w:pPr>
            <w:r>
              <w:rPr>
                <w:rFonts w:hint="eastAsia"/>
              </w:rPr>
              <w:t>√</w:t>
            </w:r>
          </w:p>
        </w:tc>
      </w:tr>
    </w:tbl>
    <w:p>
      <w:pPr>
        <w:pStyle w:val="9"/>
      </w:pPr>
      <w:r>
        <w:rPr>
          <w:rFonts w:hint="eastAsia"/>
        </w:rPr>
        <w:t>集团公示信息</w:t>
      </w:r>
    </w:p>
    <w:p>
      <w:r>
        <w:rPr>
          <w:rFonts w:hint="eastAsia"/>
        </w:rPr>
        <w:t>包括集团公示信息、集团成员公示信息等。</w:t>
      </w:r>
    </w:p>
    <w:tbl>
      <w:tblPr>
        <w:tblStyle w:val="30"/>
        <w:tblW w:w="5000" w:type="pct"/>
        <w:tblInd w:w="0" w:type="dxa"/>
        <w:tblLayout w:type="autofit"/>
        <w:tblCellMar>
          <w:top w:w="0" w:type="dxa"/>
          <w:left w:w="108" w:type="dxa"/>
          <w:bottom w:w="0" w:type="dxa"/>
          <w:right w:w="108" w:type="dxa"/>
        </w:tblCellMar>
      </w:tblPr>
      <w:tblGrid>
        <w:gridCol w:w="3744"/>
        <w:gridCol w:w="4309"/>
        <w:gridCol w:w="1257"/>
      </w:tblGrid>
      <w:tr>
        <w:tblPrEx>
          <w:tblCellMar>
            <w:top w:w="0" w:type="dxa"/>
            <w:left w:w="108" w:type="dxa"/>
            <w:bottom w:w="0" w:type="dxa"/>
            <w:right w:w="108" w:type="dxa"/>
          </w:tblCellMar>
        </w:tblPrEx>
        <w:trPr>
          <w:trHeight w:val="570" w:hRule="atLeast"/>
        </w:trPr>
        <w:tc>
          <w:tcPr>
            <w:tcW w:w="2011"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信息类别</w:t>
            </w:r>
          </w:p>
        </w:tc>
        <w:tc>
          <w:tcPr>
            <w:tcW w:w="2314" w:type="pct"/>
            <w:tcBorders>
              <w:top w:val="single" w:color="auto" w:sz="4" w:space="0"/>
              <w:left w:val="nil"/>
              <w:bottom w:val="single" w:color="auto" w:sz="4" w:space="0"/>
              <w:right w:val="single" w:color="auto" w:sz="4" w:space="0"/>
            </w:tcBorders>
            <w:noWrap/>
            <w:vAlign w:val="center"/>
          </w:tcPr>
          <w:p>
            <w:pPr>
              <w:pStyle w:val="46"/>
            </w:pPr>
            <w:r>
              <w:rPr>
                <w:rFonts w:hint="eastAsia"/>
              </w:rPr>
              <w:t>指标项</w:t>
            </w:r>
          </w:p>
        </w:tc>
        <w:tc>
          <w:tcPr>
            <w:tcW w:w="675" w:type="pct"/>
            <w:tcBorders>
              <w:top w:val="single" w:color="auto" w:sz="4" w:space="0"/>
              <w:left w:val="nil"/>
              <w:bottom w:val="single" w:color="auto" w:sz="4" w:space="0"/>
              <w:right w:val="single" w:color="auto" w:sz="4" w:space="0"/>
            </w:tcBorders>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2011"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集团公示信息</w:t>
            </w:r>
          </w:p>
        </w:tc>
        <w:tc>
          <w:tcPr>
            <w:tcW w:w="2314"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continue"/>
            <w:tcBorders>
              <w:top w:val="nil"/>
              <w:left w:val="single" w:color="auto" w:sz="4" w:space="0"/>
              <w:bottom w:val="single" w:color="auto" w:sz="4" w:space="0"/>
              <w:right w:val="single" w:color="auto" w:sz="4" w:space="0"/>
            </w:tcBorders>
            <w:vAlign w:val="center"/>
          </w:tcPr>
          <w:p>
            <w:pPr>
              <w:pStyle w:val="46"/>
            </w:pPr>
          </w:p>
        </w:tc>
        <w:tc>
          <w:tcPr>
            <w:tcW w:w="2314" w:type="pct"/>
            <w:tcBorders>
              <w:top w:val="nil"/>
              <w:left w:val="nil"/>
              <w:bottom w:val="single" w:color="auto" w:sz="4" w:space="0"/>
              <w:right w:val="single" w:color="auto" w:sz="4" w:space="0"/>
            </w:tcBorders>
            <w:vAlign w:val="center"/>
          </w:tcPr>
          <w:p>
            <w:pPr>
              <w:pStyle w:val="46"/>
            </w:pPr>
            <w:r>
              <w:rPr>
                <w:rFonts w:hint="eastAsia"/>
              </w:rPr>
              <w:t>是否集团母公司</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continue"/>
            <w:tcBorders>
              <w:top w:val="nil"/>
              <w:left w:val="single" w:color="auto" w:sz="4" w:space="0"/>
              <w:bottom w:val="single" w:color="auto" w:sz="4" w:space="0"/>
              <w:right w:val="single" w:color="auto" w:sz="4" w:space="0"/>
            </w:tcBorders>
            <w:vAlign w:val="center"/>
          </w:tcPr>
          <w:p>
            <w:pPr>
              <w:pStyle w:val="46"/>
            </w:pPr>
          </w:p>
        </w:tc>
        <w:tc>
          <w:tcPr>
            <w:tcW w:w="2314" w:type="pct"/>
            <w:tcBorders>
              <w:top w:val="nil"/>
              <w:left w:val="nil"/>
              <w:bottom w:val="single" w:color="auto" w:sz="4" w:space="0"/>
              <w:right w:val="single" w:color="auto" w:sz="4" w:space="0"/>
            </w:tcBorders>
            <w:vAlign w:val="center"/>
          </w:tcPr>
          <w:p>
            <w:pPr>
              <w:pStyle w:val="46"/>
            </w:pPr>
            <w:r>
              <w:rPr>
                <w:rFonts w:hint="eastAsia"/>
              </w:rPr>
              <w:t>集团名称</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continue"/>
            <w:tcBorders>
              <w:top w:val="nil"/>
              <w:left w:val="single" w:color="auto" w:sz="4" w:space="0"/>
              <w:bottom w:val="single" w:color="auto" w:sz="4" w:space="0"/>
              <w:right w:val="single" w:color="auto" w:sz="4" w:space="0"/>
            </w:tcBorders>
            <w:vAlign w:val="center"/>
          </w:tcPr>
          <w:p>
            <w:pPr>
              <w:pStyle w:val="46"/>
            </w:pPr>
          </w:p>
        </w:tc>
        <w:tc>
          <w:tcPr>
            <w:tcW w:w="2314" w:type="pct"/>
            <w:tcBorders>
              <w:top w:val="nil"/>
              <w:left w:val="nil"/>
              <w:bottom w:val="single" w:color="auto" w:sz="4" w:space="0"/>
              <w:right w:val="single" w:color="auto" w:sz="4" w:space="0"/>
            </w:tcBorders>
            <w:vAlign w:val="center"/>
          </w:tcPr>
          <w:p>
            <w:pPr>
              <w:pStyle w:val="46"/>
            </w:pPr>
            <w:r>
              <w:rPr>
                <w:rFonts w:hint="eastAsia"/>
              </w:rPr>
              <w:t>集团简称</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集团成员公示信息</w:t>
            </w:r>
          </w:p>
        </w:tc>
        <w:tc>
          <w:tcPr>
            <w:tcW w:w="2314" w:type="pct"/>
            <w:tcBorders>
              <w:top w:val="nil"/>
              <w:left w:val="nil"/>
              <w:bottom w:val="single" w:color="auto" w:sz="4" w:space="0"/>
              <w:right w:val="single" w:color="auto" w:sz="4" w:space="0"/>
            </w:tcBorders>
            <w:noWrap/>
            <w:vAlign w:val="center"/>
          </w:tcPr>
          <w:p>
            <w:pPr>
              <w:pStyle w:val="46"/>
            </w:pPr>
            <w:r>
              <w:rPr>
                <w:rFonts w:hint="eastAsia"/>
              </w:rPr>
              <w:t>成员ID</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continue"/>
            <w:tcBorders>
              <w:top w:val="nil"/>
              <w:left w:val="single" w:color="auto" w:sz="4" w:space="0"/>
              <w:bottom w:val="single" w:color="auto" w:sz="4" w:space="0"/>
              <w:right w:val="single" w:color="auto" w:sz="4" w:space="0"/>
            </w:tcBorders>
            <w:vAlign w:val="center"/>
          </w:tcPr>
          <w:p>
            <w:pPr>
              <w:pStyle w:val="46"/>
            </w:pPr>
          </w:p>
        </w:tc>
        <w:tc>
          <w:tcPr>
            <w:tcW w:w="2314" w:type="pct"/>
            <w:tcBorders>
              <w:top w:val="nil"/>
              <w:left w:val="nil"/>
              <w:bottom w:val="single" w:color="auto" w:sz="4" w:space="0"/>
              <w:right w:val="single" w:color="auto" w:sz="4" w:space="0"/>
            </w:tcBorders>
            <w:noWrap/>
            <w:vAlign w:val="center"/>
          </w:tcPr>
          <w:p>
            <w:pPr>
              <w:pStyle w:val="46"/>
            </w:pPr>
            <w:r>
              <w:rPr>
                <w:rFonts w:hint="eastAsia"/>
              </w:rPr>
              <w:t>集团母公司主体身份代码</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continue"/>
            <w:tcBorders>
              <w:top w:val="nil"/>
              <w:left w:val="single" w:color="auto" w:sz="4" w:space="0"/>
              <w:bottom w:val="single" w:color="auto" w:sz="4" w:space="0"/>
              <w:right w:val="single" w:color="auto" w:sz="4" w:space="0"/>
            </w:tcBorders>
            <w:vAlign w:val="center"/>
          </w:tcPr>
          <w:p>
            <w:pPr>
              <w:pStyle w:val="46"/>
            </w:pPr>
          </w:p>
        </w:tc>
        <w:tc>
          <w:tcPr>
            <w:tcW w:w="2314" w:type="pct"/>
            <w:tcBorders>
              <w:top w:val="nil"/>
              <w:left w:val="nil"/>
              <w:bottom w:val="single" w:color="auto" w:sz="4" w:space="0"/>
              <w:right w:val="single" w:color="auto" w:sz="4" w:space="0"/>
            </w:tcBorders>
            <w:noWrap/>
            <w:vAlign w:val="center"/>
          </w:tcPr>
          <w:p>
            <w:pPr>
              <w:pStyle w:val="46"/>
            </w:pPr>
            <w:r>
              <w:rPr>
                <w:rFonts w:hint="eastAsia"/>
              </w:rPr>
              <w:t>集团成员主体身份代码</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continue"/>
            <w:tcBorders>
              <w:top w:val="nil"/>
              <w:left w:val="single" w:color="auto" w:sz="4" w:space="0"/>
              <w:bottom w:val="single" w:color="auto" w:sz="4" w:space="0"/>
              <w:right w:val="single" w:color="auto" w:sz="4" w:space="0"/>
            </w:tcBorders>
            <w:vAlign w:val="center"/>
          </w:tcPr>
          <w:p>
            <w:pPr>
              <w:pStyle w:val="46"/>
            </w:pPr>
          </w:p>
        </w:tc>
        <w:tc>
          <w:tcPr>
            <w:tcW w:w="2314" w:type="pct"/>
            <w:tcBorders>
              <w:top w:val="nil"/>
              <w:left w:val="nil"/>
              <w:bottom w:val="single" w:color="auto" w:sz="4" w:space="0"/>
              <w:right w:val="single" w:color="auto" w:sz="4" w:space="0"/>
            </w:tcBorders>
            <w:vAlign w:val="center"/>
          </w:tcPr>
          <w:p>
            <w:pPr>
              <w:pStyle w:val="46"/>
            </w:pPr>
            <w:r>
              <w:rPr>
                <w:rFonts w:hint="eastAsia"/>
              </w:rPr>
              <w:t>成员名称</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continue"/>
            <w:tcBorders>
              <w:top w:val="nil"/>
              <w:left w:val="single" w:color="auto" w:sz="4" w:space="0"/>
              <w:bottom w:val="single" w:color="auto" w:sz="4" w:space="0"/>
              <w:right w:val="single" w:color="auto" w:sz="4" w:space="0"/>
            </w:tcBorders>
            <w:vAlign w:val="center"/>
          </w:tcPr>
          <w:p>
            <w:pPr>
              <w:pStyle w:val="46"/>
            </w:pPr>
          </w:p>
        </w:tc>
        <w:tc>
          <w:tcPr>
            <w:tcW w:w="2314" w:type="pct"/>
            <w:tcBorders>
              <w:top w:val="nil"/>
              <w:left w:val="nil"/>
              <w:bottom w:val="single" w:color="auto" w:sz="4" w:space="0"/>
              <w:right w:val="single" w:color="auto" w:sz="4" w:space="0"/>
            </w:tcBorders>
            <w:vAlign w:val="center"/>
          </w:tcPr>
          <w:p>
            <w:pPr>
              <w:pStyle w:val="46"/>
            </w:pPr>
            <w:r>
              <w:rPr>
                <w:rFonts w:hint="eastAsia"/>
              </w:rPr>
              <w:t>统一社会信用代码</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continue"/>
            <w:tcBorders>
              <w:top w:val="nil"/>
              <w:left w:val="single" w:color="auto" w:sz="4" w:space="0"/>
              <w:bottom w:val="single" w:color="auto" w:sz="4" w:space="0"/>
              <w:right w:val="single" w:color="auto" w:sz="4" w:space="0"/>
            </w:tcBorders>
            <w:vAlign w:val="center"/>
          </w:tcPr>
          <w:p>
            <w:pPr>
              <w:pStyle w:val="46"/>
            </w:pPr>
          </w:p>
        </w:tc>
        <w:tc>
          <w:tcPr>
            <w:tcW w:w="2314" w:type="pct"/>
            <w:tcBorders>
              <w:top w:val="nil"/>
              <w:left w:val="nil"/>
              <w:bottom w:val="single" w:color="auto" w:sz="4" w:space="0"/>
              <w:right w:val="single" w:color="auto" w:sz="4" w:space="0"/>
            </w:tcBorders>
            <w:vAlign w:val="center"/>
          </w:tcPr>
          <w:p>
            <w:pPr>
              <w:pStyle w:val="46"/>
            </w:pPr>
            <w:r>
              <w:rPr>
                <w:rFonts w:hint="eastAsia"/>
              </w:rPr>
              <w:t>集团成员类型</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011" w:type="pct"/>
            <w:vMerge w:val="continue"/>
            <w:tcBorders>
              <w:top w:val="nil"/>
              <w:left w:val="single" w:color="auto" w:sz="4" w:space="0"/>
              <w:bottom w:val="single" w:color="auto" w:sz="4" w:space="0"/>
              <w:right w:val="single" w:color="auto" w:sz="4" w:space="0"/>
            </w:tcBorders>
            <w:vAlign w:val="center"/>
          </w:tcPr>
          <w:p>
            <w:pPr>
              <w:pStyle w:val="46"/>
            </w:pPr>
          </w:p>
        </w:tc>
        <w:tc>
          <w:tcPr>
            <w:tcW w:w="2314" w:type="pct"/>
            <w:tcBorders>
              <w:top w:val="nil"/>
              <w:left w:val="nil"/>
              <w:bottom w:val="single" w:color="auto" w:sz="4" w:space="0"/>
              <w:right w:val="single" w:color="auto" w:sz="4" w:space="0"/>
            </w:tcBorders>
            <w:vAlign w:val="center"/>
          </w:tcPr>
          <w:p>
            <w:pPr>
              <w:pStyle w:val="46"/>
            </w:pPr>
            <w:r>
              <w:rPr>
                <w:rFonts w:hint="eastAsia"/>
              </w:rPr>
              <w:t>母公司控股比例</w:t>
            </w:r>
          </w:p>
        </w:tc>
        <w:tc>
          <w:tcPr>
            <w:tcW w:w="675" w:type="pct"/>
            <w:tcBorders>
              <w:top w:val="nil"/>
              <w:left w:val="nil"/>
              <w:bottom w:val="single" w:color="auto" w:sz="4" w:space="0"/>
              <w:right w:val="single" w:color="auto" w:sz="4" w:space="0"/>
            </w:tcBorders>
            <w:vAlign w:val="center"/>
          </w:tcPr>
          <w:p>
            <w:pPr>
              <w:pStyle w:val="46"/>
            </w:pPr>
            <w:r>
              <w:rPr>
                <w:rFonts w:hint="eastAsia"/>
              </w:rPr>
              <w:t>√</w:t>
            </w:r>
          </w:p>
        </w:tc>
      </w:tr>
    </w:tbl>
    <w:p>
      <w:pPr>
        <w:pStyle w:val="9"/>
      </w:pPr>
      <w:r>
        <w:rPr>
          <w:rFonts w:hint="eastAsia"/>
        </w:rPr>
        <w:t>营业执照作废声明</w:t>
      </w:r>
    </w:p>
    <w:p>
      <w:r>
        <w:rPr>
          <w:rFonts w:hint="eastAsia"/>
        </w:rPr>
        <w:t>包括营业执照作废声明信息等。</w:t>
      </w:r>
    </w:p>
    <w:tbl>
      <w:tblPr>
        <w:tblStyle w:val="30"/>
        <w:tblW w:w="5000" w:type="pct"/>
        <w:tblInd w:w="0" w:type="dxa"/>
        <w:tblLayout w:type="autofit"/>
        <w:tblCellMar>
          <w:top w:w="0" w:type="dxa"/>
          <w:left w:w="108" w:type="dxa"/>
          <w:bottom w:w="0" w:type="dxa"/>
          <w:right w:w="108" w:type="dxa"/>
        </w:tblCellMar>
      </w:tblPr>
      <w:tblGrid>
        <w:gridCol w:w="4082"/>
        <w:gridCol w:w="4058"/>
        <w:gridCol w:w="1170"/>
      </w:tblGrid>
      <w:tr>
        <w:tblPrEx>
          <w:tblCellMar>
            <w:top w:w="0" w:type="dxa"/>
            <w:left w:w="108" w:type="dxa"/>
            <w:bottom w:w="0" w:type="dxa"/>
            <w:right w:w="108" w:type="dxa"/>
          </w:tblCellMar>
        </w:tblPrEx>
        <w:trPr>
          <w:trHeight w:val="510" w:hRule="atLeast"/>
        </w:trPr>
        <w:tc>
          <w:tcPr>
            <w:tcW w:w="2192"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信息类别</w:t>
            </w:r>
          </w:p>
        </w:tc>
        <w:tc>
          <w:tcPr>
            <w:tcW w:w="2179" w:type="pct"/>
            <w:tcBorders>
              <w:top w:val="single" w:color="auto" w:sz="4" w:space="0"/>
              <w:left w:val="nil"/>
              <w:bottom w:val="single" w:color="auto" w:sz="4" w:space="0"/>
              <w:right w:val="single" w:color="auto" w:sz="4" w:space="0"/>
            </w:tcBorders>
            <w:noWrap/>
            <w:vAlign w:val="center"/>
          </w:tcPr>
          <w:p>
            <w:pPr>
              <w:pStyle w:val="46"/>
            </w:pPr>
            <w:r>
              <w:rPr>
                <w:rFonts w:hint="eastAsia"/>
              </w:rPr>
              <w:t>指标项</w:t>
            </w:r>
          </w:p>
        </w:tc>
        <w:tc>
          <w:tcPr>
            <w:tcW w:w="628" w:type="pct"/>
            <w:tcBorders>
              <w:top w:val="single" w:color="auto" w:sz="4" w:space="0"/>
              <w:left w:val="nil"/>
              <w:bottom w:val="single" w:color="auto" w:sz="4" w:space="0"/>
              <w:right w:val="single" w:color="auto" w:sz="4" w:space="0"/>
            </w:tcBorders>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2192"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营业执照作废声明信息</w:t>
            </w:r>
          </w:p>
        </w:tc>
        <w:tc>
          <w:tcPr>
            <w:tcW w:w="2179" w:type="pct"/>
            <w:tcBorders>
              <w:top w:val="nil"/>
              <w:left w:val="nil"/>
              <w:bottom w:val="single" w:color="auto" w:sz="4" w:space="0"/>
              <w:right w:val="single" w:color="auto" w:sz="4" w:space="0"/>
            </w:tcBorders>
            <w:vAlign w:val="center"/>
          </w:tcPr>
          <w:p>
            <w:pPr>
              <w:pStyle w:val="46"/>
            </w:pPr>
            <w:r>
              <w:rPr>
                <w:rFonts w:hint="eastAsia"/>
              </w:rPr>
              <w:t>声明ID</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vAlign w:val="center"/>
          </w:tcPr>
          <w:p>
            <w:pPr>
              <w:pStyle w:val="46"/>
            </w:pPr>
            <w:r>
              <w:rPr>
                <w:rFonts w:hint="eastAsia"/>
              </w:rPr>
              <w:t>名称</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vAlign w:val="center"/>
          </w:tcPr>
          <w:p>
            <w:pPr>
              <w:pStyle w:val="46"/>
            </w:pPr>
            <w:r>
              <w:rPr>
                <w:rFonts w:hint="eastAsia"/>
              </w:rPr>
              <w:t>统一社会信用代码</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vAlign w:val="center"/>
          </w:tcPr>
          <w:p>
            <w:pPr>
              <w:pStyle w:val="46"/>
            </w:pPr>
            <w:r>
              <w:rPr>
                <w:rFonts w:hint="eastAsia"/>
              </w:rPr>
              <w:t>登记机关</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noWrap/>
            <w:vAlign w:val="center"/>
          </w:tcPr>
          <w:p>
            <w:pPr>
              <w:pStyle w:val="46"/>
            </w:pPr>
            <w:r>
              <w:rPr>
                <w:rFonts w:hint="eastAsia"/>
              </w:rPr>
              <w:t>登记机关（中文名称）</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vAlign w:val="center"/>
          </w:tcPr>
          <w:p>
            <w:pPr>
              <w:pStyle w:val="46"/>
            </w:pPr>
            <w:r>
              <w:rPr>
                <w:rFonts w:hint="eastAsia"/>
              </w:rPr>
              <w:t>是否正副本</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vAlign w:val="center"/>
          </w:tcPr>
          <w:p>
            <w:pPr>
              <w:pStyle w:val="46"/>
            </w:pPr>
            <w:r>
              <w:rPr>
                <w:rFonts w:hint="eastAsia"/>
              </w:rPr>
              <w:t>声明内容</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vAlign w:val="center"/>
          </w:tcPr>
          <w:p>
            <w:pPr>
              <w:pStyle w:val="46"/>
            </w:pPr>
            <w:r>
              <w:rPr>
                <w:rFonts w:hint="eastAsia"/>
              </w:rPr>
              <w:t>声明日期</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vAlign w:val="center"/>
          </w:tcPr>
          <w:p>
            <w:pPr>
              <w:pStyle w:val="46"/>
            </w:pPr>
            <w:r>
              <w:rPr>
                <w:rFonts w:hint="eastAsia"/>
              </w:rPr>
              <w:t>是否补领</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noWrap/>
            <w:vAlign w:val="bottom"/>
          </w:tcPr>
          <w:p>
            <w:pPr>
              <w:pStyle w:val="46"/>
            </w:pPr>
            <w:r>
              <w:rPr>
                <w:rFonts w:hint="eastAsia"/>
              </w:rPr>
              <w:t>补领日期</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2192" w:type="pct"/>
            <w:vMerge w:val="continue"/>
            <w:tcBorders>
              <w:top w:val="nil"/>
              <w:left w:val="single" w:color="auto" w:sz="4" w:space="0"/>
              <w:bottom w:val="single" w:color="auto" w:sz="4" w:space="0"/>
              <w:right w:val="single" w:color="auto" w:sz="4" w:space="0"/>
            </w:tcBorders>
            <w:vAlign w:val="center"/>
          </w:tcPr>
          <w:p>
            <w:pPr>
              <w:pStyle w:val="46"/>
            </w:pPr>
          </w:p>
        </w:tc>
        <w:tc>
          <w:tcPr>
            <w:tcW w:w="2179" w:type="pct"/>
            <w:tcBorders>
              <w:top w:val="nil"/>
              <w:left w:val="nil"/>
              <w:bottom w:val="single" w:color="auto" w:sz="4" w:space="0"/>
              <w:right w:val="single" w:color="auto" w:sz="4" w:space="0"/>
            </w:tcBorders>
            <w:noWrap/>
            <w:vAlign w:val="bottom"/>
          </w:tcPr>
          <w:p>
            <w:pPr>
              <w:pStyle w:val="46"/>
            </w:pPr>
            <w:r>
              <w:rPr>
                <w:rFonts w:hint="eastAsia"/>
              </w:rPr>
              <w:t>营业执照副本编号</w:t>
            </w:r>
          </w:p>
        </w:tc>
        <w:tc>
          <w:tcPr>
            <w:tcW w:w="628" w:type="pct"/>
            <w:tcBorders>
              <w:top w:val="nil"/>
              <w:left w:val="nil"/>
              <w:bottom w:val="single" w:color="auto" w:sz="4" w:space="0"/>
              <w:right w:val="single" w:color="auto" w:sz="4" w:space="0"/>
            </w:tcBorders>
            <w:vAlign w:val="center"/>
          </w:tcPr>
          <w:p>
            <w:pPr>
              <w:pStyle w:val="46"/>
            </w:pPr>
            <w:r>
              <w:rPr>
                <w:rFonts w:hint="eastAsia"/>
              </w:rPr>
              <w:t>√</w:t>
            </w:r>
          </w:p>
        </w:tc>
      </w:tr>
    </w:tbl>
    <w:p>
      <w:pPr>
        <w:pStyle w:val="9"/>
      </w:pPr>
      <w:r>
        <w:rPr>
          <w:rFonts w:hint="eastAsia"/>
        </w:rPr>
        <w:t>小微企业名录</w:t>
      </w:r>
    </w:p>
    <w:p>
      <w:r>
        <w:rPr>
          <w:rFonts w:hint="eastAsia"/>
        </w:rPr>
        <w:t>包括小微企业名录基本信息、小微企业享受扶持信息公示信息、小微企业名录变更信息等。</w:t>
      </w:r>
    </w:p>
    <w:tbl>
      <w:tblPr>
        <w:tblStyle w:val="30"/>
        <w:tblW w:w="5000" w:type="pct"/>
        <w:tblInd w:w="0" w:type="dxa"/>
        <w:tblLayout w:type="autofit"/>
        <w:tblCellMar>
          <w:top w:w="0" w:type="dxa"/>
          <w:left w:w="108" w:type="dxa"/>
          <w:bottom w:w="0" w:type="dxa"/>
          <w:right w:w="108" w:type="dxa"/>
        </w:tblCellMar>
      </w:tblPr>
      <w:tblGrid>
        <w:gridCol w:w="3450"/>
        <w:gridCol w:w="3532"/>
        <w:gridCol w:w="2328"/>
      </w:tblGrid>
      <w:tr>
        <w:tblPrEx>
          <w:tblCellMar>
            <w:top w:w="0" w:type="dxa"/>
            <w:left w:w="108" w:type="dxa"/>
            <w:bottom w:w="0" w:type="dxa"/>
            <w:right w:w="108" w:type="dxa"/>
          </w:tblCellMar>
        </w:tblPrEx>
        <w:trPr>
          <w:trHeight w:val="549" w:hRule="atLeast"/>
        </w:trPr>
        <w:tc>
          <w:tcPr>
            <w:tcW w:w="1853"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信息类别</w:t>
            </w:r>
          </w:p>
        </w:tc>
        <w:tc>
          <w:tcPr>
            <w:tcW w:w="1897" w:type="pct"/>
            <w:tcBorders>
              <w:top w:val="single" w:color="auto" w:sz="4" w:space="0"/>
              <w:left w:val="nil"/>
              <w:bottom w:val="single" w:color="auto" w:sz="4" w:space="0"/>
              <w:right w:val="single" w:color="auto" w:sz="4" w:space="0"/>
            </w:tcBorders>
            <w:noWrap/>
            <w:vAlign w:val="center"/>
          </w:tcPr>
          <w:p>
            <w:pPr>
              <w:pStyle w:val="46"/>
            </w:pPr>
            <w:r>
              <w:rPr>
                <w:rFonts w:hint="eastAsia"/>
              </w:rPr>
              <w:t>指标项</w:t>
            </w:r>
          </w:p>
        </w:tc>
        <w:tc>
          <w:tcPr>
            <w:tcW w:w="1250" w:type="pct"/>
            <w:tcBorders>
              <w:top w:val="single" w:color="auto" w:sz="4" w:space="0"/>
              <w:left w:val="nil"/>
              <w:bottom w:val="single" w:color="auto" w:sz="4" w:space="0"/>
              <w:right w:val="single" w:color="auto" w:sz="4" w:space="0"/>
            </w:tcBorders>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1853"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小微企业名录基本信息</w:t>
            </w:r>
          </w:p>
        </w:tc>
        <w:tc>
          <w:tcPr>
            <w:tcW w:w="1897" w:type="pct"/>
            <w:tcBorders>
              <w:top w:val="nil"/>
              <w:left w:val="nil"/>
              <w:bottom w:val="single" w:color="auto" w:sz="4" w:space="0"/>
              <w:right w:val="single" w:color="auto" w:sz="4" w:space="0"/>
            </w:tcBorders>
            <w:vAlign w:val="center"/>
          </w:tcPr>
          <w:p>
            <w:pPr>
              <w:pStyle w:val="46"/>
            </w:pPr>
            <w:r>
              <w:rPr>
                <w:rFonts w:hint="eastAsia"/>
              </w:rPr>
              <w:t>主体身份代码</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统一社会信用代码</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注册号</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名称</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市场主体类型</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成立日期</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注册资本</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登记机关</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登记机关（中文名称）</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所属门类</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行业代码</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行业代码（中文名称）</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小微企业分类</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小微企业分类（中文名称）</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加入时间</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退出时间</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退出原因</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退出原因（中文名称）</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小微企业状态</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小微企业状态（中文名称）</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小微企业享受扶持信息公示信息</w:t>
            </w:r>
          </w:p>
        </w:tc>
        <w:tc>
          <w:tcPr>
            <w:tcW w:w="1897" w:type="pct"/>
            <w:tcBorders>
              <w:top w:val="nil"/>
              <w:left w:val="nil"/>
              <w:bottom w:val="single" w:color="auto" w:sz="4" w:space="0"/>
              <w:right w:val="single" w:color="auto" w:sz="4" w:space="0"/>
            </w:tcBorders>
            <w:vAlign w:val="center"/>
          </w:tcPr>
          <w:p>
            <w:pPr>
              <w:pStyle w:val="46"/>
            </w:pPr>
            <w:r>
              <w:rPr>
                <w:rFonts w:hint="eastAsia"/>
              </w:rPr>
              <w:t>受扶持ID</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主体身份代码</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享受扶持政策依据</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79"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享受扶持政策内容</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79"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享受扶持政策的数额</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享受扶持政策的部门</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实施扶持政策日期</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小微企业名录变更信息</w:t>
            </w:r>
          </w:p>
        </w:tc>
        <w:tc>
          <w:tcPr>
            <w:tcW w:w="1897" w:type="pct"/>
            <w:tcBorders>
              <w:top w:val="nil"/>
              <w:left w:val="nil"/>
              <w:bottom w:val="single" w:color="auto" w:sz="4" w:space="0"/>
              <w:right w:val="single" w:color="auto" w:sz="4" w:space="0"/>
            </w:tcBorders>
            <w:noWrap/>
            <w:vAlign w:val="center"/>
          </w:tcPr>
          <w:p>
            <w:pPr>
              <w:pStyle w:val="46"/>
            </w:pPr>
            <w:r>
              <w:rPr>
                <w:rFonts w:hint="eastAsia"/>
              </w:rPr>
              <w:t>小微企业变更ID</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vAlign w:val="center"/>
          </w:tcPr>
          <w:p>
            <w:pPr>
              <w:pStyle w:val="46"/>
            </w:pPr>
            <w:r>
              <w:rPr>
                <w:rFonts w:hint="eastAsia"/>
              </w:rPr>
              <w:t>主体身份代码</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noWrap/>
            <w:vAlign w:val="bottom"/>
          </w:tcPr>
          <w:p>
            <w:pPr>
              <w:pStyle w:val="46"/>
            </w:pPr>
            <w:r>
              <w:rPr>
                <w:rFonts w:hint="eastAsia"/>
              </w:rPr>
              <w:t>变更事项</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noWrap/>
            <w:vAlign w:val="bottom"/>
          </w:tcPr>
          <w:p>
            <w:pPr>
              <w:pStyle w:val="46"/>
            </w:pPr>
            <w:r>
              <w:rPr>
                <w:rFonts w:hint="eastAsia"/>
              </w:rPr>
              <w:t>变更事项（中文名称）</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noWrap/>
            <w:vAlign w:val="bottom"/>
          </w:tcPr>
          <w:p>
            <w:pPr>
              <w:pStyle w:val="46"/>
            </w:pPr>
            <w:r>
              <w:rPr>
                <w:rFonts w:hint="eastAsia"/>
              </w:rPr>
              <w:t>变更前内容</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noWrap/>
            <w:vAlign w:val="bottom"/>
          </w:tcPr>
          <w:p>
            <w:pPr>
              <w:pStyle w:val="46"/>
            </w:pPr>
            <w:r>
              <w:rPr>
                <w:rFonts w:hint="eastAsia"/>
              </w:rPr>
              <w:t>变更后内容</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853" w:type="pct"/>
            <w:vMerge w:val="continue"/>
            <w:tcBorders>
              <w:top w:val="nil"/>
              <w:left w:val="single" w:color="auto" w:sz="4" w:space="0"/>
              <w:bottom w:val="single" w:color="auto" w:sz="4" w:space="0"/>
              <w:right w:val="single" w:color="auto" w:sz="4" w:space="0"/>
            </w:tcBorders>
            <w:vAlign w:val="center"/>
          </w:tcPr>
          <w:p>
            <w:pPr>
              <w:pStyle w:val="46"/>
            </w:pPr>
          </w:p>
        </w:tc>
        <w:tc>
          <w:tcPr>
            <w:tcW w:w="1897" w:type="pct"/>
            <w:tcBorders>
              <w:top w:val="nil"/>
              <w:left w:val="nil"/>
              <w:bottom w:val="single" w:color="auto" w:sz="4" w:space="0"/>
              <w:right w:val="single" w:color="auto" w:sz="4" w:space="0"/>
            </w:tcBorders>
            <w:noWrap/>
            <w:vAlign w:val="bottom"/>
          </w:tcPr>
          <w:p>
            <w:pPr>
              <w:pStyle w:val="46"/>
            </w:pPr>
            <w:r>
              <w:rPr>
                <w:rFonts w:hint="eastAsia"/>
              </w:rPr>
              <w:t>变更日期</w:t>
            </w:r>
          </w:p>
        </w:tc>
        <w:tc>
          <w:tcPr>
            <w:tcW w:w="1250" w:type="pct"/>
            <w:tcBorders>
              <w:top w:val="nil"/>
              <w:left w:val="nil"/>
              <w:bottom w:val="single" w:color="auto" w:sz="4" w:space="0"/>
              <w:right w:val="single" w:color="auto" w:sz="4" w:space="0"/>
            </w:tcBorders>
            <w:vAlign w:val="center"/>
          </w:tcPr>
          <w:p>
            <w:pPr>
              <w:pStyle w:val="46"/>
            </w:pPr>
            <w:r>
              <w:rPr>
                <w:rFonts w:hint="eastAsia"/>
              </w:rPr>
              <w:t>√</w:t>
            </w:r>
          </w:p>
        </w:tc>
      </w:tr>
    </w:tbl>
    <w:p>
      <w:pPr>
        <w:pStyle w:val="9"/>
      </w:pPr>
      <w:r>
        <w:rPr>
          <w:rFonts w:hint="eastAsia"/>
        </w:rPr>
        <w:t>电子营业执照</w:t>
      </w:r>
    </w:p>
    <w:p>
      <w:r>
        <w:rPr>
          <w:rFonts w:hint="eastAsia"/>
        </w:rPr>
        <w:t>包括电子营业执照等。</w:t>
      </w:r>
    </w:p>
    <w:tbl>
      <w:tblPr>
        <w:tblStyle w:val="30"/>
        <w:tblW w:w="5000" w:type="pct"/>
        <w:tblInd w:w="0" w:type="dxa"/>
        <w:tblLayout w:type="autofit"/>
        <w:tblCellMar>
          <w:top w:w="0" w:type="dxa"/>
          <w:left w:w="108" w:type="dxa"/>
          <w:bottom w:w="0" w:type="dxa"/>
          <w:right w:w="108" w:type="dxa"/>
        </w:tblCellMar>
      </w:tblPr>
      <w:tblGrid>
        <w:gridCol w:w="2717"/>
        <w:gridCol w:w="5087"/>
        <w:gridCol w:w="1506"/>
      </w:tblGrid>
      <w:tr>
        <w:tblPrEx>
          <w:tblCellMar>
            <w:top w:w="0" w:type="dxa"/>
            <w:left w:w="108" w:type="dxa"/>
            <w:bottom w:w="0" w:type="dxa"/>
            <w:right w:w="108" w:type="dxa"/>
          </w:tblCellMar>
        </w:tblPrEx>
        <w:trPr>
          <w:trHeight w:val="411" w:hRule="atLeast"/>
        </w:trPr>
        <w:tc>
          <w:tcPr>
            <w:tcW w:w="1459"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信息类别</w:t>
            </w:r>
          </w:p>
        </w:tc>
        <w:tc>
          <w:tcPr>
            <w:tcW w:w="2732" w:type="pct"/>
            <w:tcBorders>
              <w:top w:val="single" w:color="auto" w:sz="4" w:space="0"/>
              <w:left w:val="nil"/>
              <w:bottom w:val="single" w:color="auto" w:sz="4" w:space="0"/>
              <w:right w:val="single" w:color="auto" w:sz="4" w:space="0"/>
            </w:tcBorders>
            <w:noWrap/>
            <w:vAlign w:val="center"/>
          </w:tcPr>
          <w:p>
            <w:pPr>
              <w:pStyle w:val="46"/>
            </w:pPr>
            <w:r>
              <w:rPr>
                <w:rFonts w:hint="eastAsia"/>
              </w:rPr>
              <w:t>指标项</w:t>
            </w:r>
          </w:p>
        </w:tc>
        <w:tc>
          <w:tcPr>
            <w:tcW w:w="809" w:type="pct"/>
            <w:tcBorders>
              <w:top w:val="single" w:color="auto" w:sz="4" w:space="0"/>
              <w:left w:val="nil"/>
              <w:bottom w:val="single" w:color="auto" w:sz="4" w:space="0"/>
              <w:right w:val="single" w:color="auto" w:sz="4" w:space="0"/>
            </w:tcBorders>
            <w:noWrap/>
            <w:vAlign w:val="center"/>
          </w:tcPr>
          <w:p>
            <w:pPr>
              <w:pStyle w:val="46"/>
            </w:pPr>
            <w:r>
              <w:rPr>
                <w:rFonts w:hint="eastAsia"/>
              </w:rPr>
              <w:t>完整性</w:t>
            </w:r>
          </w:p>
        </w:tc>
      </w:tr>
      <w:tr>
        <w:tblPrEx>
          <w:tblCellMar>
            <w:top w:w="0" w:type="dxa"/>
            <w:left w:w="108" w:type="dxa"/>
            <w:bottom w:w="0" w:type="dxa"/>
            <w:right w:w="108" w:type="dxa"/>
          </w:tblCellMar>
        </w:tblPrEx>
        <w:trPr>
          <w:trHeight w:val="288" w:hRule="atLeast"/>
        </w:trPr>
        <w:tc>
          <w:tcPr>
            <w:tcW w:w="1459" w:type="pct"/>
            <w:vMerge w:val="restar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电子营业执照</w:t>
            </w: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物理主键</w:t>
            </w:r>
          </w:p>
        </w:tc>
        <w:tc>
          <w:tcPr>
            <w:tcW w:w="809"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459"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主体身份代码</w:t>
            </w:r>
          </w:p>
        </w:tc>
        <w:tc>
          <w:tcPr>
            <w:tcW w:w="809"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459"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统一社会信用代码</w:t>
            </w:r>
          </w:p>
        </w:tc>
        <w:tc>
          <w:tcPr>
            <w:tcW w:w="809"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459"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企业（机构）名称</w:t>
            </w:r>
          </w:p>
        </w:tc>
        <w:tc>
          <w:tcPr>
            <w:tcW w:w="809"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459"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注册号</w:t>
            </w:r>
          </w:p>
        </w:tc>
        <w:tc>
          <w:tcPr>
            <w:tcW w:w="809"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459"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电子营业执照状态</w:t>
            </w:r>
          </w:p>
        </w:tc>
        <w:tc>
          <w:tcPr>
            <w:tcW w:w="809"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459"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电子营业执照文件名称</w:t>
            </w:r>
          </w:p>
        </w:tc>
        <w:tc>
          <w:tcPr>
            <w:tcW w:w="809"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459"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电子营业执照签发时间</w:t>
            </w:r>
          </w:p>
        </w:tc>
        <w:tc>
          <w:tcPr>
            <w:tcW w:w="809" w:type="pct"/>
            <w:tcBorders>
              <w:top w:val="nil"/>
              <w:left w:val="nil"/>
              <w:bottom w:val="single" w:color="auto" w:sz="4" w:space="0"/>
              <w:right w:val="single" w:color="auto" w:sz="4" w:space="0"/>
            </w:tcBorders>
            <w:vAlign w:val="center"/>
          </w:tcPr>
          <w:p>
            <w:pPr>
              <w:pStyle w:val="46"/>
            </w:pPr>
            <w:r>
              <w:rPr>
                <w:rFonts w:hint="eastAsia"/>
              </w:rPr>
              <w:t>√</w:t>
            </w:r>
          </w:p>
        </w:tc>
      </w:tr>
      <w:tr>
        <w:tblPrEx>
          <w:tblCellMar>
            <w:top w:w="0" w:type="dxa"/>
            <w:left w:w="108" w:type="dxa"/>
            <w:bottom w:w="0" w:type="dxa"/>
            <w:right w:w="108" w:type="dxa"/>
          </w:tblCellMar>
        </w:tblPrEx>
        <w:trPr>
          <w:trHeight w:val="288" w:hRule="atLeast"/>
        </w:trPr>
        <w:tc>
          <w:tcPr>
            <w:tcW w:w="1459"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电子营业执照文件存放目录</w:t>
            </w:r>
          </w:p>
        </w:tc>
        <w:tc>
          <w:tcPr>
            <w:tcW w:w="809" w:type="pct"/>
            <w:tcBorders>
              <w:top w:val="nil"/>
              <w:left w:val="nil"/>
              <w:bottom w:val="single" w:color="auto" w:sz="4" w:space="0"/>
              <w:right w:val="single" w:color="auto" w:sz="4" w:space="0"/>
            </w:tcBorders>
            <w:vAlign w:val="center"/>
          </w:tcPr>
          <w:p>
            <w:pPr>
              <w:pStyle w:val="46"/>
            </w:pPr>
            <w:r>
              <w:rPr>
                <w:rFonts w:hint="eastAsia"/>
              </w:rPr>
              <w:t>　</w:t>
            </w:r>
          </w:p>
        </w:tc>
      </w:tr>
      <w:tr>
        <w:tblPrEx>
          <w:tblCellMar>
            <w:top w:w="0" w:type="dxa"/>
            <w:left w:w="108" w:type="dxa"/>
            <w:bottom w:w="0" w:type="dxa"/>
            <w:right w:w="108" w:type="dxa"/>
          </w:tblCellMar>
        </w:tblPrEx>
        <w:trPr>
          <w:trHeight w:val="288" w:hRule="atLeast"/>
        </w:trPr>
        <w:tc>
          <w:tcPr>
            <w:tcW w:w="1459"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32" w:type="pct"/>
            <w:tcBorders>
              <w:top w:val="single" w:color="auto" w:sz="4" w:space="0"/>
              <w:left w:val="nil"/>
              <w:bottom w:val="single" w:color="auto" w:sz="4" w:space="0"/>
              <w:right w:val="single" w:color="auto" w:sz="4" w:space="0"/>
            </w:tcBorders>
            <w:noWrap/>
            <w:vAlign w:val="bottom"/>
          </w:tcPr>
          <w:p>
            <w:pPr>
              <w:pStyle w:val="46"/>
            </w:pPr>
            <w:r>
              <w:rPr>
                <w:rFonts w:hint="eastAsia"/>
              </w:rPr>
              <w:t>登记机关</w:t>
            </w:r>
          </w:p>
        </w:tc>
        <w:tc>
          <w:tcPr>
            <w:tcW w:w="809" w:type="pct"/>
            <w:tcBorders>
              <w:top w:val="nil"/>
              <w:left w:val="nil"/>
              <w:bottom w:val="single" w:color="auto" w:sz="4" w:space="0"/>
              <w:right w:val="single" w:color="auto" w:sz="4" w:space="0"/>
            </w:tcBorders>
            <w:vAlign w:val="center"/>
          </w:tcPr>
          <w:p>
            <w:pPr>
              <w:pStyle w:val="46"/>
            </w:pPr>
            <w:r>
              <w:rPr>
                <w:rFonts w:hint="eastAsia"/>
              </w:rPr>
              <w:t>√</w:t>
            </w:r>
          </w:p>
        </w:tc>
      </w:tr>
    </w:tbl>
    <w:p/>
    <w:p>
      <w:pPr>
        <w:pStyle w:val="8"/>
      </w:pPr>
      <w:r>
        <w:rPr>
          <w:rFonts w:hint="eastAsia"/>
        </w:rPr>
        <w:t>表关联完整性检查规则设计</w:t>
      </w:r>
    </w:p>
    <w:p>
      <w:r>
        <w:rPr>
          <w:rFonts w:hint="eastAsia"/>
        </w:rPr>
        <w:t>包含主要管理人员缺失检查、法定代表人缺失检查、股东缺失检查、注销信息缺失检查、吊销信息缺失检查、常驻代表机构登记数据缺失情况、其它信息缺失检查等。</w:t>
      </w:r>
    </w:p>
    <w:tbl>
      <w:tblPr>
        <w:tblStyle w:val="30"/>
        <w:tblW w:w="4874" w:type="pct"/>
        <w:tblInd w:w="0" w:type="dxa"/>
        <w:tblLayout w:type="autofit"/>
        <w:tblCellMar>
          <w:top w:w="0" w:type="dxa"/>
          <w:left w:w="108" w:type="dxa"/>
          <w:bottom w:w="0" w:type="dxa"/>
          <w:right w:w="108" w:type="dxa"/>
        </w:tblCellMar>
      </w:tblPr>
      <w:tblGrid>
        <w:gridCol w:w="3176"/>
        <w:gridCol w:w="5899"/>
      </w:tblGrid>
      <w:tr>
        <w:trPr>
          <w:trHeight w:val="288" w:hRule="atLeast"/>
        </w:trPr>
        <w:tc>
          <w:tcPr>
            <w:tcW w:w="1750" w:type="pct"/>
            <w:tcBorders>
              <w:top w:val="single" w:color="auto" w:sz="4" w:space="0"/>
              <w:left w:val="single" w:color="auto" w:sz="4" w:space="0"/>
              <w:bottom w:val="single" w:color="auto" w:sz="4" w:space="0"/>
              <w:right w:val="single" w:color="auto" w:sz="4" w:space="0"/>
            </w:tcBorders>
            <w:noWrap/>
            <w:vAlign w:val="bottom"/>
          </w:tcPr>
          <w:p>
            <w:pPr>
              <w:pStyle w:val="46"/>
            </w:pPr>
            <w:r>
              <w:rPr>
                <w:rFonts w:hint="eastAsia"/>
              </w:rPr>
              <w:t>评价项</w:t>
            </w:r>
          </w:p>
        </w:tc>
        <w:tc>
          <w:tcPr>
            <w:tcW w:w="3250" w:type="pct"/>
            <w:tcBorders>
              <w:top w:val="single" w:color="auto" w:sz="4" w:space="0"/>
              <w:left w:val="nil"/>
              <w:bottom w:val="single" w:color="auto" w:sz="4" w:space="0"/>
              <w:right w:val="single" w:color="auto" w:sz="4" w:space="0"/>
            </w:tcBorders>
            <w:noWrap/>
            <w:vAlign w:val="bottom"/>
          </w:tcPr>
          <w:p>
            <w:pPr>
              <w:pStyle w:val="46"/>
            </w:pPr>
            <w:r>
              <w:rPr>
                <w:rFonts w:hint="eastAsia"/>
              </w:rPr>
              <w:t>备注</w:t>
            </w:r>
          </w:p>
        </w:tc>
      </w:tr>
      <w:tr>
        <w:tblPrEx>
          <w:tblCellMar>
            <w:top w:w="0" w:type="dxa"/>
            <w:left w:w="108" w:type="dxa"/>
            <w:bottom w:w="0" w:type="dxa"/>
            <w:right w:w="108" w:type="dxa"/>
          </w:tblCellMar>
        </w:tblPrEx>
        <w:trPr>
          <w:trHeight w:val="288" w:hRule="atLeast"/>
        </w:trPr>
        <w:tc>
          <w:tcPr>
            <w:tcW w:w="1750" w:type="pct"/>
            <w:tcBorders>
              <w:top w:val="nil"/>
              <w:left w:val="single" w:color="auto" w:sz="4" w:space="0"/>
              <w:bottom w:val="single" w:color="auto" w:sz="4" w:space="0"/>
              <w:right w:val="single" w:color="auto" w:sz="4" w:space="0"/>
            </w:tcBorders>
            <w:noWrap/>
            <w:vAlign w:val="bottom"/>
          </w:tcPr>
          <w:p>
            <w:pPr>
              <w:pStyle w:val="46"/>
            </w:pPr>
            <w:r>
              <w:rPr>
                <w:rFonts w:hint="eastAsia"/>
              </w:rPr>
              <w:t>主要管理人员缺失检查</w:t>
            </w:r>
          </w:p>
        </w:tc>
        <w:tc>
          <w:tcPr>
            <w:tcW w:w="3250" w:type="pct"/>
            <w:tcBorders>
              <w:top w:val="nil"/>
              <w:left w:val="nil"/>
              <w:bottom w:val="single" w:color="auto" w:sz="4" w:space="0"/>
              <w:right w:val="single" w:color="auto" w:sz="4" w:space="0"/>
            </w:tcBorders>
            <w:noWrap/>
            <w:vAlign w:val="bottom"/>
          </w:tcPr>
          <w:p>
            <w:pPr>
              <w:pStyle w:val="46"/>
            </w:pPr>
            <w:r>
              <w:rPr>
                <w:rFonts w:hint="eastAsia"/>
              </w:rPr>
              <w:t>董事、监事缺失</w:t>
            </w:r>
          </w:p>
        </w:tc>
      </w:tr>
      <w:tr>
        <w:tblPrEx>
          <w:tblCellMar>
            <w:top w:w="0" w:type="dxa"/>
            <w:left w:w="108" w:type="dxa"/>
            <w:bottom w:w="0" w:type="dxa"/>
            <w:right w:w="108" w:type="dxa"/>
          </w:tblCellMar>
        </w:tblPrEx>
        <w:trPr>
          <w:trHeight w:val="288" w:hRule="atLeast"/>
        </w:trPr>
        <w:tc>
          <w:tcPr>
            <w:tcW w:w="1750" w:type="pct"/>
            <w:tcBorders>
              <w:top w:val="nil"/>
              <w:left w:val="single" w:color="auto" w:sz="4" w:space="0"/>
              <w:bottom w:val="single" w:color="auto" w:sz="4" w:space="0"/>
              <w:right w:val="single" w:color="auto" w:sz="4" w:space="0"/>
            </w:tcBorders>
            <w:noWrap/>
            <w:vAlign w:val="bottom"/>
          </w:tcPr>
          <w:p>
            <w:pPr>
              <w:pStyle w:val="46"/>
            </w:pPr>
            <w:r>
              <w:rPr>
                <w:rFonts w:hint="eastAsia"/>
              </w:rPr>
              <w:t>法定代表人缺失检查</w:t>
            </w:r>
          </w:p>
        </w:tc>
        <w:tc>
          <w:tcPr>
            <w:tcW w:w="3250"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88" w:hRule="atLeast"/>
        </w:trPr>
        <w:tc>
          <w:tcPr>
            <w:tcW w:w="1750" w:type="pct"/>
            <w:tcBorders>
              <w:top w:val="nil"/>
              <w:left w:val="single" w:color="auto" w:sz="4" w:space="0"/>
              <w:bottom w:val="single" w:color="auto" w:sz="4" w:space="0"/>
              <w:right w:val="single" w:color="auto" w:sz="4" w:space="0"/>
            </w:tcBorders>
            <w:noWrap/>
            <w:vAlign w:val="bottom"/>
          </w:tcPr>
          <w:p>
            <w:pPr>
              <w:pStyle w:val="46"/>
            </w:pPr>
            <w:r>
              <w:rPr>
                <w:rFonts w:hint="eastAsia"/>
              </w:rPr>
              <w:t>股东缺失检查</w:t>
            </w:r>
          </w:p>
        </w:tc>
        <w:tc>
          <w:tcPr>
            <w:tcW w:w="3250" w:type="pct"/>
            <w:tcBorders>
              <w:top w:val="nil"/>
              <w:left w:val="nil"/>
              <w:bottom w:val="single" w:color="auto" w:sz="4" w:space="0"/>
              <w:right w:val="single" w:color="auto" w:sz="4" w:space="0"/>
            </w:tcBorders>
            <w:noWrap/>
            <w:vAlign w:val="bottom"/>
          </w:tcPr>
          <w:p>
            <w:pPr>
              <w:pStyle w:val="46"/>
            </w:pPr>
            <w:r>
              <w:rPr>
                <w:rFonts w:hint="eastAsia"/>
              </w:rPr>
              <w:t>企业基本信息表与股东出资表关联性</w:t>
            </w:r>
          </w:p>
        </w:tc>
      </w:tr>
      <w:tr>
        <w:tblPrEx>
          <w:tblCellMar>
            <w:top w:w="0" w:type="dxa"/>
            <w:left w:w="108" w:type="dxa"/>
            <w:bottom w:w="0" w:type="dxa"/>
            <w:right w:w="108" w:type="dxa"/>
          </w:tblCellMar>
        </w:tblPrEx>
        <w:trPr>
          <w:trHeight w:val="288" w:hRule="atLeast"/>
        </w:trPr>
        <w:tc>
          <w:tcPr>
            <w:tcW w:w="1750" w:type="pct"/>
            <w:tcBorders>
              <w:top w:val="nil"/>
              <w:left w:val="single" w:color="auto" w:sz="4" w:space="0"/>
              <w:bottom w:val="single" w:color="auto" w:sz="4" w:space="0"/>
              <w:right w:val="single" w:color="auto" w:sz="4" w:space="0"/>
            </w:tcBorders>
            <w:noWrap/>
            <w:vAlign w:val="bottom"/>
          </w:tcPr>
          <w:p>
            <w:pPr>
              <w:pStyle w:val="46"/>
            </w:pPr>
            <w:r>
              <w:rPr>
                <w:rFonts w:hint="eastAsia"/>
              </w:rPr>
              <w:t>注销信息缺失检查</w:t>
            </w:r>
          </w:p>
        </w:tc>
        <w:tc>
          <w:tcPr>
            <w:tcW w:w="3250"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88" w:hRule="atLeast"/>
        </w:trPr>
        <w:tc>
          <w:tcPr>
            <w:tcW w:w="1750" w:type="pct"/>
            <w:tcBorders>
              <w:top w:val="nil"/>
              <w:left w:val="single" w:color="auto" w:sz="4" w:space="0"/>
              <w:bottom w:val="single" w:color="auto" w:sz="4" w:space="0"/>
              <w:right w:val="single" w:color="auto" w:sz="4" w:space="0"/>
            </w:tcBorders>
            <w:noWrap/>
            <w:vAlign w:val="bottom"/>
          </w:tcPr>
          <w:p>
            <w:pPr>
              <w:pStyle w:val="46"/>
            </w:pPr>
            <w:r>
              <w:rPr>
                <w:rFonts w:hint="eastAsia"/>
              </w:rPr>
              <w:t>吊销信息缺失检查</w:t>
            </w:r>
          </w:p>
        </w:tc>
        <w:tc>
          <w:tcPr>
            <w:tcW w:w="3250"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88" w:hRule="atLeast"/>
        </w:trPr>
        <w:tc>
          <w:tcPr>
            <w:tcW w:w="1750" w:type="pct"/>
            <w:tcBorders>
              <w:top w:val="nil"/>
              <w:left w:val="single" w:color="auto" w:sz="4" w:space="0"/>
              <w:bottom w:val="single" w:color="auto" w:sz="4" w:space="0"/>
              <w:right w:val="single" w:color="auto" w:sz="4" w:space="0"/>
            </w:tcBorders>
            <w:noWrap/>
            <w:vAlign w:val="bottom"/>
          </w:tcPr>
          <w:p>
            <w:pPr>
              <w:pStyle w:val="46"/>
            </w:pPr>
            <w:r>
              <w:rPr>
                <w:rFonts w:hint="eastAsia"/>
              </w:rPr>
              <w:t>常驻代表机构登记数据缺失情况</w:t>
            </w:r>
          </w:p>
        </w:tc>
        <w:tc>
          <w:tcPr>
            <w:tcW w:w="3250" w:type="pct"/>
            <w:tcBorders>
              <w:top w:val="nil"/>
              <w:left w:val="nil"/>
              <w:bottom w:val="single" w:color="auto" w:sz="4" w:space="0"/>
              <w:right w:val="single" w:color="auto" w:sz="4" w:space="0"/>
            </w:tcBorders>
            <w:noWrap/>
            <w:vAlign w:val="bottom"/>
          </w:tcPr>
          <w:p>
            <w:pPr>
              <w:pStyle w:val="46"/>
            </w:pPr>
            <w:r>
              <w:rPr>
                <w:rFonts w:hint="eastAsia"/>
              </w:rPr>
              <w:t>常驻代表机构照面信息、首席代表及代表等信息完整性</w:t>
            </w:r>
          </w:p>
        </w:tc>
      </w:tr>
      <w:tr>
        <w:tblPrEx>
          <w:tblCellMar>
            <w:top w:w="0" w:type="dxa"/>
            <w:left w:w="108" w:type="dxa"/>
            <w:bottom w:w="0" w:type="dxa"/>
            <w:right w:w="108" w:type="dxa"/>
          </w:tblCellMar>
        </w:tblPrEx>
        <w:trPr>
          <w:trHeight w:val="288" w:hRule="atLeast"/>
        </w:trPr>
        <w:tc>
          <w:tcPr>
            <w:tcW w:w="1750" w:type="pct"/>
            <w:tcBorders>
              <w:top w:val="nil"/>
              <w:left w:val="single" w:color="auto" w:sz="4" w:space="0"/>
              <w:bottom w:val="single" w:color="auto" w:sz="4" w:space="0"/>
              <w:right w:val="single" w:color="auto" w:sz="4" w:space="0"/>
            </w:tcBorders>
            <w:noWrap/>
            <w:vAlign w:val="bottom"/>
          </w:tcPr>
          <w:p>
            <w:pPr>
              <w:pStyle w:val="46"/>
            </w:pPr>
            <w:r>
              <w:rPr>
                <w:rFonts w:hint="eastAsia"/>
              </w:rPr>
              <w:t>其它信息缺失检查</w:t>
            </w:r>
          </w:p>
        </w:tc>
        <w:tc>
          <w:tcPr>
            <w:tcW w:w="3250" w:type="pct"/>
            <w:tcBorders>
              <w:top w:val="nil"/>
              <w:left w:val="nil"/>
              <w:bottom w:val="single" w:color="auto" w:sz="4" w:space="0"/>
              <w:right w:val="single" w:color="auto" w:sz="4" w:space="0"/>
            </w:tcBorders>
            <w:noWrap/>
            <w:vAlign w:val="bottom"/>
          </w:tcPr>
          <w:p>
            <w:pPr>
              <w:pStyle w:val="46"/>
            </w:pPr>
            <w:r>
              <w:rPr>
                <w:rFonts w:hint="eastAsia"/>
              </w:rPr>
              <w:t>地方结合本地实际，对涉及多表关联的数据缺失补充检查</w:t>
            </w:r>
          </w:p>
        </w:tc>
      </w:tr>
    </w:tbl>
    <w:p>
      <w:pPr>
        <w:pStyle w:val="7"/>
      </w:pPr>
      <w:bookmarkStart w:id="167" w:name="_Toc78909677"/>
      <w:r>
        <w:rPr>
          <w:rFonts w:hint="eastAsia"/>
        </w:rPr>
        <w:t>准确性检查规则设计</w:t>
      </w:r>
      <w:bookmarkEnd w:id="167"/>
    </w:p>
    <w:p>
      <w:r>
        <w:rPr>
          <w:rFonts w:hint="eastAsia"/>
        </w:rPr>
        <w:t>包括日期、地址、金额、联系方式等类别。</w:t>
      </w:r>
    </w:p>
    <w:tbl>
      <w:tblPr>
        <w:tblStyle w:val="30"/>
        <w:tblW w:w="5000" w:type="pct"/>
        <w:tblInd w:w="0" w:type="dxa"/>
        <w:tblLayout w:type="autofit"/>
        <w:tblCellMar>
          <w:top w:w="0" w:type="dxa"/>
          <w:left w:w="108" w:type="dxa"/>
          <w:bottom w:w="0" w:type="dxa"/>
          <w:right w:w="108" w:type="dxa"/>
        </w:tblCellMar>
      </w:tblPr>
      <w:tblGrid>
        <w:gridCol w:w="821"/>
        <w:gridCol w:w="3544"/>
        <w:gridCol w:w="4945"/>
      </w:tblGrid>
      <w:tr>
        <w:tblPrEx>
          <w:tblCellMar>
            <w:top w:w="0" w:type="dxa"/>
            <w:left w:w="108" w:type="dxa"/>
            <w:bottom w:w="0" w:type="dxa"/>
            <w:right w:w="108" w:type="dxa"/>
          </w:tblCellMar>
        </w:tblPrEx>
        <w:trPr>
          <w:trHeight w:val="240" w:hRule="atLeast"/>
        </w:trPr>
        <w:tc>
          <w:tcPr>
            <w:tcW w:w="417"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类别</w:t>
            </w:r>
          </w:p>
        </w:tc>
        <w:tc>
          <w:tcPr>
            <w:tcW w:w="1908" w:type="pct"/>
            <w:tcBorders>
              <w:top w:val="single" w:color="auto" w:sz="4" w:space="0"/>
              <w:left w:val="nil"/>
              <w:bottom w:val="single" w:color="auto" w:sz="4" w:space="0"/>
              <w:right w:val="single" w:color="auto" w:sz="4" w:space="0"/>
            </w:tcBorders>
            <w:vAlign w:val="center"/>
          </w:tcPr>
          <w:p>
            <w:pPr>
              <w:pStyle w:val="46"/>
            </w:pPr>
            <w:r>
              <w:rPr>
                <w:rFonts w:hint="eastAsia"/>
              </w:rPr>
              <w:t>指标项名称</w:t>
            </w:r>
          </w:p>
        </w:tc>
        <w:tc>
          <w:tcPr>
            <w:tcW w:w="2675" w:type="pct"/>
            <w:tcBorders>
              <w:top w:val="single" w:color="auto" w:sz="4" w:space="0"/>
              <w:left w:val="nil"/>
              <w:bottom w:val="single" w:color="auto" w:sz="4" w:space="0"/>
              <w:right w:val="single" w:color="auto" w:sz="4" w:space="0"/>
            </w:tcBorders>
            <w:vAlign w:val="center"/>
          </w:tcPr>
          <w:p>
            <w:pPr>
              <w:pStyle w:val="46"/>
            </w:pPr>
            <w:r>
              <w:rPr>
                <w:rFonts w:hint="eastAsia"/>
              </w:rPr>
              <w:t>准确性评价规则</w:t>
            </w:r>
          </w:p>
        </w:tc>
      </w:tr>
      <w:tr>
        <w:tblPrEx>
          <w:tblCellMar>
            <w:top w:w="0" w:type="dxa"/>
            <w:left w:w="108" w:type="dxa"/>
            <w:bottom w:w="0" w:type="dxa"/>
            <w:right w:w="108" w:type="dxa"/>
          </w:tblCellMar>
        </w:tblPrEx>
        <w:trPr>
          <w:trHeight w:val="240" w:hRule="atLeast"/>
        </w:trPr>
        <w:tc>
          <w:tcPr>
            <w:tcW w:w="417"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日期</w:t>
            </w:r>
          </w:p>
        </w:tc>
        <w:tc>
          <w:tcPr>
            <w:tcW w:w="1908" w:type="pct"/>
            <w:tcBorders>
              <w:top w:val="nil"/>
              <w:left w:val="nil"/>
              <w:bottom w:val="single" w:color="auto" w:sz="4" w:space="0"/>
              <w:right w:val="single" w:color="auto" w:sz="4" w:space="0"/>
            </w:tcBorders>
            <w:noWrap/>
            <w:vAlign w:val="center"/>
          </w:tcPr>
          <w:p>
            <w:pPr>
              <w:pStyle w:val="46"/>
            </w:pPr>
            <w:r>
              <w:rPr>
                <w:rFonts w:hint="eastAsia"/>
              </w:rPr>
              <w:t>成立日期</w:t>
            </w:r>
          </w:p>
        </w:tc>
        <w:tc>
          <w:tcPr>
            <w:tcW w:w="2675" w:type="pct"/>
            <w:tcBorders>
              <w:top w:val="nil"/>
              <w:left w:val="nil"/>
              <w:bottom w:val="single" w:color="auto" w:sz="4" w:space="0"/>
              <w:right w:val="single" w:color="auto" w:sz="4" w:space="0"/>
            </w:tcBorders>
            <w:vAlign w:val="center"/>
          </w:tcPr>
          <w:p>
            <w:pPr>
              <w:pStyle w:val="46"/>
            </w:pPr>
            <w:r>
              <w:rPr>
                <w:rFonts w:hint="eastAsia"/>
              </w:rPr>
              <w:t>大于等于1949-10-1，小于等于当前日期</w:t>
            </w:r>
          </w:p>
        </w:tc>
      </w:tr>
      <w:tr>
        <w:tblPrEx>
          <w:tblCellMar>
            <w:top w:w="0" w:type="dxa"/>
            <w:left w:w="108" w:type="dxa"/>
            <w:bottom w:w="0" w:type="dxa"/>
            <w:right w:w="108" w:type="dxa"/>
          </w:tblCellMar>
        </w:tblPrEx>
        <w:trPr>
          <w:trHeight w:val="72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vAlign w:val="center"/>
          </w:tcPr>
          <w:p>
            <w:pPr>
              <w:pStyle w:val="46"/>
            </w:pPr>
            <w:r>
              <w:rPr>
                <w:rFonts w:hint="eastAsia"/>
              </w:rPr>
              <w:t>核准日期、经营(驻在)期限自、出资日期、变更日期、吊销日期、注销日期、受理日期、公告日期、清算完结日期、迁入日期、迁出日期等</w:t>
            </w:r>
          </w:p>
        </w:tc>
        <w:tc>
          <w:tcPr>
            <w:tcW w:w="2675" w:type="pct"/>
            <w:tcBorders>
              <w:top w:val="nil"/>
              <w:left w:val="nil"/>
              <w:bottom w:val="single" w:color="auto" w:sz="4" w:space="0"/>
              <w:right w:val="single" w:color="auto" w:sz="4" w:space="0"/>
            </w:tcBorders>
            <w:noWrap/>
            <w:vAlign w:val="center"/>
          </w:tcPr>
          <w:p>
            <w:pPr>
              <w:pStyle w:val="46"/>
            </w:pPr>
            <w:r>
              <w:rPr>
                <w:rFonts w:hint="eastAsia"/>
              </w:rPr>
              <w:t>大于等于成立日期，小于等于当前日期</w:t>
            </w:r>
          </w:p>
        </w:tc>
      </w:tr>
      <w:tr>
        <w:tblPrEx>
          <w:tblCellMar>
            <w:top w:w="0" w:type="dxa"/>
            <w:left w:w="108" w:type="dxa"/>
            <w:bottom w:w="0" w:type="dxa"/>
            <w:right w:w="108" w:type="dxa"/>
          </w:tblCellMar>
        </w:tblPrEx>
        <w:trPr>
          <w:trHeight w:val="24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noWrap/>
            <w:vAlign w:val="center"/>
          </w:tcPr>
          <w:p>
            <w:pPr>
              <w:pStyle w:val="46"/>
            </w:pPr>
            <w:r>
              <w:rPr>
                <w:rFonts w:hint="eastAsia"/>
              </w:rPr>
              <w:t>经营(驻在)期限至、认缴出资日期</w:t>
            </w:r>
          </w:p>
        </w:tc>
        <w:tc>
          <w:tcPr>
            <w:tcW w:w="2675" w:type="pct"/>
            <w:tcBorders>
              <w:top w:val="nil"/>
              <w:left w:val="nil"/>
              <w:bottom w:val="single" w:color="auto" w:sz="4" w:space="0"/>
              <w:right w:val="single" w:color="auto" w:sz="4" w:space="0"/>
            </w:tcBorders>
            <w:noWrap/>
            <w:vAlign w:val="center"/>
          </w:tcPr>
          <w:p>
            <w:pPr>
              <w:pStyle w:val="46"/>
            </w:pPr>
            <w:r>
              <w:rPr>
                <w:rFonts w:hint="eastAsia"/>
              </w:rPr>
              <w:t>大于等于成立日期，小于等于2099-12-31</w:t>
            </w:r>
          </w:p>
        </w:tc>
      </w:tr>
      <w:tr>
        <w:tblPrEx>
          <w:tblCellMar>
            <w:top w:w="0" w:type="dxa"/>
            <w:left w:w="108" w:type="dxa"/>
            <w:bottom w:w="0" w:type="dxa"/>
            <w:right w:w="108" w:type="dxa"/>
          </w:tblCellMar>
        </w:tblPrEx>
        <w:trPr>
          <w:trHeight w:val="24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noWrap/>
            <w:vAlign w:val="center"/>
          </w:tcPr>
          <w:p>
            <w:pPr>
              <w:pStyle w:val="46"/>
            </w:pPr>
            <w:r>
              <w:rPr>
                <w:rFonts w:hint="eastAsia"/>
              </w:rPr>
              <w:t>出生日期</w:t>
            </w:r>
          </w:p>
        </w:tc>
        <w:tc>
          <w:tcPr>
            <w:tcW w:w="2675" w:type="pct"/>
            <w:tcBorders>
              <w:top w:val="nil"/>
              <w:left w:val="nil"/>
              <w:bottom w:val="single" w:color="auto" w:sz="4" w:space="0"/>
              <w:right w:val="single" w:color="auto" w:sz="4" w:space="0"/>
            </w:tcBorders>
            <w:noWrap/>
            <w:vAlign w:val="center"/>
          </w:tcPr>
          <w:p>
            <w:pPr>
              <w:pStyle w:val="46"/>
            </w:pPr>
            <w:r>
              <w:rPr>
                <w:rFonts w:hint="eastAsia"/>
              </w:rPr>
              <w:t>大于1900-01-01，小于等于当前日期</w:t>
            </w:r>
          </w:p>
        </w:tc>
      </w:tr>
      <w:tr>
        <w:tblPrEx>
          <w:tblCellMar>
            <w:top w:w="0" w:type="dxa"/>
            <w:left w:w="108" w:type="dxa"/>
            <w:bottom w:w="0" w:type="dxa"/>
            <w:right w:w="108" w:type="dxa"/>
          </w:tblCellMar>
        </w:tblPrEx>
        <w:trPr>
          <w:trHeight w:val="240" w:hRule="atLeast"/>
        </w:trPr>
        <w:tc>
          <w:tcPr>
            <w:tcW w:w="417" w:type="pct"/>
            <w:tcBorders>
              <w:top w:val="nil"/>
              <w:left w:val="single" w:color="auto" w:sz="4" w:space="0"/>
              <w:bottom w:val="single" w:color="auto" w:sz="4" w:space="0"/>
              <w:right w:val="single" w:color="auto" w:sz="4" w:space="0"/>
            </w:tcBorders>
            <w:noWrap/>
            <w:vAlign w:val="center"/>
          </w:tcPr>
          <w:p>
            <w:pPr>
              <w:pStyle w:val="46"/>
            </w:pPr>
            <w:r>
              <w:rPr>
                <w:rFonts w:hint="eastAsia"/>
              </w:rPr>
              <w:t>地址</w:t>
            </w:r>
          </w:p>
        </w:tc>
        <w:tc>
          <w:tcPr>
            <w:tcW w:w="1908" w:type="pct"/>
            <w:tcBorders>
              <w:top w:val="nil"/>
              <w:left w:val="nil"/>
              <w:bottom w:val="single" w:color="auto" w:sz="4" w:space="0"/>
              <w:right w:val="single" w:color="auto" w:sz="4" w:space="0"/>
            </w:tcBorders>
            <w:noWrap/>
            <w:vAlign w:val="center"/>
          </w:tcPr>
          <w:p>
            <w:pPr>
              <w:pStyle w:val="46"/>
            </w:pPr>
            <w:r>
              <w:rPr>
                <w:rFonts w:hint="eastAsia"/>
              </w:rPr>
              <w:t>住所、生产经营地、地址、经营场所等</w:t>
            </w:r>
          </w:p>
        </w:tc>
        <w:tc>
          <w:tcPr>
            <w:tcW w:w="2675" w:type="pct"/>
            <w:tcBorders>
              <w:top w:val="nil"/>
              <w:left w:val="nil"/>
              <w:bottom w:val="single" w:color="auto" w:sz="4" w:space="0"/>
              <w:right w:val="single" w:color="auto" w:sz="4" w:space="0"/>
            </w:tcBorders>
            <w:noWrap/>
            <w:vAlign w:val="center"/>
          </w:tcPr>
          <w:p>
            <w:pPr>
              <w:pStyle w:val="46"/>
            </w:pPr>
            <w:r>
              <w:rPr>
                <w:rFonts w:hint="eastAsia"/>
              </w:rPr>
              <w:t>一址多照检查（同一地址存在多户主体检查）</w:t>
            </w:r>
          </w:p>
        </w:tc>
      </w:tr>
      <w:tr>
        <w:tblPrEx>
          <w:tblCellMar>
            <w:top w:w="0" w:type="dxa"/>
            <w:left w:w="108" w:type="dxa"/>
            <w:bottom w:w="0" w:type="dxa"/>
            <w:right w:w="108" w:type="dxa"/>
          </w:tblCellMar>
        </w:tblPrEx>
        <w:trPr>
          <w:trHeight w:val="240" w:hRule="atLeast"/>
        </w:trPr>
        <w:tc>
          <w:tcPr>
            <w:tcW w:w="417"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金额</w:t>
            </w:r>
          </w:p>
        </w:tc>
        <w:tc>
          <w:tcPr>
            <w:tcW w:w="1908" w:type="pct"/>
            <w:tcBorders>
              <w:top w:val="nil"/>
              <w:left w:val="nil"/>
              <w:bottom w:val="single" w:color="auto" w:sz="4" w:space="0"/>
              <w:right w:val="single" w:color="auto" w:sz="4" w:space="0"/>
            </w:tcBorders>
            <w:vAlign w:val="center"/>
          </w:tcPr>
          <w:p>
            <w:pPr>
              <w:pStyle w:val="46"/>
            </w:pPr>
            <w:r>
              <w:rPr>
                <w:rFonts w:hint="eastAsia"/>
              </w:rPr>
              <w:t>注册资本(金)、注册资本(金)折万美元、注册资本(金)折人民币等</w:t>
            </w:r>
          </w:p>
        </w:tc>
        <w:tc>
          <w:tcPr>
            <w:tcW w:w="2675" w:type="pct"/>
            <w:tcBorders>
              <w:top w:val="nil"/>
              <w:left w:val="nil"/>
              <w:bottom w:val="single" w:color="auto" w:sz="4" w:space="0"/>
              <w:right w:val="single" w:color="auto" w:sz="4" w:space="0"/>
            </w:tcBorders>
            <w:noWrap/>
            <w:vAlign w:val="center"/>
          </w:tcPr>
          <w:p>
            <w:pPr>
              <w:pStyle w:val="46"/>
            </w:pPr>
            <w:r>
              <w:rPr>
                <w:rFonts w:hint="eastAsia"/>
              </w:rPr>
              <w:t>极值检查</w:t>
            </w:r>
          </w:p>
        </w:tc>
      </w:tr>
      <w:tr>
        <w:tblPrEx>
          <w:tblCellMar>
            <w:top w:w="0" w:type="dxa"/>
            <w:left w:w="108" w:type="dxa"/>
            <w:bottom w:w="0" w:type="dxa"/>
            <w:right w:w="108" w:type="dxa"/>
          </w:tblCellMar>
        </w:tblPrEx>
        <w:trPr>
          <w:trHeight w:val="72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noWrap/>
            <w:vAlign w:val="center"/>
          </w:tcPr>
          <w:p>
            <w:pPr>
              <w:pStyle w:val="46"/>
            </w:pPr>
            <w:r>
              <w:rPr>
                <w:rFonts w:hint="eastAsia"/>
              </w:rPr>
              <w:t>认缴出资额、认缴出资额折万美元、认缴出资比例</w:t>
            </w:r>
          </w:p>
        </w:tc>
        <w:tc>
          <w:tcPr>
            <w:tcW w:w="2675" w:type="pct"/>
            <w:tcBorders>
              <w:top w:val="nil"/>
              <w:left w:val="nil"/>
              <w:bottom w:val="single" w:color="auto" w:sz="4" w:space="0"/>
              <w:right w:val="single" w:color="auto" w:sz="4" w:space="0"/>
            </w:tcBorders>
            <w:vAlign w:val="center"/>
          </w:tcPr>
          <w:p>
            <w:pPr>
              <w:pStyle w:val="46"/>
            </w:pPr>
            <w:r>
              <w:rPr>
                <w:rFonts w:hint="eastAsia"/>
              </w:rPr>
              <w:t>1、小于等于注册资本(金)、注册资本(金)折万美元</w:t>
            </w:r>
          </w:p>
          <w:p>
            <w:pPr>
              <w:pStyle w:val="46"/>
            </w:pPr>
            <w:r>
              <w:rPr>
                <w:rFonts w:hint="eastAsia"/>
              </w:rPr>
              <w:t>2、各出资人的认缴出资额的和等于注册资本(金)</w:t>
            </w:r>
          </w:p>
          <w:p>
            <w:pPr>
              <w:pStyle w:val="46"/>
            </w:pPr>
            <w:r>
              <w:rPr>
                <w:rFonts w:hint="eastAsia"/>
              </w:rPr>
              <w:t>3、各出资人的认缴出资比例的和等于100%</w:t>
            </w:r>
          </w:p>
        </w:tc>
      </w:tr>
      <w:tr>
        <w:tblPrEx>
          <w:tblCellMar>
            <w:top w:w="0" w:type="dxa"/>
            <w:left w:w="108" w:type="dxa"/>
            <w:bottom w:w="0" w:type="dxa"/>
            <w:right w:w="108" w:type="dxa"/>
          </w:tblCellMar>
        </w:tblPrEx>
        <w:trPr>
          <w:trHeight w:val="96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noWrap/>
            <w:vAlign w:val="center"/>
          </w:tcPr>
          <w:p>
            <w:pPr>
              <w:pStyle w:val="46"/>
            </w:pPr>
            <w:r>
              <w:rPr>
                <w:rFonts w:hint="eastAsia"/>
              </w:rPr>
              <w:t>外资补充检查项</w:t>
            </w:r>
          </w:p>
        </w:tc>
        <w:tc>
          <w:tcPr>
            <w:tcW w:w="2675" w:type="pct"/>
            <w:tcBorders>
              <w:top w:val="nil"/>
              <w:left w:val="nil"/>
              <w:bottom w:val="single" w:color="auto" w:sz="4" w:space="0"/>
              <w:right w:val="single" w:color="auto" w:sz="4" w:space="0"/>
            </w:tcBorders>
            <w:vAlign w:val="center"/>
          </w:tcPr>
          <w:p>
            <w:pPr>
              <w:pStyle w:val="46"/>
            </w:pPr>
            <w:r>
              <w:rPr>
                <w:rFonts w:hint="eastAsia"/>
              </w:rPr>
              <w:t>1、中方注册资本(金)与外方注册资本(金)的和等于注册资本(金)折人民币</w:t>
            </w:r>
          </w:p>
          <w:p>
            <w:pPr>
              <w:pStyle w:val="46"/>
            </w:pPr>
            <w:r>
              <w:rPr>
                <w:rFonts w:hint="eastAsia"/>
              </w:rPr>
              <w:t>2、中方注册资本(金)折万美元与外方注册资本(金)折万美元的和等于注册资本(金)折万美元</w:t>
            </w:r>
          </w:p>
          <w:p>
            <w:pPr>
              <w:pStyle w:val="46"/>
            </w:pPr>
            <w:r>
              <w:rPr>
                <w:rFonts w:hint="eastAsia"/>
              </w:rPr>
              <w:t>3、中方注册资本(金)出资比例与外方注册资本(金)出资比例的和等于100%</w:t>
            </w:r>
          </w:p>
        </w:tc>
      </w:tr>
      <w:tr>
        <w:tblPrEx>
          <w:tblCellMar>
            <w:top w:w="0" w:type="dxa"/>
            <w:left w:w="108" w:type="dxa"/>
            <w:bottom w:w="0" w:type="dxa"/>
            <w:right w:w="108" w:type="dxa"/>
          </w:tblCellMar>
        </w:tblPrEx>
        <w:trPr>
          <w:trHeight w:val="240" w:hRule="atLeast"/>
        </w:trPr>
        <w:tc>
          <w:tcPr>
            <w:tcW w:w="417"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联系方式</w:t>
            </w:r>
          </w:p>
        </w:tc>
        <w:tc>
          <w:tcPr>
            <w:tcW w:w="1908" w:type="pct"/>
            <w:tcBorders>
              <w:top w:val="nil"/>
              <w:left w:val="nil"/>
              <w:bottom w:val="single" w:color="auto" w:sz="4" w:space="0"/>
              <w:right w:val="single" w:color="auto" w:sz="4" w:space="0"/>
            </w:tcBorders>
            <w:noWrap/>
            <w:vAlign w:val="center"/>
          </w:tcPr>
          <w:p>
            <w:pPr>
              <w:pStyle w:val="46"/>
            </w:pPr>
            <w:r>
              <w:rPr>
                <w:rFonts w:hint="eastAsia"/>
              </w:rPr>
              <w:t>联系电话、固定电话</w:t>
            </w:r>
          </w:p>
        </w:tc>
        <w:tc>
          <w:tcPr>
            <w:tcW w:w="2675" w:type="pct"/>
            <w:tcBorders>
              <w:top w:val="nil"/>
              <w:left w:val="nil"/>
              <w:bottom w:val="single" w:color="auto" w:sz="4" w:space="0"/>
              <w:right w:val="single" w:color="auto" w:sz="4" w:space="0"/>
            </w:tcBorders>
            <w:noWrap/>
            <w:vAlign w:val="center"/>
          </w:tcPr>
          <w:p>
            <w:pPr>
              <w:pStyle w:val="46"/>
            </w:pPr>
            <w:r>
              <w:rPr>
                <w:rFonts w:hint="eastAsia"/>
              </w:rPr>
              <w:t>长度至少6位，均为数字</w:t>
            </w:r>
          </w:p>
        </w:tc>
      </w:tr>
      <w:tr>
        <w:tblPrEx>
          <w:tblCellMar>
            <w:top w:w="0" w:type="dxa"/>
            <w:left w:w="108" w:type="dxa"/>
            <w:bottom w:w="0" w:type="dxa"/>
            <w:right w:w="108" w:type="dxa"/>
          </w:tblCellMar>
        </w:tblPrEx>
        <w:trPr>
          <w:trHeight w:val="24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noWrap/>
            <w:vAlign w:val="center"/>
          </w:tcPr>
          <w:p>
            <w:pPr>
              <w:pStyle w:val="46"/>
            </w:pPr>
            <w:r>
              <w:rPr>
                <w:rFonts w:hint="eastAsia"/>
              </w:rPr>
              <w:t>移动电话</w:t>
            </w:r>
          </w:p>
        </w:tc>
        <w:tc>
          <w:tcPr>
            <w:tcW w:w="2675" w:type="pct"/>
            <w:tcBorders>
              <w:top w:val="nil"/>
              <w:left w:val="nil"/>
              <w:bottom w:val="single" w:color="auto" w:sz="4" w:space="0"/>
              <w:right w:val="single" w:color="auto" w:sz="4" w:space="0"/>
            </w:tcBorders>
            <w:noWrap/>
            <w:vAlign w:val="center"/>
          </w:tcPr>
          <w:p>
            <w:pPr>
              <w:pStyle w:val="46"/>
            </w:pPr>
            <w:r>
              <w:rPr>
                <w:rFonts w:hint="eastAsia"/>
              </w:rPr>
              <w:t>长度11位，均为数字</w:t>
            </w:r>
          </w:p>
        </w:tc>
      </w:tr>
      <w:tr>
        <w:tblPrEx>
          <w:tblCellMar>
            <w:top w:w="0" w:type="dxa"/>
            <w:left w:w="108" w:type="dxa"/>
            <w:bottom w:w="0" w:type="dxa"/>
            <w:right w:w="108" w:type="dxa"/>
          </w:tblCellMar>
        </w:tblPrEx>
        <w:trPr>
          <w:trHeight w:val="24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noWrap/>
            <w:vAlign w:val="center"/>
          </w:tcPr>
          <w:p>
            <w:pPr>
              <w:pStyle w:val="46"/>
            </w:pPr>
            <w:r>
              <w:rPr>
                <w:rFonts w:hint="eastAsia"/>
              </w:rPr>
              <w:t>邮政编码</w:t>
            </w:r>
          </w:p>
        </w:tc>
        <w:tc>
          <w:tcPr>
            <w:tcW w:w="2675" w:type="pct"/>
            <w:tcBorders>
              <w:top w:val="nil"/>
              <w:left w:val="nil"/>
              <w:bottom w:val="single" w:color="auto" w:sz="4" w:space="0"/>
              <w:right w:val="single" w:color="auto" w:sz="4" w:space="0"/>
            </w:tcBorders>
            <w:noWrap/>
            <w:vAlign w:val="center"/>
          </w:tcPr>
          <w:p>
            <w:pPr>
              <w:pStyle w:val="46"/>
            </w:pPr>
            <w:r>
              <w:rPr>
                <w:rFonts w:hint="eastAsia"/>
              </w:rPr>
              <w:t>长度6位，均为数字</w:t>
            </w:r>
          </w:p>
        </w:tc>
      </w:tr>
      <w:tr>
        <w:tblPrEx>
          <w:tblCellMar>
            <w:top w:w="0" w:type="dxa"/>
            <w:left w:w="108" w:type="dxa"/>
            <w:bottom w:w="0" w:type="dxa"/>
            <w:right w:w="108" w:type="dxa"/>
          </w:tblCellMar>
        </w:tblPrEx>
        <w:trPr>
          <w:trHeight w:val="24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noWrap/>
            <w:vAlign w:val="center"/>
          </w:tcPr>
          <w:p>
            <w:pPr>
              <w:pStyle w:val="46"/>
            </w:pPr>
            <w:r>
              <w:rPr>
                <w:rFonts w:hint="eastAsia"/>
              </w:rPr>
              <w:t>电子邮箱</w:t>
            </w:r>
          </w:p>
        </w:tc>
        <w:tc>
          <w:tcPr>
            <w:tcW w:w="2675" w:type="pct"/>
            <w:tcBorders>
              <w:top w:val="nil"/>
              <w:left w:val="nil"/>
              <w:bottom w:val="single" w:color="auto" w:sz="4" w:space="0"/>
              <w:right w:val="single" w:color="auto" w:sz="4" w:space="0"/>
            </w:tcBorders>
            <w:noWrap/>
            <w:vAlign w:val="center"/>
          </w:tcPr>
          <w:p>
            <w:pPr>
              <w:pStyle w:val="46"/>
            </w:pPr>
            <w:r>
              <w:fldChar w:fldCharType="begin"/>
            </w:r>
            <w:r>
              <w:instrText xml:space="preserve"> HYPERLINK "mailto:带@符号" </w:instrText>
            </w:r>
            <w:r>
              <w:fldChar w:fldCharType="separate"/>
            </w:r>
            <w:r>
              <w:rPr>
                <w:rFonts w:hint="eastAsia"/>
                <w:color w:val="auto"/>
              </w:rPr>
              <w:t>带@符号</w:t>
            </w:r>
            <w:r>
              <w:rPr>
                <w:rFonts w:hint="eastAsia"/>
                <w:color w:val="auto"/>
              </w:rPr>
              <w:fldChar w:fldCharType="end"/>
            </w:r>
          </w:p>
        </w:tc>
      </w:tr>
      <w:tr>
        <w:tblPrEx>
          <w:tblCellMar>
            <w:top w:w="0" w:type="dxa"/>
            <w:left w:w="108" w:type="dxa"/>
            <w:bottom w:w="0" w:type="dxa"/>
            <w:right w:w="108" w:type="dxa"/>
          </w:tblCellMar>
        </w:tblPrEx>
        <w:trPr>
          <w:trHeight w:val="480" w:hRule="atLeast"/>
        </w:trPr>
        <w:tc>
          <w:tcPr>
            <w:tcW w:w="417"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其它</w:t>
            </w:r>
          </w:p>
        </w:tc>
        <w:tc>
          <w:tcPr>
            <w:tcW w:w="1908" w:type="pct"/>
            <w:tcBorders>
              <w:top w:val="nil"/>
              <w:left w:val="nil"/>
              <w:bottom w:val="single" w:color="auto" w:sz="4" w:space="0"/>
              <w:right w:val="single" w:color="auto" w:sz="4" w:space="0"/>
            </w:tcBorders>
            <w:noWrap/>
            <w:vAlign w:val="center"/>
          </w:tcPr>
          <w:p>
            <w:pPr>
              <w:pStyle w:val="46"/>
            </w:pPr>
            <w:r>
              <w:rPr>
                <w:rFonts w:hint="eastAsia"/>
              </w:rPr>
              <w:t>证件号码</w:t>
            </w:r>
          </w:p>
        </w:tc>
        <w:tc>
          <w:tcPr>
            <w:tcW w:w="2675" w:type="pct"/>
            <w:tcBorders>
              <w:top w:val="nil"/>
              <w:left w:val="nil"/>
              <w:bottom w:val="single" w:color="auto" w:sz="4" w:space="0"/>
              <w:right w:val="single" w:color="auto" w:sz="4" w:space="0"/>
            </w:tcBorders>
            <w:vAlign w:val="center"/>
          </w:tcPr>
          <w:p>
            <w:pPr>
              <w:pStyle w:val="46"/>
            </w:pPr>
            <w:r>
              <w:rPr>
                <w:rFonts w:hint="eastAsia"/>
              </w:rPr>
              <w:t>1、符合身份证编码标准，长度15位或18位，自第7位起符合日期标准</w:t>
            </w:r>
          </w:p>
          <w:p>
            <w:pPr>
              <w:pStyle w:val="46"/>
            </w:pPr>
            <w:r>
              <w:rPr>
                <w:rFonts w:hint="eastAsia"/>
              </w:rPr>
              <w:t>2、同一身份证号对应2人及以上姓名检查；同一证照号对应多个主体检查</w:t>
            </w:r>
          </w:p>
        </w:tc>
      </w:tr>
      <w:tr>
        <w:tblPrEx>
          <w:tblCellMar>
            <w:top w:w="0" w:type="dxa"/>
            <w:left w:w="108" w:type="dxa"/>
            <w:bottom w:w="0" w:type="dxa"/>
            <w:right w:w="108" w:type="dxa"/>
          </w:tblCellMar>
        </w:tblPrEx>
        <w:trPr>
          <w:trHeight w:val="24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noWrap/>
            <w:vAlign w:val="bottom"/>
          </w:tcPr>
          <w:p>
            <w:pPr>
              <w:pStyle w:val="46"/>
            </w:pPr>
            <w:r>
              <w:rPr>
                <w:rFonts w:hint="eastAsia"/>
              </w:rPr>
              <w:t>外资企业类型</w:t>
            </w:r>
          </w:p>
        </w:tc>
        <w:tc>
          <w:tcPr>
            <w:tcW w:w="2675" w:type="pct"/>
            <w:tcBorders>
              <w:top w:val="nil"/>
              <w:left w:val="nil"/>
              <w:bottom w:val="single" w:color="auto" w:sz="4" w:space="0"/>
              <w:right w:val="single" w:color="auto" w:sz="4" w:space="0"/>
            </w:tcBorders>
            <w:noWrap/>
            <w:vAlign w:val="bottom"/>
          </w:tcPr>
          <w:p>
            <w:pPr>
              <w:pStyle w:val="46"/>
            </w:pPr>
            <w:r>
              <w:rPr>
                <w:rFonts w:hint="eastAsia"/>
              </w:rPr>
              <w:t>2020年1月1日后，不再设立中外合资、中外合作形式的外商投资企业</w:t>
            </w:r>
          </w:p>
        </w:tc>
      </w:tr>
      <w:tr>
        <w:tblPrEx>
          <w:tblCellMar>
            <w:top w:w="0" w:type="dxa"/>
            <w:left w:w="108" w:type="dxa"/>
            <w:bottom w:w="0" w:type="dxa"/>
            <w:right w:w="108" w:type="dxa"/>
          </w:tblCellMar>
        </w:tblPrEx>
        <w:trPr>
          <w:trHeight w:val="480" w:hRule="atLeast"/>
        </w:trPr>
        <w:tc>
          <w:tcPr>
            <w:tcW w:w="417" w:type="pct"/>
            <w:vMerge w:val="continue"/>
            <w:tcBorders>
              <w:top w:val="nil"/>
              <w:left w:val="single" w:color="auto" w:sz="4" w:space="0"/>
              <w:bottom w:val="single" w:color="auto" w:sz="4" w:space="0"/>
              <w:right w:val="single" w:color="auto" w:sz="4" w:space="0"/>
            </w:tcBorders>
            <w:vAlign w:val="center"/>
          </w:tcPr>
          <w:p>
            <w:pPr>
              <w:pStyle w:val="46"/>
            </w:pPr>
          </w:p>
        </w:tc>
        <w:tc>
          <w:tcPr>
            <w:tcW w:w="1908" w:type="pct"/>
            <w:tcBorders>
              <w:top w:val="nil"/>
              <w:left w:val="nil"/>
              <w:bottom w:val="single" w:color="auto" w:sz="4" w:space="0"/>
              <w:right w:val="single" w:color="auto" w:sz="4" w:space="0"/>
            </w:tcBorders>
            <w:noWrap/>
            <w:vAlign w:val="center"/>
          </w:tcPr>
          <w:p>
            <w:pPr>
              <w:pStyle w:val="46"/>
            </w:pPr>
            <w:r>
              <w:rPr>
                <w:rFonts w:hint="eastAsia"/>
              </w:rPr>
              <w:t>电子营业执照一致性</w:t>
            </w:r>
          </w:p>
        </w:tc>
        <w:tc>
          <w:tcPr>
            <w:tcW w:w="2675" w:type="pct"/>
            <w:tcBorders>
              <w:top w:val="nil"/>
              <w:left w:val="nil"/>
              <w:bottom w:val="single" w:color="auto" w:sz="4" w:space="0"/>
              <w:right w:val="single" w:color="auto" w:sz="4" w:space="0"/>
            </w:tcBorders>
            <w:vAlign w:val="bottom"/>
          </w:tcPr>
          <w:p>
            <w:pPr>
              <w:pStyle w:val="46"/>
            </w:pPr>
            <w:r>
              <w:rPr>
                <w:rFonts w:hint="eastAsia"/>
              </w:rPr>
              <w:t>电子营业执照数据与数据中心登记数据一致性检查，检查同一户市场主体登记信息与其电子营业执照照面信息是否一致</w:t>
            </w:r>
          </w:p>
        </w:tc>
      </w:tr>
    </w:tbl>
    <w:p>
      <w:pPr>
        <w:pStyle w:val="7"/>
      </w:pPr>
      <w:bookmarkStart w:id="168" w:name="_Toc78909678"/>
      <w:r>
        <w:rPr>
          <w:rFonts w:hint="eastAsia"/>
        </w:rPr>
        <w:t>规范性检查规则设计</w:t>
      </w:r>
      <w:bookmarkEnd w:id="168"/>
    </w:p>
    <w:p>
      <w:r>
        <w:rPr>
          <w:rFonts w:hint="eastAsia"/>
        </w:rPr>
        <w:t>包括身份识别代码、其它代码、名称及字号、金额、企业类型、法定代表人检查等类别。</w:t>
      </w:r>
    </w:p>
    <w:tbl>
      <w:tblPr>
        <w:tblStyle w:val="30"/>
        <w:tblW w:w="5000" w:type="pct"/>
        <w:tblInd w:w="0" w:type="dxa"/>
        <w:tblLayout w:type="autofit"/>
        <w:tblCellMar>
          <w:top w:w="0" w:type="dxa"/>
          <w:left w:w="108" w:type="dxa"/>
          <w:bottom w:w="0" w:type="dxa"/>
          <w:right w:w="108" w:type="dxa"/>
        </w:tblCellMar>
      </w:tblPr>
      <w:tblGrid>
        <w:gridCol w:w="1783"/>
        <w:gridCol w:w="2663"/>
        <w:gridCol w:w="4864"/>
      </w:tblGrid>
      <w:tr>
        <w:tblPrEx>
          <w:tblCellMar>
            <w:top w:w="0" w:type="dxa"/>
            <w:left w:w="108" w:type="dxa"/>
            <w:bottom w:w="0" w:type="dxa"/>
            <w:right w:w="108" w:type="dxa"/>
          </w:tblCellMar>
        </w:tblPrEx>
        <w:trPr>
          <w:trHeight w:val="288" w:hRule="atLeast"/>
        </w:trPr>
        <w:tc>
          <w:tcPr>
            <w:tcW w:w="958" w:type="pct"/>
            <w:tcBorders>
              <w:top w:val="single" w:color="auto" w:sz="4" w:space="0"/>
              <w:left w:val="single" w:color="auto" w:sz="4" w:space="0"/>
              <w:bottom w:val="single" w:color="auto" w:sz="4" w:space="0"/>
              <w:right w:val="single" w:color="auto" w:sz="4" w:space="0"/>
            </w:tcBorders>
            <w:noWrap/>
            <w:vAlign w:val="center"/>
          </w:tcPr>
          <w:p>
            <w:pPr>
              <w:pStyle w:val="46"/>
            </w:pPr>
            <w:r>
              <w:rPr>
                <w:rFonts w:hint="eastAsia"/>
              </w:rPr>
              <w:t>类别</w:t>
            </w:r>
          </w:p>
        </w:tc>
        <w:tc>
          <w:tcPr>
            <w:tcW w:w="1430" w:type="pct"/>
            <w:tcBorders>
              <w:top w:val="single" w:color="auto" w:sz="4" w:space="0"/>
              <w:left w:val="nil"/>
              <w:bottom w:val="single" w:color="auto" w:sz="4" w:space="0"/>
              <w:right w:val="single" w:color="auto" w:sz="4" w:space="0"/>
            </w:tcBorders>
            <w:vAlign w:val="center"/>
          </w:tcPr>
          <w:p>
            <w:pPr>
              <w:pStyle w:val="46"/>
            </w:pPr>
            <w:r>
              <w:rPr>
                <w:rFonts w:hint="eastAsia"/>
              </w:rPr>
              <w:t>指标项名称</w:t>
            </w:r>
          </w:p>
        </w:tc>
        <w:tc>
          <w:tcPr>
            <w:tcW w:w="2612" w:type="pct"/>
            <w:tcBorders>
              <w:top w:val="single" w:color="auto" w:sz="4" w:space="0"/>
              <w:left w:val="nil"/>
              <w:bottom w:val="single" w:color="auto" w:sz="4" w:space="0"/>
              <w:right w:val="single" w:color="auto" w:sz="4" w:space="0"/>
            </w:tcBorders>
            <w:vAlign w:val="center"/>
          </w:tcPr>
          <w:p>
            <w:pPr>
              <w:pStyle w:val="46"/>
            </w:pPr>
            <w:r>
              <w:rPr>
                <w:rFonts w:hint="eastAsia"/>
              </w:rPr>
              <w:t>规范性评价规则</w:t>
            </w:r>
          </w:p>
        </w:tc>
      </w:tr>
      <w:tr>
        <w:tblPrEx>
          <w:tblCellMar>
            <w:top w:w="0" w:type="dxa"/>
            <w:left w:w="108" w:type="dxa"/>
            <w:bottom w:w="0" w:type="dxa"/>
            <w:right w:w="108" w:type="dxa"/>
          </w:tblCellMar>
        </w:tblPrEx>
        <w:trPr>
          <w:trHeight w:val="480" w:hRule="atLeast"/>
        </w:trPr>
        <w:tc>
          <w:tcPr>
            <w:tcW w:w="958"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身份识别代码</w:t>
            </w:r>
          </w:p>
        </w:tc>
        <w:tc>
          <w:tcPr>
            <w:tcW w:w="1430" w:type="pct"/>
            <w:tcBorders>
              <w:top w:val="nil"/>
              <w:left w:val="nil"/>
              <w:bottom w:val="single" w:color="auto" w:sz="4" w:space="0"/>
              <w:right w:val="single" w:color="auto" w:sz="4" w:space="0"/>
            </w:tcBorders>
            <w:noWrap/>
            <w:vAlign w:val="center"/>
          </w:tcPr>
          <w:p>
            <w:pPr>
              <w:pStyle w:val="46"/>
            </w:pPr>
            <w:r>
              <w:rPr>
                <w:rFonts w:hint="eastAsia"/>
              </w:rPr>
              <w:t>主体身份代码</w:t>
            </w:r>
          </w:p>
        </w:tc>
        <w:tc>
          <w:tcPr>
            <w:tcW w:w="2612" w:type="pct"/>
            <w:tcBorders>
              <w:top w:val="nil"/>
              <w:left w:val="nil"/>
              <w:bottom w:val="single" w:color="auto" w:sz="4" w:space="0"/>
              <w:right w:val="single" w:color="auto" w:sz="4" w:space="0"/>
            </w:tcBorders>
            <w:vAlign w:val="center"/>
          </w:tcPr>
          <w:p>
            <w:pPr>
              <w:pStyle w:val="46"/>
            </w:pPr>
            <w:r>
              <w:rPr>
                <w:rFonts w:hint="eastAsia"/>
              </w:rPr>
              <w:t>1、符合CA14主体身份代码编码规则</w:t>
            </w:r>
          </w:p>
          <w:p>
            <w:pPr>
              <w:pStyle w:val="46"/>
            </w:pPr>
            <w:r>
              <w:rPr>
                <w:rFonts w:hint="eastAsia"/>
              </w:rPr>
              <w:t>2、唯一性检查</w:t>
            </w:r>
          </w:p>
        </w:tc>
      </w:tr>
      <w:tr>
        <w:tblPrEx>
          <w:tblCellMar>
            <w:top w:w="0" w:type="dxa"/>
            <w:left w:w="108" w:type="dxa"/>
            <w:bottom w:w="0" w:type="dxa"/>
            <w:right w:w="108" w:type="dxa"/>
          </w:tblCellMar>
        </w:tblPrEx>
        <w:trPr>
          <w:trHeight w:val="480" w:hRule="atLeast"/>
        </w:trPr>
        <w:tc>
          <w:tcPr>
            <w:tcW w:w="958" w:type="pct"/>
            <w:vMerge w:val="continue"/>
            <w:tcBorders>
              <w:top w:val="nil"/>
              <w:left w:val="single" w:color="auto" w:sz="4" w:space="0"/>
              <w:bottom w:val="single" w:color="auto" w:sz="4" w:space="0"/>
              <w:right w:val="single" w:color="auto" w:sz="4" w:space="0"/>
            </w:tcBorders>
            <w:vAlign w:val="center"/>
          </w:tcPr>
          <w:p>
            <w:pPr>
              <w:pStyle w:val="46"/>
            </w:pPr>
          </w:p>
        </w:tc>
        <w:tc>
          <w:tcPr>
            <w:tcW w:w="1430" w:type="pct"/>
            <w:tcBorders>
              <w:top w:val="nil"/>
              <w:left w:val="nil"/>
              <w:bottom w:val="single" w:color="auto" w:sz="4" w:space="0"/>
              <w:right w:val="single" w:color="auto" w:sz="4" w:space="0"/>
            </w:tcBorders>
            <w:vAlign w:val="center"/>
          </w:tcPr>
          <w:p>
            <w:pPr>
              <w:pStyle w:val="46"/>
            </w:pPr>
            <w:r>
              <w:rPr>
                <w:rFonts w:hint="eastAsia"/>
              </w:rPr>
              <w:t>统一社会信用代码</w:t>
            </w:r>
          </w:p>
        </w:tc>
        <w:tc>
          <w:tcPr>
            <w:tcW w:w="2612" w:type="pct"/>
            <w:tcBorders>
              <w:top w:val="nil"/>
              <w:left w:val="nil"/>
              <w:bottom w:val="single" w:color="auto" w:sz="4" w:space="0"/>
              <w:right w:val="single" w:color="auto" w:sz="4" w:space="0"/>
            </w:tcBorders>
            <w:vAlign w:val="center"/>
          </w:tcPr>
          <w:p>
            <w:pPr>
              <w:pStyle w:val="46"/>
            </w:pPr>
            <w:r>
              <w:rPr>
                <w:rFonts w:hint="eastAsia"/>
              </w:rPr>
              <w:t>1、符合CA91统一社会信用代码编码规则</w:t>
            </w:r>
          </w:p>
          <w:p>
            <w:pPr>
              <w:pStyle w:val="46"/>
            </w:pPr>
            <w:r>
              <w:rPr>
                <w:rFonts w:hint="eastAsia"/>
              </w:rPr>
              <w:t>2、空值、唯一性检查</w:t>
            </w:r>
          </w:p>
        </w:tc>
      </w:tr>
      <w:tr>
        <w:tblPrEx>
          <w:tblCellMar>
            <w:top w:w="0" w:type="dxa"/>
            <w:left w:w="108" w:type="dxa"/>
            <w:bottom w:w="0" w:type="dxa"/>
            <w:right w:w="108" w:type="dxa"/>
          </w:tblCellMar>
        </w:tblPrEx>
        <w:trPr>
          <w:trHeight w:val="480" w:hRule="atLeast"/>
        </w:trPr>
        <w:tc>
          <w:tcPr>
            <w:tcW w:w="958" w:type="pct"/>
            <w:vMerge w:val="continue"/>
            <w:tcBorders>
              <w:top w:val="nil"/>
              <w:left w:val="single" w:color="auto" w:sz="4" w:space="0"/>
              <w:bottom w:val="single" w:color="auto" w:sz="4" w:space="0"/>
              <w:right w:val="single" w:color="auto" w:sz="4" w:space="0"/>
            </w:tcBorders>
            <w:vAlign w:val="center"/>
          </w:tcPr>
          <w:p>
            <w:pPr>
              <w:pStyle w:val="46"/>
            </w:pPr>
          </w:p>
        </w:tc>
        <w:tc>
          <w:tcPr>
            <w:tcW w:w="1430" w:type="pct"/>
            <w:tcBorders>
              <w:top w:val="nil"/>
              <w:left w:val="nil"/>
              <w:bottom w:val="single" w:color="auto" w:sz="4" w:space="0"/>
              <w:right w:val="single" w:color="auto" w:sz="4" w:space="0"/>
            </w:tcBorders>
            <w:noWrap/>
            <w:vAlign w:val="center"/>
          </w:tcPr>
          <w:p>
            <w:pPr>
              <w:pStyle w:val="46"/>
            </w:pPr>
            <w:r>
              <w:rPr>
                <w:rFonts w:hint="eastAsia"/>
              </w:rPr>
              <w:t>注册号</w:t>
            </w:r>
          </w:p>
        </w:tc>
        <w:tc>
          <w:tcPr>
            <w:tcW w:w="2612" w:type="pct"/>
            <w:tcBorders>
              <w:top w:val="nil"/>
              <w:left w:val="nil"/>
              <w:bottom w:val="single" w:color="auto" w:sz="4" w:space="0"/>
              <w:right w:val="single" w:color="auto" w:sz="4" w:space="0"/>
            </w:tcBorders>
            <w:vAlign w:val="center"/>
          </w:tcPr>
          <w:p>
            <w:pPr>
              <w:pStyle w:val="46"/>
            </w:pPr>
            <w:r>
              <w:rPr>
                <w:rFonts w:hint="eastAsia"/>
              </w:rPr>
              <w:t>1、符合CA15注册号编码规则</w:t>
            </w:r>
          </w:p>
          <w:p>
            <w:pPr>
              <w:pStyle w:val="46"/>
            </w:pPr>
            <w:r>
              <w:rPr>
                <w:rFonts w:hint="eastAsia"/>
              </w:rPr>
              <w:t>2、唯一性检查</w:t>
            </w:r>
          </w:p>
        </w:tc>
      </w:tr>
      <w:tr>
        <w:tblPrEx>
          <w:tblCellMar>
            <w:top w:w="0" w:type="dxa"/>
            <w:left w:w="108" w:type="dxa"/>
            <w:bottom w:w="0" w:type="dxa"/>
            <w:right w:w="108" w:type="dxa"/>
          </w:tblCellMar>
        </w:tblPrEx>
        <w:trPr>
          <w:trHeight w:val="288" w:hRule="atLeast"/>
        </w:trPr>
        <w:tc>
          <w:tcPr>
            <w:tcW w:w="958"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其它代码</w:t>
            </w:r>
          </w:p>
        </w:tc>
        <w:tc>
          <w:tcPr>
            <w:tcW w:w="1430" w:type="pct"/>
            <w:tcBorders>
              <w:top w:val="nil"/>
              <w:left w:val="nil"/>
              <w:bottom w:val="single" w:color="auto" w:sz="4" w:space="0"/>
              <w:right w:val="single" w:color="auto" w:sz="4" w:space="0"/>
            </w:tcBorders>
            <w:vAlign w:val="center"/>
          </w:tcPr>
          <w:p>
            <w:pPr>
              <w:pStyle w:val="46"/>
            </w:pPr>
            <w:r>
              <w:rPr>
                <w:rFonts w:hint="eastAsia"/>
              </w:rPr>
              <w:t>住所所在行政区划、经营场所所在行政区划</w:t>
            </w:r>
          </w:p>
        </w:tc>
        <w:tc>
          <w:tcPr>
            <w:tcW w:w="2612" w:type="pct"/>
            <w:tcBorders>
              <w:top w:val="nil"/>
              <w:left w:val="nil"/>
              <w:bottom w:val="single" w:color="auto" w:sz="4" w:space="0"/>
              <w:right w:val="single" w:color="auto" w:sz="4" w:space="0"/>
            </w:tcBorders>
            <w:noWrap/>
            <w:vAlign w:val="bottom"/>
          </w:tcPr>
          <w:p>
            <w:pPr>
              <w:pStyle w:val="46"/>
            </w:pPr>
            <w:r>
              <w:rPr>
                <w:rFonts w:hint="eastAsia"/>
              </w:rPr>
              <w:t>符合CA01最新的区划</w:t>
            </w:r>
          </w:p>
        </w:tc>
      </w:tr>
      <w:tr>
        <w:tblPrEx>
          <w:tblCellMar>
            <w:top w:w="0" w:type="dxa"/>
            <w:left w:w="108" w:type="dxa"/>
            <w:bottom w:w="0" w:type="dxa"/>
            <w:right w:w="108" w:type="dxa"/>
          </w:tblCellMar>
        </w:tblPrEx>
        <w:trPr>
          <w:trHeight w:val="288" w:hRule="atLeast"/>
        </w:trPr>
        <w:tc>
          <w:tcPr>
            <w:tcW w:w="958" w:type="pct"/>
            <w:vMerge w:val="continue"/>
            <w:tcBorders>
              <w:top w:val="nil"/>
              <w:left w:val="single" w:color="auto" w:sz="4" w:space="0"/>
              <w:bottom w:val="single" w:color="auto" w:sz="4" w:space="0"/>
              <w:right w:val="single" w:color="auto" w:sz="4" w:space="0"/>
            </w:tcBorders>
            <w:vAlign w:val="center"/>
          </w:tcPr>
          <w:p>
            <w:pPr>
              <w:pStyle w:val="46"/>
            </w:pPr>
          </w:p>
        </w:tc>
        <w:tc>
          <w:tcPr>
            <w:tcW w:w="1430" w:type="pct"/>
            <w:tcBorders>
              <w:top w:val="nil"/>
              <w:left w:val="nil"/>
              <w:bottom w:val="single" w:color="auto" w:sz="4" w:space="0"/>
              <w:right w:val="single" w:color="auto" w:sz="4" w:space="0"/>
            </w:tcBorders>
            <w:vAlign w:val="center"/>
          </w:tcPr>
          <w:p>
            <w:pPr>
              <w:pStyle w:val="46"/>
            </w:pPr>
            <w:r>
              <w:rPr>
                <w:rFonts w:hint="eastAsia"/>
              </w:rPr>
              <w:t>登记机关、受理机关、迁出地登记机关、迁入地登记机关</w:t>
            </w:r>
          </w:p>
        </w:tc>
        <w:tc>
          <w:tcPr>
            <w:tcW w:w="2612" w:type="pct"/>
            <w:tcBorders>
              <w:top w:val="nil"/>
              <w:left w:val="nil"/>
              <w:bottom w:val="single" w:color="auto" w:sz="4" w:space="0"/>
              <w:right w:val="single" w:color="auto" w:sz="4" w:space="0"/>
            </w:tcBorders>
            <w:noWrap/>
            <w:vAlign w:val="bottom"/>
          </w:tcPr>
          <w:p>
            <w:pPr>
              <w:pStyle w:val="46"/>
            </w:pPr>
            <w:r>
              <w:rPr>
                <w:rFonts w:hint="eastAsia"/>
              </w:rPr>
              <w:t>符合CA11最新的区划</w:t>
            </w:r>
          </w:p>
        </w:tc>
      </w:tr>
      <w:tr>
        <w:tblPrEx>
          <w:tblCellMar>
            <w:top w:w="0" w:type="dxa"/>
            <w:left w:w="108" w:type="dxa"/>
            <w:bottom w:w="0" w:type="dxa"/>
            <w:right w:w="108" w:type="dxa"/>
          </w:tblCellMar>
        </w:tblPrEx>
        <w:trPr>
          <w:trHeight w:val="288" w:hRule="atLeast"/>
        </w:trPr>
        <w:tc>
          <w:tcPr>
            <w:tcW w:w="958" w:type="pct"/>
            <w:vMerge w:val="continue"/>
            <w:tcBorders>
              <w:top w:val="nil"/>
              <w:left w:val="single" w:color="auto" w:sz="4" w:space="0"/>
              <w:bottom w:val="single" w:color="auto" w:sz="4" w:space="0"/>
              <w:right w:val="single" w:color="auto" w:sz="4" w:space="0"/>
            </w:tcBorders>
            <w:vAlign w:val="center"/>
          </w:tcPr>
          <w:p>
            <w:pPr>
              <w:pStyle w:val="46"/>
            </w:pPr>
          </w:p>
        </w:tc>
        <w:tc>
          <w:tcPr>
            <w:tcW w:w="1430" w:type="pct"/>
            <w:tcBorders>
              <w:top w:val="nil"/>
              <w:left w:val="nil"/>
              <w:bottom w:val="single" w:color="auto" w:sz="4" w:space="0"/>
              <w:right w:val="single" w:color="auto" w:sz="4" w:space="0"/>
            </w:tcBorders>
            <w:noWrap/>
            <w:vAlign w:val="center"/>
          </w:tcPr>
          <w:p>
            <w:pPr>
              <w:pStyle w:val="46"/>
            </w:pPr>
            <w:r>
              <w:rPr>
                <w:rFonts w:hint="eastAsia"/>
              </w:rPr>
              <w:t>企业类型</w:t>
            </w:r>
          </w:p>
        </w:tc>
        <w:tc>
          <w:tcPr>
            <w:tcW w:w="2612" w:type="pct"/>
            <w:tcBorders>
              <w:top w:val="nil"/>
              <w:left w:val="nil"/>
              <w:bottom w:val="single" w:color="auto" w:sz="4" w:space="0"/>
              <w:right w:val="single" w:color="auto" w:sz="4" w:space="0"/>
            </w:tcBorders>
            <w:noWrap/>
            <w:vAlign w:val="bottom"/>
          </w:tcPr>
          <w:p>
            <w:pPr>
              <w:pStyle w:val="46"/>
            </w:pPr>
            <w:r>
              <w:rPr>
                <w:rFonts w:hint="eastAsia"/>
              </w:rPr>
              <w:t>企业大类编码检查，即企业类型应填写到最细类</w:t>
            </w:r>
          </w:p>
        </w:tc>
      </w:tr>
      <w:tr>
        <w:tblPrEx>
          <w:tblCellMar>
            <w:top w:w="0" w:type="dxa"/>
            <w:left w:w="108" w:type="dxa"/>
            <w:bottom w:w="0" w:type="dxa"/>
            <w:right w:w="108" w:type="dxa"/>
          </w:tblCellMar>
        </w:tblPrEx>
        <w:trPr>
          <w:trHeight w:val="504" w:hRule="atLeast"/>
        </w:trPr>
        <w:tc>
          <w:tcPr>
            <w:tcW w:w="958" w:type="pct"/>
            <w:vMerge w:val="continue"/>
            <w:tcBorders>
              <w:top w:val="nil"/>
              <w:left w:val="single" w:color="auto" w:sz="4" w:space="0"/>
              <w:bottom w:val="single" w:color="auto" w:sz="4" w:space="0"/>
              <w:right w:val="single" w:color="auto" w:sz="4" w:space="0"/>
            </w:tcBorders>
            <w:vAlign w:val="center"/>
          </w:tcPr>
          <w:p>
            <w:pPr>
              <w:pStyle w:val="46"/>
            </w:pPr>
          </w:p>
        </w:tc>
        <w:tc>
          <w:tcPr>
            <w:tcW w:w="1430" w:type="pct"/>
            <w:tcBorders>
              <w:top w:val="nil"/>
              <w:left w:val="nil"/>
              <w:bottom w:val="single" w:color="auto" w:sz="4" w:space="0"/>
              <w:right w:val="single" w:color="auto" w:sz="4" w:space="0"/>
            </w:tcBorders>
            <w:noWrap/>
            <w:vAlign w:val="center"/>
          </w:tcPr>
          <w:p>
            <w:pPr>
              <w:pStyle w:val="46"/>
            </w:pPr>
            <w:r>
              <w:rPr>
                <w:rFonts w:hint="eastAsia"/>
              </w:rPr>
              <w:t>行业门类</w:t>
            </w:r>
          </w:p>
        </w:tc>
        <w:tc>
          <w:tcPr>
            <w:tcW w:w="2612" w:type="pct"/>
            <w:tcBorders>
              <w:top w:val="nil"/>
              <w:left w:val="nil"/>
              <w:bottom w:val="single" w:color="auto" w:sz="4" w:space="0"/>
              <w:right w:val="single" w:color="auto" w:sz="4" w:space="0"/>
            </w:tcBorders>
            <w:vAlign w:val="bottom"/>
          </w:tcPr>
          <w:p>
            <w:pPr>
              <w:pStyle w:val="46"/>
            </w:pPr>
            <w:r>
              <w:rPr>
                <w:rFonts w:hint="eastAsia"/>
              </w:rPr>
              <w:t>1、行业门类在代码集内；</w:t>
            </w:r>
          </w:p>
          <w:p>
            <w:pPr>
              <w:pStyle w:val="46"/>
            </w:pPr>
            <w:r>
              <w:rPr>
                <w:rFonts w:hint="eastAsia"/>
              </w:rPr>
              <w:t>2、行业门类与行业代码同步对应</w:t>
            </w:r>
          </w:p>
        </w:tc>
      </w:tr>
      <w:tr>
        <w:tblPrEx>
          <w:tblCellMar>
            <w:top w:w="0" w:type="dxa"/>
            <w:left w:w="108" w:type="dxa"/>
            <w:bottom w:w="0" w:type="dxa"/>
            <w:right w:w="108" w:type="dxa"/>
          </w:tblCellMar>
        </w:tblPrEx>
        <w:trPr>
          <w:trHeight w:val="744" w:hRule="atLeast"/>
        </w:trPr>
        <w:tc>
          <w:tcPr>
            <w:tcW w:w="958" w:type="pct"/>
            <w:vMerge w:val="continue"/>
            <w:tcBorders>
              <w:top w:val="nil"/>
              <w:left w:val="single" w:color="auto" w:sz="4" w:space="0"/>
              <w:bottom w:val="single" w:color="auto" w:sz="4" w:space="0"/>
              <w:right w:val="single" w:color="auto" w:sz="4" w:space="0"/>
            </w:tcBorders>
            <w:vAlign w:val="center"/>
          </w:tcPr>
          <w:p>
            <w:pPr>
              <w:pStyle w:val="46"/>
            </w:pPr>
          </w:p>
        </w:tc>
        <w:tc>
          <w:tcPr>
            <w:tcW w:w="1430" w:type="pct"/>
            <w:tcBorders>
              <w:top w:val="nil"/>
              <w:left w:val="nil"/>
              <w:bottom w:val="single" w:color="auto" w:sz="4" w:space="0"/>
              <w:right w:val="single" w:color="auto" w:sz="4" w:space="0"/>
            </w:tcBorders>
            <w:noWrap/>
            <w:vAlign w:val="center"/>
          </w:tcPr>
          <w:p>
            <w:pPr>
              <w:pStyle w:val="46"/>
            </w:pPr>
            <w:r>
              <w:rPr>
                <w:rFonts w:hint="eastAsia"/>
              </w:rPr>
              <w:t>行业代码</w:t>
            </w:r>
          </w:p>
        </w:tc>
        <w:tc>
          <w:tcPr>
            <w:tcW w:w="2612" w:type="pct"/>
            <w:tcBorders>
              <w:top w:val="nil"/>
              <w:left w:val="nil"/>
              <w:bottom w:val="single" w:color="auto" w:sz="4" w:space="0"/>
              <w:right w:val="single" w:color="auto" w:sz="4" w:space="0"/>
            </w:tcBorders>
            <w:vAlign w:val="bottom"/>
          </w:tcPr>
          <w:p>
            <w:pPr>
              <w:pStyle w:val="46"/>
            </w:pPr>
            <w:r>
              <w:rPr>
                <w:rFonts w:hint="eastAsia"/>
              </w:rPr>
              <w:t>1、符合国标2017版行业代码标准规范，行业代码应在2017标准代码集内</w:t>
            </w:r>
          </w:p>
          <w:p>
            <w:pPr>
              <w:pStyle w:val="46"/>
            </w:pPr>
            <w:r>
              <w:rPr>
                <w:rFonts w:hint="eastAsia"/>
              </w:rPr>
              <w:t>2、与主体经营业务相关</w:t>
            </w:r>
          </w:p>
          <w:p>
            <w:pPr>
              <w:pStyle w:val="46"/>
            </w:pPr>
            <w:r>
              <w:rPr>
                <w:rFonts w:hint="eastAsia"/>
              </w:rPr>
              <w:t>3、总局核名下发企业行业代码规范性检查</w:t>
            </w:r>
          </w:p>
        </w:tc>
      </w:tr>
      <w:tr>
        <w:tblPrEx>
          <w:tblCellMar>
            <w:top w:w="0" w:type="dxa"/>
            <w:left w:w="108" w:type="dxa"/>
            <w:bottom w:w="0" w:type="dxa"/>
            <w:right w:w="108" w:type="dxa"/>
          </w:tblCellMar>
        </w:tblPrEx>
        <w:trPr>
          <w:trHeight w:val="288" w:hRule="atLeast"/>
        </w:trPr>
        <w:tc>
          <w:tcPr>
            <w:tcW w:w="958" w:type="pct"/>
            <w:vMerge w:val="continue"/>
            <w:tcBorders>
              <w:top w:val="nil"/>
              <w:left w:val="single" w:color="auto" w:sz="4" w:space="0"/>
              <w:bottom w:val="single" w:color="auto" w:sz="4" w:space="0"/>
              <w:right w:val="single" w:color="auto" w:sz="4" w:space="0"/>
            </w:tcBorders>
            <w:vAlign w:val="center"/>
          </w:tcPr>
          <w:p>
            <w:pPr>
              <w:pStyle w:val="46"/>
            </w:pPr>
          </w:p>
        </w:tc>
        <w:tc>
          <w:tcPr>
            <w:tcW w:w="1430" w:type="pct"/>
            <w:tcBorders>
              <w:top w:val="nil"/>
              <w:left w:val="nil"/>
              <w:bottom w:val="single" w:color="auto" w:sz="4" w:space="0"/>
              <w:right w:val="single" w:color="auto" w:sz="4" w:space="0"/>
            </w:tcBorders>
            <w:noWrap/>
            <w:vAlign w:val="center"/>
          </w:tcPr>
          <w:p>
            <w:pPr>
              <w:pStyle w:val="46"/>
            </w:pPr>
            <w:r>
              <w:rPr>
                <w:rFonts w:hint="eastAsia"/>
              </w:rPr>
              <w:t>国别(地区)、币种</w:t>
            </w:r>
          </w:p>
        </w:tc>
        <w:tc>
          <w:tcPr>
            <w:tcW w:w="2612" w:type="pct"/>
            <w:tcBorders>
              <w:top w:val="nil"/>
              <w:left w:val="nil"/>
              <w:bottom w:val="single" w:color="auto" w:sz="4" w:space="0"/>
              <w:right w:val="single" w:color="auto" w:sz="4" w:space="0"/>
            </w:tcBorders>
            <w:vAlign w:val="center"/>
          </w:tcPr>
          <w:p>
            <w:pPr>
              <w:pStyle w:val="46"/>
            </w:pPr>
            <w:r>
              <w:rPr>
                <w:rFonts w:hint="eastAsia"/>
              </w:rPr>
              <w:t>符合外资主体实际情况</w:t>
            </w:r>
          </w:p>
        </w:tc>
      </w:tr>
      <w:tr>
        <w:tblPrEx>
          <w:tblCellMar>
            <w:top w:w="0" w:type="dxa"/>
            <w:left w:w="108" w:type="dxa"/>
            <w:bottom w:w="0" w:type="dxa"/>
            <w:right w:w="108" w:type="dxa"/>
          </w:tblCellMar>
        </w:tblPrEx>
        <w:trPr>
          <w:trHeight w:val="960" w:hRule="atLeast"/>
        </w:trPr>
        <w:tc>
          <w:tcPr>
            <w:tcW w:w="958" w:type="pct"/>
            <w:vMerge w:val="restart"/>
            <w:tcBorders>
              <w:top w:val="nil"/>
              <w:left w:val="single" w:color="auto" w:sz="4" w:space="0"/>
              <w:bottom w:val="single" w:color="000000" w:sz="4" w:space="0"/>
              <w:right w:val="single" w:color="auto" w:sz="4" w:space="0"/>
            </w:tcBorders>
            <w:noWrap/>
            <w:vAlign w:val="center"/>
          </w:tcPr>
          <w:p>
            <w:pPr>
              <w:pStyle w:val="46"/>
            </w:pPr>
            <w:r>
              <w:rPr>
                <w:rFonts w:hint="eastAsia"/>
              </w:rPr>
              <w:t>名称及字号</w:t>
            </w:r>
          </w:p>
        </w:tc>
        <w:tc>
          <w:tcPr>
            <w:tcW w:w="1430" w:type="pct"/>
            <w:tcBorders>
              <w:top w:val="nil"/>
              <w:left w:val="nil"/>
              <w:bottom w:val="single" w:color="auto" w:sz="4" w:space="0"/>
              <w:right w:val="single" w:color="auto" w:sz="4" w:space="0"/>
            </w:tcBorders>
            <w:noWrap/>
            <w:vAlign w:val="center"/>
          </w:tcPr>
          <w:p>
            <w:pPr>
              <w:pStyle w:val="46"/>
            </w:pPr>
            <w:r>
              <w:rPr>
                <w:rFonts w:hint="eastAsia"/>
              </w:rPr>
              <w:t>企业（机构）名称</w:t>
            </w:r>
          </w:p>
        </w:tc>
        <w:tc>
          <w:tcPr>
            <w:tcW w:w="2612" w:type="pct"/>
            <w:tcBorders>
              <w:top w:val="nil"/>
              <w:left w:val="nil"/>
              <w:bottom w:val="single" w:color="auto" w:sz="4" w:space="0"/>
              <w:right w:val="single" w:color="auto" w:sz="4" w:space="0"/>
            </w:tcBorders>
            <w:vAlign w:val="center"/>
          </w:tcPr>
          <w:p>
            <w:pPr>
              <w:pStyle w:val="46"/>
            </w:pPr>
            <w:r>
              <w:rPr>
                <w:rFonts w:hint="eastAsia"/>
              </w:rPr>
              <w:t>名称规范，</w:t>
            </w:r>
          </w:p>
          <w:p>
            <w:pPr>
              <w:pStyle w:val="46"/>
            </w:pPr>
            <w:r>
              <w:rPr>
                <w:rFonts w:hint="eastAsia"/>
              </w:rPr>
              <w:t>1、不能带标注信息，如被迁往某地、遗失补办、微型、筹建、已注销等字样</w:t>
            </w:r>
          </w:p>
          <w:p>
            <w:pPr>
              <w:pStyle w:val="46"/>
            </w:pPr>
            <w:r>
              <w:rPr>
                <w:rFonts w:hint="eastAsia"/>
              </w:rPr>
              <w:t>2、不能使用总局规定的禁限用字、词</w:t>
            </w:r>
          </w:p>
          <w:p>
            <w:pPr>
              <w:pStyle w:val="46"/>
            </w:pPr>
            <w:r>
              <w:rPr>
                <w:rFonts w:hint="eastAsia"/>
              </w:rPr>
              <w:t>3、括号使用规范，不能出现括号空号或涵盖字号、行业、组织形式等内容</w:t>
            </w:r>
          </w:p>
        </w:tc>
      </w:tr>
      <w:tr>
        <w:tblPrEx>
          <w:tblCellMar>
            <w:top w:w="0" w:type="dxa"/>
            <w:left w:w="108" w:type="dxa"/>
            <w:bottom w:w="0" w:type="dxa"/>
            <w:right w:w="108" w:type="dxa"/>
          </w:tblCellMar>
        </w:tblPrEx>
        <w:trPr>
          <w:trHeight w:val="960" w:hRule="atLeast"/>
        </w:trPr>
        <w:tc>
          <w:tcPr>
            <w:tcW w:w="958" w:type="pct"/>
            <w:vMerge w:val="continue"/>
            <w:tcBorders>
              <w:top w:val="nil"/>
              <w:left w:val="single" w:color="auto" w:sz="4" w:space="0"/>
              <w:bottom w:val="single" w:color="000000" w:sz="4" w:space="0"/>
              <w:right w:val="single" w:color="auto" w:sz="4" w:space="0"/>
            </w:tcBorders>
            <w:vAlign w:val="center"/>
          </w:tcPr>
          <w:p>
            <w:pPr>
              <w:pStyle w:val="46"/>
            </w:pPr>
          </w:p>
        </w:tc>
        <w:tc>
          <w:tcPr>
            <w:tcW w:w="1430" w:type="pct"/>
            <w:tcBorders>
              <w:top w:val="nil"/>
              <w:left w:val="nil"/>
              <w:bottom w:val="single" w:color="auto" w:sz="4" w:space="0"/>
              <w:right w:val="single" w:color="auto" w:sz="4" w:space="0"/>
            </w:tcBorders>
            <w:noWrap/>
            <w:vAlign w:val="center"/>
          </w:tcPr>
          <w:p>
            <w:pPr>
              <w:pStyle w:val="46"/>
            </w:pPr>
            <w:r>
              <w:rPr>
                <w:rFonts w:hint="eastAsia"/>
              </w:rPr>
              <w:t>字号名称</w:t>
            </w:r>
          </w:p>
        </w:tc>
        <w:tc>
          <w:tcPr>
            <w:tcW w:w="2612" w:type="pct"/>
            <w:tcBorders>
              <w:top w:val="nil"/>
              <w:left w:val="nil"/>
              <w:bottom w:val="single" w:color="auto" w:sz="4" w:space="0"/>
              <w:right w:val="single" w:color="auto" w:sz="4" w:space="0"/>
            </w:tcBorders>
            <w:vAlign w:val="center"/>
          </w:tcPr>
          <w:p>
            <w:pPr>
              <w:pStyle w:val="46"/>
            </w:pPr>
            <w:r>
              <w:rPr>
                <w:rFonts w:hint="eastAsia"/>
              </w:rPr>
              <w:t>字号规范，</w:t>
            </w:r>
          </w:p>
          <w:p>
            <w:pPr>
              <w:pStyle w:val="46"/>
            </w:pPr>
            <w:r>
              <w:rPr>
                <w:rFonts w:hint="eastAsia"/>
              </w:rPr>
              <w:t>1、不能带标注信息，如被迁往某地、遗失补办、微型、筹建、已注销等字样</w:t>
            </w:r>
          </w:p>
          <w:p>
            <w:pPr>
              <w:pStyle w:val="46"/>
            </w:pPr>
            <w:r>
              <w:rPr>
                <w:rFonts w:hint="eastAsia"/>
              </w:rPr>
              <w:t>2、不能使用总局规定的禁限用字、词</w:t>
            </w:r>
          </w:p>
          <w:p>
            <w:pPr>
              <w:pStyle w:val="46"/>
            </w:pPr>
            <w:r>
              <w:rPr>
                <w:rFonts w:hint="eastAsia"/>
              </w:rPr>
              <w:t>3、括号使用规范，不能出现括号空号或涵盖字号、行业、组织形式等内容</w:t>
            </w:r>
          </w:p>
        </w:tc>
      </w:tr>
      <w:tr>
        <w:tblPrEx>
          <w:tblCellMar>
            <w:top w:w="0" w:type="dxa"/>
            <w:left w:w="108" w:type="dxa"/>
            <w:bottom w:w="0" w:type="dxa"/>
            <w:right w:w="108" w:type="dxa"/>
          </w:tblCellMar>
        </w:tblPrEx>
        <w:trPr>
          <w:trHeight w:val="288" w:hRule="atLeast"/>
        </w:trPr>
        <w:tc>
          <w:tcPr>
            <w:tcW w:w="958" w:type="pct"/>
            <w:tcBorders>
              <w:top w:val="nil"/>
              <w:left w:val="single" w:color="auto" w:sz="4" w:space="0"/>
              <w:bottom w:val="single" w:color="auto" w:sz="4" w:space="0"/>
              <w:right w:val="single" w:color="auto" w:sz="4" w:space="0"/>
            </w:tcBorders>
            <w:noWrap/>
            <w:vAlign w:val="center"/>
          </w:tcPr>
          <w:p>
            <w:pPr>
              <w:pStyle w:val="46"/>
            </w:pPr>
            <w:r>
              <w:rPr>
                <w:rFonts w:hint="eastAsia"/>
              </w:rPr>
              <w:t>金额</w:t>
            </w:r>
          </w:p>
        </w:tc>
        <w:tc>
          <w:tcPr>
            <w:tcW w:w="1430" w:type="pct"/>
            <w:tcBorders>
              <w:top w:val="nil"/>
              <w:left w:val="nil"/>
              <w:bottom w:val="single" w:color="auto" w:sz="4" w:space="0"/>
              <w:right w:val="single" w:color="auto" w:sz="4" w:space="0"/>
            </w:tcBorders>
            <w:noWrap/>
            <w:vAlign w:val="center"/>
          </w:tcPr>
          <w:p>
            <w:pPr>
              <w:pStyle w:val="46"/>
            </w:pPr>
            <w:r>
              <w:rPr>
                <w:rFonts w:hint="eastAsia"/>
              </w:rPr>
              <w:t>注册资本（金）</w:t>
            </w:r>
          </w:p>
        </w:tc>
        <w:tc>
          <w:tcPr>
            <w:tcW w:w="2612" w:type="pct"/>
            <w:tcBorders>
              <w:top w:val="nil"/>
              <w:left w:val="nil"/>
              <w:bottom w:val="single" w:color="auto" w:sz="4" w:space="0"/>
              <w:right w:val="single" w:color="auto" w:sz="4" w:space="0"/>
            </w:tcBorders>
            <w:vAlign w:val="center"/>
          </w:tcPr>
          <w:p>
            <w:pPr>
              <w:pStyle w:val="46"/>
            </w:pPr>
            <w:r>
              <w:rPr>
                <w:rFonts w:hint="eastAsia"/>
              </w:rPr>
              <w:t>分支机构、分公司等填写了数值</w:t>
            </w:r>
          </w:p>
        </w:tc>
      </w:tr>
      <w:tr>
        <w:tblPrEx>
          <w:tblCellMar>
            <w:top w:w="0" w:type="dxa"/>
            <w:left w:w="108" w:type="dxa"/>
            <w:bottom w:w="0" w:type="dxa"/>
            <w:right w:w="108" w:type="dxa"/>
          </w:tblCellMar>
        </w:tblPrEx>
        <w:trPr>
          <w:trHeight w:val="288" w:hRule="atLeast"/>
        </w:trPr>
        <w:tc>
          <w:tcPr>
            <w:tcW w:w="958" w:type="pct"/>
            <w:tcBorders>
              <w:top w:val="nil"/>
              <w:left w:val="single" w:color="auto" w:sz="4" w:space="0"/>
              <w:bottom w:val="single" w:color="auto" w:sz="4" w:space="0"/>
              <w:right w:val="single" w:color="auto" w:sz="4" w:space="0"/>
            </w:tcBorders>
            <w:noWrap/>
            <w:vAlign w:val="center"/>
          </w:tcPr>
          <w:p>
            <w:pPr>
              <w:pStyle w:val="46"/>
            </w:pPr>
            <w:r>
              <w:rPr>
                <w:rFonts w:hint="eastAsia"/>
              </w:rPr>
              <w:t>企业类型</w:t>
            </w:r>
          </w:p>
        </w:tc>
        <w:tc>
          <w:tcPr>
            <w:tcW w:w="1430" w:type="pct"/>
            <w:tcBorders>
              <w:top w:val="nil"/>
              <w:left w:val="nil"/>
              <w:bottom w:val="single" w:color="auto" w:sz="4" w:space="0"/>
              <w:right w:val="single" w:color="auto" w:sz="4" w:space="0"/>
            </w:tcBorders>
            <w:noWrap/>
            <w:vAlign w:val="center"/>
          </w:tcPr>
          <w:p>
            <w:pPr>
              <w:pStyle w:val="46"/>
            </w:pPr>
            <w:r>
              <w:rPr>
                <w:rFonts w:hint="eastAsia"/>
              </w:rPr>
              <w:t>企业类型与公司股东不符</w:t>
            </w:r>
          </w:p>
        </w:tc>
        <w:tc>
          <w:tcPr>
            <w:tcW w:w="2612" w:type="pct"/>
            <w:tcBorders>
              <w:top w:val="nil"/>
              <w:left w:val="nil"/>
              <w:bottom w:val="single" w:color="auto" w:sz="4" w:space="0"/>
              <w:right w:val="single" w:color="auto" w:sz="4" w:space="0"/>
            </w:tcBorders>
            <w:vAlign w:val="center"/>
          </w:tcPr>
          <w:p>
            <w:pPr>
              <w:pStyle w:val="46"/>
            </w:pPr>
            <w:r>
              <w:rPr>
                <w:rFonts w:hint="eastAsia"/>
              </w:rPr>
              <w:t>法人独资公司股东为自然人</w:t>
            </w:r>
          </w:p>
        </w:tc>
      </w:tr>
      <w:tr>
        <w:tblPrEx>
          <w:tblCellMar>
            <w:top w:w="0" w:type="dxa"/>
            <w:left w:w="108" w:type="dxa"/>
            <w:bottom w:w="0" w:type="dxa"/>
            <w:right w:w="108" w:type="dxa"/>
          </w:tblCellMar>
        </w:tblPrEx>
        <w:trPr>
          <w:trHeight w:val="288" w:hRule="atLeast"/>
        </w:trPr>
        <w:tc>
          <w:tcPr>
            <w:tcW w:w="958" w:type="pct"/>
            <w:tcBorders>
              <w:top w:val="nil"/>
              <w:left w:val="single" w:color="auto" w:sz="4" w:space="0"/>
              <w:bottom w:val="single" w:color="auto" w:sz="4" w:space="0"/>
              <w:right w:val="single" w:color="auto" w:sz="4" w:space="0"/>
            </w:tcBorders>
            <w:noWrap/>
            <w:vAlign w:val="center"/>
          </w:tcPr>
          <w:p>
            <w:pPr>
              <w:pStyle w:val="46"/>
            </w:pPr>
            <w:r>
              <w:rPr>
                <w:rFonts w:hint="eastAsia"/>
              </w:rPr>
              <w:t>法定代表人检查</w:t>
            </w:r>
          </w:p>
        </w:tc>
        <w:tc>
          <w:tcPr>
            <w:tcW w:w="1430" w:type="pct"/>
            <w:tcBorders>
              <w:top w:val="nil"/>
              <w:left w:val="nil"/>
              <w:bottom w:val="single" w:color="auto" w:sz="4" w:space="0"/>
              <w:right w:val="single" w:color="auto" w:sz="4" w:space="0"/>
            </w:tcBorders>
            <w:noWrap/>
            <w:vAlign w:val="center"/>
          </w:tcPr>
          <w:p>
            <w:pPr>
              <w:pStyle w:val="46"/>
            </w:pPr>
            <w:r>
              <w:rPr>
                <w:rFonts w:hint="eastAsia"/>
              </w:rPr>
              <w:t>法定代表人</w:t>
            </w:r>
          </w:p>
        </w:tc>
        <w:tc>
          <w:tcPr>
            <w:tcW w:w="2612" w:type="pct"/>
            <w:tcBorders>
              <w:top w:val="nil"/>
              <w:left w:val="nil"/>
              <w:bottom w:val="single" w:color="auto" w:sz="4" w:space="0"/>
              <w:right w:val="single" w:color="auto" w:sz="4" w:space="0"/>
            </w:tcBorders>
            <w:noWrap/>
            <w:vAlign w:val="center"/>
          </w:tcPr>
          <w:p>
            <w:pPr>
              <w:pStyle w:val="46"/>
            </w:pPr>
            <w:r>
              <w:rPr>
                <w:rFonts w:hint="eastAsia"/>
              </w:rPr>
              <w:t>唯一性检查</w:t>
            </w:r>
          </w:p>
        </w:tc>
      </w:tr>
    </w:tbl>
    <w:p>
      <w:pPr>
        <w:pStyle w:val="7"/>
      </w:pPr>
      <w:r>
        <w:rPr>
          <w:rFonts w:hint="eastAsia"/>
        </w:rPr>
        <w:t>数据完整性检查规则设计</w:t>
      </w:r>
    </w:p>
    <w:p>
      <w:r>
        <w:rPr>
          <w:rFonts w:hint="eastAsia"/>
        </w:rPr>
        <w:t>及时性检查包括上报总局及时性以及共享其他部门及时性等类别。</w:t>
      </w:r>
    </w:p>
    <w:tbl>
      <w:tblPr>
        <w:tblStyle w:val="30"/>
        <w:tblpPr w:leftFromText="180" w:rightFromText="180" w:vertAnchor="text" w:horzAnchor="margin" w:tblpY="111"/>
        <w:tblW w:w="5000" w:type="pct"/>
        <w:tblInd w:w="0" w:type="dxa"/>
        <w:tblLayout w:type="autofit"/>
        <w:tblCellMar>
          <w:top w:w="0" w:type="dxa"/>
          <w:left w:w="108" w:type="dxa"/>
          <w:bottom w:w="0" w:type="dxa"/>
          <w:right w:w="108" w:type="dxa"/>
        </w:tblCellMar>
      </w:tblPr>
      <w:tblGrid>
        <w:gridCol w:w="1633"/>
        <w:gridCol w:w="4783"/>
        <w:gridCol w:w="2894"/>
      </w:tblGrid>
      <w:tr>
        <w:tblPrEx>
          <w:tblCellMar>
            <w:top w:w="0" w:type="dxa"/>
            <w:left w:w="108" w:type="dxa"/>
            <w:bottom w:w="0" w:type="dxa"/>
            <w:right w:w="108" w:type="dxa"/>
          </w:tblCellMar>
        </w:tblPrEx>
        <w:trPr>
          <w:trHeight w:val="288" w:hRule="atLeast"/>
        </w:trPr>
        <w:tc>
          <w:tcPr>
            <w:tcW w:w="884" w:type="pct"/>
            <w:tcBorders>
              <w:top w:val="single" w:color="auto" w:sz="4" w:space="0"/>
              <w:left w:val="single" w:color="auto" w:sz="4" w:space="0"/>
              <w:bottom w:val="single" w:color="auto" w:sz="4" w:space="0"/>
              <w:right w:val="single" w:color="auto" w:sz="4" w:space="0"/>
            </w:tcBorders>
            <w:noWrap/>
            <w:vAlign w:val="bottom"/>
          </w:tcPr>
          <w:p>
            <w:pPr>
              <w:pStyle w:val="46"/>
            </w:pPr>
            <w:r>
              <w:rPr>
                <w:rFonts w:hint="eastAsia"/>
              </w:rPr>
              <w:t>类别</w:t>
            </w:r>
          </w:p>
        </w:tc>
        <w:tc>
          <w:tcPr>
            <w:tcW w:w="2561" w:type="pct"/>
            <w:tcBorders>
              <w:top w:val="single" w:color="auto" w:sz="4" w:space="0"/>
              <w:left w:val="nil"/>
              <w:bottom w:val="single" w:color="auto" w:sz="4" w:space="0"/>
              <w:right w:val="single" w:color="auto" w:sz="4" w:space="0"/>
            </w:tcBorders>
            <w:noWrap/>
            <w:vAlign w:val="bottom"/>
          </w:tcPr>
          <w:p>
            <w:pPr>
              <w:pStyle w:val="46"/>
            </w:pPr>
            <w:r>
              <w:rPr>
                <w:rFonts w:hint="eastAsia"/>
              </w:rPr>
              <w:t>检查项</w:t>
            </w:r>
          </w:p>
        </w:tc>
        <w:tc>
          <w:tcPr>
            <w:tcW w:w="1555" w:type="pct"/>
            <w:tcBorders>
              <w:top w:val="single" w:color="auto" w:sz="4" w:space="0"/>
              <w:left w:val="nil"/>
              <w:bottom w:val="single" w:color="auto" w:sz="4" w:space="0"/>
              <w:right w:val="single" w:color="auto" w:sz="4" w:space="0"/>
            </w:tcBorders>
            <w:noWrap/>
            <w:vAlign w:val="bottom"/>
          </w:tcPr>
          <w:p>
            <w:pPr>
              <w:pStyle w:val="46"/>
            </w:pPr>
            <w:r>
              <w:rPr>
                <w:rFonts w:hint="eastAsia"/>
              </w:rPr>
              <w:t>备注</w:t>
            </w:r>
          </w:p>
        </w:tc>
      </w:tr>
      <w:tr>
        <w:tblPrEx>
          <w:tblCellMar>
            <w:top w:w="0" w:type="dxa"/>
            <w:left w:w="108" w:type="dxa"/>
            <w:bottom w:w="0" w:type="dxa"/>
            <w:right w:w="108" w:type="dxa"/>
          </w:tblCellMar>
        </w:tblPrEx>
        <w:trPr>
          <w:trHeight w:val="288" w:hRule="atLeast"/>
        </w:trPr>
        <w:tc>
          <w:tcPr>
            <w:tcW w:w="884" w:type="pct"/>
            <w:vMerge w:val="restart"/>
            <w:tcBorders>
              <w:top w:val="nil"/>
              <w:left w:val="single" w:color="auto" w:sz="4" w:space="0"/>
              <w:bottom w:val="single" w:color="auto" w:sz="4" w:space="0"/>
              <w:right w:val="single" w:color="auto" w:sz="4" w:space="0"/>
            </w:tcBorders>
            <w:noWrap/>
            <w:vAlign w:val="center"/>
          </w:tcPr>
          <w:p>
            <w:pPr>
              <w:pStyle w:val="46"/>
            </w:pPr>
            <w:r>
              <w:rPr>
                <w:rFonts w:hint="eastAsia"/>
              </w:rPr>
              <w:t>上报总局及时性</w:t>
            </w:r>
          </w:p>
        </w:tc>
        <w:tc>
          <w:tcPr>
            <w:tcW w:w="2561" w:type="pct"/>
            <w:tcBorders>
              <w:top w:val="nil"/>
              <w:left w:val="nil"/>
              <w:bottom w:val="single" w:color="auto" w:sz="4" w:space="0"/>
              <w:right w:val="single" w:color="auto" w:sz="4" w:space="0"/>
            </w:tcBorders>
            <w:noWrap/>
            <w:vAlign w:val="bottom"/>
          </w:tcPr>
          <w:p>
            <w:pPr>
              <w:pStyle w:val="46"/>
            </w:pPr>
            <w:r>
              <w:rPr>
                <w:rFonts w:hint="eastAsia"/>
              </w:rPr>
              <w:t>新设立市场主体信息是否实时上传至前置机</w:t>
            </w:r>
          </w:p>
        </w:tc>
        <w:tc>
          <w:tcPr>
            <w:tcW w:w="1555" w:type="pct"/>
            <w:tcBorders>
              <w:top w:val="nil"/>
              <w:left w:val="nil"/>
              <w:bottom w:val="single" w:color="auto" w:sz="4" w:space="0"/>
              <w:right w:val="single" w:color="auto" w:sz="4" w:space="0"/>
            </w:tcBorders>
            <w:noWrap/>
            <w:vAlign w:val="bottom"/>
          </w:tcPr>
          <w:p>
            <w:pPr>
              <w:pStyle w:val="46"/>
            </w:pPr>
            <w:r>
              <w:rPr>
                <w:rFonts w:hint="eastAsia"/>
              </w:rPr>
              <w:t>含企业、农民专业合作社、个体工商户</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561" w:type="pct"/>
            <w:tcBorders>
              <w:top w:val="nil"/>
              <w:left w:val="nil"/>
              <w:bottom w:val="single" w:color="auto" w:sz="4" w:space="0"/>
              <w:right w:val="single" w:color="auto" w:sz="4" w:space="0"/>
            </w:tcBorders>
            <w:noWrap/>
            <w:vAlign w:val="bottom"/>
          </w:tcPr>
          <w:p>
            <w:pPr>
              <w:pStyle w:val="46"/>
            </w:pPr>
            <w:r>
              <w:rPr>
                <w:rFonts w:hint="eastAsia"/>
              </w:rPr>
              <w:t>注销市场主体信息是否实时上传至前置机</w:t>
            </w:r>
          </w:p>
        </w:tc>
        <w:tc>
          <w:tcPr>
            <w:tcW w:w="1555" w:type="pct"/>
            <w:tcBorders>
              <w:top w:val="nil"/>
              <w:left w:val="nil"/>
              <w:bottom w:val="single" w:color="auto" w:sz="4" w:space="0"/>
              <w:right w:val="single" w:color="auto" w:sz="4" w:space="0"/>
            </w:tcBorders>
            <w:noWrap/>
            <w:vAlign w:val="bottom"/>
          </w:tcPr>
          <w:p>
            <w:pPr>
              <w:pStyle w:val="46"/>
            </w:pPr>
            <w:r>
              <w:rPr>
                <w:rFonts w:hint="eastAsia"/>
              </w:rPr>
              <w:t>含企业、农民专业合作社、个体工商户</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561" w:type="pct"/>
            <w:tcBorders>
              <w:top w:val="nil"/>
              <w:left w:val="nil"/>
              <w:bottom w:val="single" w:color="auto" w:sz="4" w:space="0"/>
              <w:right w:val="single" w:color="auto" w:sz="4" w:space="0"/>
            </w:tcBorders>
            <w:noWrap/>
            <w:vAlign w:val="bottom"/>
          </w:tcPr>
          <w:p>
            <w:pPr>
              <w:pStyle w:val="46"/>
            </w:pPr>
            <w:r>
              <w:rPr>
                <w:rFonts w:hint="eastAsia"/>
              </w:rPr>
              <w:t>吊销市场主体信息是否实时上传至前置机</w:t>
            </w:r>
          </w:p>
        </w:tc>
        <w:tc>
          <w:tcPr>
            <w:tcW w:w="1555" w:type="pct"/>
            <w:tcBorders>
              <w:top w:val="nil"/>
              <w:left w:val="nil"/>
              <w:bottom w:val="single" w:color="auto" w:sz="4" w:space="0"/>
              <w:right w:val="single" w:color="auto" w:sz="4" w:space="0"/>
            </w:tcBorders>
            <w:noWrap/>
            <w:vAlign w:val="bottom"/>
          </w:tcPr>
          <w:p>
            <w:pPr>
              <w:pStyle w:val="46"/>
            </w:pPr>
            <w:r>
              <w:rPr>
                <w:rFonts w:hint="eastAsia"/>
              </w:rPr>
              <w:t>含企业、农民专业合作社、个体工商户</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561" w:type="pct"/>
            <w:tcBorders>
              <w:top w:val="nil"/>
              <w:left w:val="nil"/>
              <w:bottom w:val="single" w:color="auto" w:sz="4" w:space="0"/>
              <w:right w:val="single" w:color="auto" w:sz="4" w:space="0"/>
            </w:tcBorders>
            <w:noWrap/>
            <w:vAlign w:val="bottom"/>
          </w:tcPr>
          <w:p>
            <w:pPr>
              <w:pStyle w:val="46"/>
            </w:pPr>
            <w:r>
              <w:rPr>
                <w:rFonts w:hint="eastAsia"/>
              </w:rPr>
              <w:t>各地市场主体登记信息是否及时与电子营业执照信息进行同步更新</w:t>
            </w:r>
          </w:p>
        </w:tc>
        <w:tc>
          <w:tcPr>
            <w:tcW w:w="155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auto" w:sz="4" w:space="0"/>
              <w:right w:val="single" w:color="auto" w:sz="4" w:space="0"/>
            </w:tcBorders>
            <w:vAlign w:val="center"/>
          </w:tcPr>
          <w:p>
            <w:pPr>
              <w:pStyle w:val="46"/>
            </w:pPr>
          </w:p>
        </w:tc>
        <w:tc>
          <w:tcPr>
            <w:tcW w:w="2561" w:type="pct"/>
            <w:tcBorders>
              <w:top w:val="nil"/>
              <w:left w:val="nil"/>
              <w:bottom w:val="single" w:color="auto" w:sz="4" w:space="0"/>
              <w:right w:val="single" w:color="auto" w:sz="4" w:space="0"/>
            </w:tcBorders>
            <w:noWrap/>
            <w:vAlign w:val="bottom"/>
          </w:tcPr>
          <w:p>
            <w:pPr>
              <w:pStyle w:val="46"/>
            </w:pPr>
            <w:r>
              <w:rPr>
                <w:rFonts w:hint="eastAsia"/>
              </w:rPr>
              <w:t>简易注销数据是否实时上传至前置机</w:t>
            </w:r>
          </w:p>
        </w:tc>
        <w:tc>
          <w:tcPr>
            <w:tcW w:w="1555" w:type="pct"/>
            <w:tcBorders>
              <w:top w:val="nil"/>
              <w:left w:val="nil"/>
              <w:bottom w:val="single" w:color="auto" w:sz="4" w:space="0"/>
              <w:right w:val="single" w:color="auto" w:sz="4" w:space="0"/>
            </w:tcBorders>
            <w:noWrap/>
            <w:vAlign w:val="bottom"/>
          </w:tcPr>
          <w:p>
            <w:pPr>
              <w:pStyle w:val="46"/>
            </w:pPr>
            <w:r>
              <w:rPr>
                <w:rFonts w:hint="eastAsia"/>
              </w:rPr>
              <w:t>　</w:t>
            </w:r>
          </w:p>
        </w:tc>
      </w:tr>
      <w:tr>
        <w:tblPrEx>
          <w:tblCellMar>
            <w:top w:w="0" w:type="dxa"/>
            <w:left w:w="108" w:type="dxa"/>
            <w:bottom w:w="0" w:type="dxa"/>
            <w:right w:w="108" w:type="dxa"/>
          </w:tblCellMar>
        </w:tblPrEx>
        <w:trPr>
          <w:trHeight w:val="288" w:hRule="atLeast"/>
        </w:trPr>
        <w:tc>
          <w:tcPr>
            <w:tcW w:w="884" w:type="pct"/>
            <w:tcBorders>
              <w:top w:val="nil"/>
              <w:left w:val="single" w:color="auto" w:sz="4" w:space="0"/>
              <w:bottom w:val="single" w:color="auto" w:sz="4" w:space="0"/>
              <w:right w:val="single" w:color="auto" w:sz="4" w:space="0"/>
            </w:tcBorders>
            <w:noWrap/>
            <w:vAlign w:val="bottom"/>
          </w:tcPr>
          <w:p>
            <w:pPr>
              <w:pStyle w:val="46"/>
            </w:pPr>
            <w:r>
              <w:rPr>
                <w:rFonts w:hint="eastAsia"/>
              </w:rPr>
              <w:t>共享其他部门及时性</w:t>
            </w:r>
          </w:p>
        </w:tc>
        <w:tc>
          <w:tcPr>
            <w:tcW w:w="2561" w:type="pct"/>
            <w:tcBorders>
              <w:top w:val="nil"/>
              <w:left w:val="nil"/>
              <w:bottom w:val="single" w:color="auto" w:sz="4" w:space="0"/>
              <w:right w:val="single" w:color="auto" w:sz="4" w:space="0"/>
            </w:tcBorders>
            <w:noWrap/>
            <w:vAlign w:val="bottom"/>
          </w:tcPr>
          <w:p>
            <w:pPr>
              <w:pStyle w:val="46"/>
            </w:pPr>
            <w:r>
              <w:rPr>
                <w:rFonts w:hint="eastAsia"/>
              </w:rPr>
              <w:t>共享其他部门信息是否按规定及时共享</w:t>
            </w:r>
          </w:p>
        </w:tc>
        <w:tc>
          <w:tcPr>
            <w:tcW w:w="1555" w:type="pct"/>
            <w:tcBorders>
              <w:top w:val="nil"/>
              <w:left w:val="nil"/>
              <w:bottom w:val="single" w:color="auto" w:sz="4" w:space="0"/>
              <w:right w:val="single" w:color="auto" w:sz="4" w:space="0"/>
            </w:tcBorders>
            <w:noWrap/>
            <w:vAlign w:val="bottom"/>
          </w:tcPr>
          <w:p>
            <w:pPr>
              <w:pStyle w:val="46"/>
            </w:pPr>
            <w:r>
              <w:rPr>
                <w:rFonts w:hint="eastAsia"/>
              </w:rPr>
              <w:t>　</w:t>
            </w:r>
          </w:p>
        </w:tc>
      </w:tr>
    </w:tbl>
    <w:p>
      <w:pPr>
        <w:pStyle w:val="7"/>
      </w:pPr>
      <w:bookmarkStart w:id="169" w:name="_Toc78909680"/>
      <w:r>
        <w:rPr>
          <w:rFonts w:hint="eastAsia"/>
        </w:rPr>
        <w:t>真实性检查规则设计</w:t>
      </w:r>
      <w:bookmarkEnd w:id="169"/>
    </w:p>
    <w:p>
      <w:r>
        <w:rPr>
          <w:rFonts w:hint="eastAsia"/>
        </w:rPr>
        <w:t>真实性检查规则包括企业、农民专业合作社、个体工商户、其他等类别。</w:t>
      </w:r>
    </w:p>
    <w:tbl>
      <w:tblPr>
        <w:tblStyle w:val="30"/>
        <w:tblW w:w="5000" w:type="pct"/>
        <w:tblInd w:w="0" w:type="dxa"/>
        <w:tblLayout w:type="autofit"/>
        <w:tblCellMar>
          <w:top w:w="0" w:type="dxa"/>
          <w:left w:w="108" w:type="dxa"/>
          <w:bottom w:w="0" w:type="dxa"/>
          <w:right w:w="108" w:type="dxa"/>
        </w:tblCellMar>
      </w:tblPr>
      <w:tblGrid>
        <w:gridCol w:w="2495"/>
        <w:gridCol w:w="6815"/>
      </w:tblGrid>
      <w:tr>
        <w:tblPrEx>
          <w:tblCellMar>
            <w:top w:w="0" w:type="dxa"/>
            <w:left w:w="108" w:type="dxa"/>
            <w:bottom w:w="0" w:type="dxa"/>
            <w:right w:w="108" w:type="dxa"/>
          </w:tblCellMar>
        </w:tblPrEx>
        <w:trPr>
          <w:trHeight w:val="288" w:hRule="atLeast"/>
        </w:trPr>
        <w:tc>
          <w:tcPr>
            <w:tcW w:w="1340" w:type="pct"/>
            <w:tcBorders>
              <w:top w:val="single" w:color="auto" w:sz="4" w:space="0"/>
              <w:left w:val="single" w:color="auto" w:sz="4" w:space="0"/>
              <w:bottom w:val="single" w:color="auto" w:sz="4" w:space="0"/>
              <w:right w:val="single" w:color="auto" w:sz="4" w:space="0"/>
            </w:tcBorders>
            <w:noWrap/>
            <w:vAlign w:val="bottom"/>
          </w:tcPr>
          <w:p>
            <w:pPr>
              <w:pStyle w:val="46"/>
            </w:pPr>
            <w:r>
              <w:rPr>
                <w:rFonts w:hint="eastAsia"/>
              </w:rPr>
              <w:t>类别</w:t>
            </w:r>
          </w:p>
        </w:tc>
        <w:tc>
          <w:tcPr>
            <w:tcW w:w="3660" w:type="pct"/>
            <w:tcBorders>
              <w:top w:val="single" w:color="auto" w:sz="4" w:space="0"/>
              <w:left w:val="nil"/>
              <w:bottom w:val="single" w:color="auto" w:sz="4" w:space="0"/>
              <w:right w:val="single" w:color="auto" w:sz="4" w:space="0"/>
            </w:tcBorders>
            <w:noWrap/>
            <w:vAlign w:val="bottom"/>
          </w:tcPr>
          <w:p>
            <w:pPr>
              <w:pStyle w:val="46"/>
            </w:pPr>
            <w:r>
              <w:rPr>
                <w:rFonts w:hint="eastAsia"/>
              </w:rPr>
              <w:t>评价项</w:t>
            </w:r>
          </w:p>
        </w:tc>
      </w:tr>
      <w:tr>
        <w:tblPrEx>
          <w:tblCellMar>
            <w:top w:w="0" w:type="dxa"/>
            <w:left w:w="108" w:type="dxa"/>
            <w:bottom w:w="0" w:type="dxa"/>
            <w:right w:w="108" w:type="dxa"/>
          </w:tblCellMar>
        </w:tblPrEx>
        <w:trPr>
          <w:trHeight w:val="288" w:hRule="atLeast"/>
        </w:trPr>
        <w:tc>
          <w:tcPr>
            <w:tcW w:w="1340" w:type="pct"/>
            <w:vMerge w:val="restart"/>
            <w:tcBorders>
              <w:top w:val="nil"/>
              <w:left w:val="single" w:color="auto" w:sz="4" w:space="0"/>
              <w:bottom w:val="single" w:color="000000" w:sz="4" w:space="0"/>
              <w:right w:val="single" w:color="auto" w:sz="4" w:space="0"/>
            </w:tcBorders>
            <w:noWrap/>
            <w:vAlign w:val="center"/>
          </w:tcPr>
          <w:p>
            <w:pPr>
              <w:pStyle w:val="46"/>
            </w:pPr>
            <w:r>
              <w:rPr>
                <w:rFonts w:hint="eastAsia"/>
              </w:rPr>
              <w:t>企业</w:t>
            </w:r>
          </w:p>
        </w:tc>
        <w:tc>
          <w:tcPr>
            <w:tcW w:w="3660" w:type="pct"/>
            <w:tcBorders>
              <w:top w:val="nil"/>
              <w:left w:val="nil"/>
              <w:bottom w:val="single" w:color="auto" w:sz="4" w:space="0"/>
              <w:right w:val="single" w:color="auto" w:sz="4" w:space="0"/>
            </w:tcBorders>
            <w:noWrap/>
            <w:vAlign w:val="bottom"/>
          </w:tcPr>
          <w:p>
            <w:pPr>
              <w:pStyle w:val="46"/>
            </w:pPr>
            <w:r>
              <w:rPr>
                <w:rFonts w:hint="eastAsia"/>
              </w:rPr>
              <w:t>企业住所真实性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企业经营状态真实性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企业联系方式真实性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企业行业代码真实性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外商投资企业金额真实性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外商投资企业国别和币种真实性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一人多户情况，即同一自然人投资多户企业检查</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center"/>
          </w:tcPr>
          <w:p>
            <w:pPr>
              <w:pStyle w:val="46"/>
            </w:pPr>
            <w:r>
              <w:rPr>
                <w:rFonts w:hint="eastAsia"/>
              </w:rPr>
              <w:t>一址多照检查，同一地址存在多户主体检查</w:t>
            </w:r>
          </w:p>
        </w:tc>
      </w:tr>
      <w:tr>
        <w:tblPrEx>
          <w:tblCellMar>
            <w:top w:w="0" w:type="dxa"/>
            <w:left w:w="108" w:type="dxa"/>
            <w:bottom w:w="0" w:type="dxa"/>
            <w:right w:w="108" w:type="dxa"/>
          </w:tblCellMar>
        </w:tblPrEx>
        <w:trPr>
          <w:trHeight w:val="288" w:hRule="atLeast"/>
        </w:trPr>
        <w:tc>
          <w:tcPr>
            <w:tcW w:w="1340" w:type="pct"/>
            <w:vMerge w:val="restart"/>
            <w:tcBorders>
              <w:top w:val="nil"/>
              <w:left w:val="single" w:color="auto" w:sz="4" w:space="0"/>
              <w:bottom w:val="single" w:color="000000" w:sz="4" w:space="0"/>
              <w:right w:val="single" w:color="auto" w:sz="4" w:space="0"/>
            </w:tcBorders>
            <w:noWrap/>
            <w:vAlign w:val="center"/>
          </w:tcPr>
          <w:p>
            <w:pPr>
              <w:pStyle w:val="46"/>
            </w:pPr>
            <w:r>
              <w:rPr>
                <w:rFonts w:hint="eastAsia"/>
              </w:rPr>
              <w:t>农民专业合作社</w:t>
            </w:r>
          </w:p>
        </w:tc>
        <w:tc>
          <w:tcPr>
            <w:tcW w:w="3660" w:type="pct"/>
            <w:tcBorders>
              <w:top w:val="nil"/>
              <w:left w:val="nil"/>
              <w:bottom w:val="single" w:color="auto" w:sz="4" w:space="0"/>
              <w:right w:val="single" w:color="auto" w:sz="4" w:space="0"/>
            </w:tcBorders>
            <w:noWrap/>
            <w:vAlign w:val="bottom"/>
          </w:tcPr>
          <w:p>
            <w:pPr>
              <w:pStyle w:val="46"/>
            </w:pPr>
            <w:r>
              <w:rPr>
                <w:rFonts w:hint="eastAsia"/>
              </w:rPr>
              <w:t>农民专业合作社经营场所真实性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农民专业合作社登记状态真实性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农民专业合作社联系方式真实性</w:t>
            </w:r>
          </w:p>
        </w:tc>
      </w:tr>
      <w:tr>
        <w:tblPrEx>
          <w:tblCellMar>
            <w:top w:w="0" w:type="dxa"/>
            <w:left w:w="108" w:type="dxa"/>
            <w:bottom w:w="0" w:type="dxa"/>
            <w:right w:w="108" w:type="dxa"/>
          </w:tblCellMar>
        </w:tblPrEx>
        <w:trPr>
          <w:trHeight w:val="288" w:hRule="atLeast"/>
        </w:trPr>
        <w:tc>
          <w:tcPr>
            <w:tcW w:w="1340" w:type="pct"/>
            <w:vMerge w:val="restart"/>
            <w:tcBorders>
              <w:top w:val="nil"/>
              <w:left w:val="single" w:color="auto" w:sz="4" w:space="0"/>
              <w:bottom w:val="single" w:color="000000" w:sz="4" w:space="0"/>
              <w:right w:val="single" w:color="auto" w:sz="4" w:space="0"/>
            </w:tcBorders>
            <w:noWrap/>
            <w:vAlign w:val="center"/>
          </w:tcPr>
          <w:p>
            <w:pPr>
              <w:pStyle w:val="46"/>
            </w:pPr>
            <w:r>
              <w:rPr>
                <w:rFonts w:hint="eastAsia"/>
              </w:rPr>
              <w:t>个体工商户</w:t>
            </w:r>
          </w:p>
        </w:tc>
        <w:tc>
          <w:tcPr>
            <w:tcW w:w="3660" w:type="pct"/>
            <w:tcBorders>
              <w:top w:val="nil"/>
              <w:left w:val="nil"/>
              <w:bottom w:val="single" w:color="auto" w:sz="4" w:space="0"/>
              <w:right w:val="single" w:color="auto" w:sz="4" w:space="0"/>
            </w:tcBorders>
            <w:noWrap/>
            <w:vAlign w:val="bottom"/>
          </w:tcPr>
          <w:p>
            <w:pPr>
              <w:pStyle w:val="46"/>
            </w:pPr>
            <w:r>
              <w:rPr>
                <w:rFonts w:hint="eastAsia"/>
              </w:rPr>
              <w:t>个体工商户经营场所真实性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个体工商户登记状态真实性</w:t>
            </w:r>
          </w:p>
        </w:tc>
      </w:tr>
      <w:tr>
        <w:tblPrEx>
          <w:tblCellMar>
            <w:top w:w="0" w:type="dxa"/>
            <w:left w:w="108" w:type="dxa"/>
            <w:bottom w:w="0" w:type="dxa"/>
            <w:right w:w="108" w:type="dxa"/>
          </w:tblCellMar>
        </w:tblPrEx>
        <w:trPr>
          <w:trHeight w:val="288" w:hRule="atLeast"/>
        </w:trPr>
        <w:tc>
          <w:tcPr>
            <w:tcW w:w="0" w:type="auto"/>
            <w:vMerge w:val="continue"/>
            <w:tcBorders>
              <w:top w:val="nil"/>
              <w:left w:val="single" w:color="auto" w:sz="4" w:space="0"/>
              <w:bottom w:val="single" w:color="000000" w:sz="4" w:space="0"/>
              <w:right w:val="single" w:color="auto" w:sz="4" w:space="0"/>
            </w:tcBorders>
            <w:vAlign w:val="center"/>
          </w:tcPr>
          <w:p>
            <w:pPr>
              <w:pStyle w:val="46"/>
            </w:pPr>
          </w:p>
        </w:tc>
        <w:tc>
          <w:tcPr>
            <w:tcW w:w="3660" w:type="pct"/>
            <w:tcBorders>
              <w:top w:val="nil"/>
              <w:left w:val="nil"/>
              <w:bottom w:val="single" w:color="auto" w:sz="4" w:space="0"/>
              <w:right w:val="single" w:color="auto" w:sz="4" w:space="0"/>
            </w:tcBorders>
            <w:noWrap/>
            <w:vAlign w:val="bottom"/>
          </w:tcPr>
          <w:p>
            <w:pPr>
              <w:pStyle w:val="46"/>
            </w:pPr>
            <w:r>
              <w:rPr>
                <w:rFonts w:hint="eastAsia"/>
              </w:rPr>
              <w:t>个体工商户联系方式真实性</w:t>
            </w:r>
          </w:p>
        </w:tc>
      </w:tr>
      <w:tr>
        <w:tblPrEx>
          <w:tblCellMar>
            <w:top w:w="0" w:type="dxa"/>
            <w:left w:w="108" w:type="dxa"/>
            <w:bottom w:w="0" w:type="dxa"/>
            <w:right w:w="108" w:type="dxa"/>
          </w:tblCellMar>
        </w:tblPrEx>
        <w:trPr>
          <w:trHeight w:val="288" w:hRule="atLeast"/>
        </w:trPr>
        <w:tc>
          <w:tcPr>
            <w:tcW w:w="1340" w:type="pct"/>
            <w:tcBorders>
              <w:top w:val="nil"/>
              <w:left w:val="single" w:color="auto" w:sz="4" w:space="0"/>
              <w:bottom w:val="single" w:color="auto" w:sz="4" w:space="0"/>
              <w:right w:val="single" w:color="auto" w:sz="4" w:space="0"/>
            </w:tcBorders>
            <w:noWrap/>
            <w:vAlign w:val="center"/>
          </w:tcPr>
          <w:p>
            <w:pPr>
              <w:pStyle w:val="46"/>
            </w:pPr>
            <w:r>
              <w:rPr>
                <w:rFonts w:hint="eastAsia"/>
              </w:rPr>
              <w:t>其它</w:t>
            </w:r>
          </w:p>
        </w:tc>
        <w:tc>
          <w:tcPr>
            <w:tcW w:w="3660" w:type="pct"/>
            <w:tcBorders>
              <w:top w:val="nil"/>
              <w:left w:val="nil"/>
              <w:bottom w:val="single" w:color="auto" w:sz="4" w:space="0"/>
              <w:right w:val="single" w:color="auto" w:sz="4" w:space="0"/>
            </w:tcBorders>
            <w:noWrap/>
            <w:vAlign w:val="center"/>
          </w:tcPr>
          <w:p>
            <w:pPr>
              <w:pStyle w:val="46"/>
            </w:pPr>
            <w:r>
              <w:rPr>
                <w:rFonts w:hint="eastAsia"/>
              </w:rPr>
              <w:t>地方结合本地实际需要增补真实性检查项</w:t>
            </w:r>
          </w:p>
        </w:tc>
      </w:tr>
    </w:tbl>
    <w:p>
      <w:pPr>
        <w:pStyle w:val="7"/>
      </w:pPr>
      <w:bookmarkStart w:id="170" w:name="_Toc78909682"/>
      <w:bookmarkStart w:id="171" w:name="_Toc69908660"/>
      <w:r>
        <w:rPr>
          <w:rFonts w:hint="eastAsia"/>
        </w:rPr>
        <w:t>地方结合本地实际制定详细规则</w:t>
      </w:r>
    </w:p>
    <w:tbl>
      <w:tblPr>
        <w:tblStyle w:val="30"/>
        <w:tblW w:w="5000" w:type="pct"/>
        <w:tblInd w:w="0" w:type="dxa"/>
        <w:tblLayout w:type="autofit"/>
        <w:tblCellMar>
          <w:top w:w="0" w:type="dxa"/>
          <w:left w:w="108" w:type="dxa"/>
          <w:bottom w:w="0" w:type="dxa"/>
          <w:right w:w="108" w:type="dxa"/>
        </w:tblCellMar>
      </w:tblPr>
      <w:tblGrid>
        <w:gridCol w:w="1333"/>
        <w:gridCol w:w="426"/>
        <w:gridCol w:w="636"/>
        <w:gridCol w:w="426"/>
        <w:gridCol w:w="636"/>
        <w:gridCol w:w="426"/>
        <w:gridCol w:w="426"/>
        <w:gridCol w:w="426"/>
        <w:gridCol w:w="643"/>
        <w:gridCol w:w="3932"/>
      </w:tblGrid>
      <w:tr>
        <w:tblPrEx>
          <w:tblCellMar>
            <w:top w:w="0" w:type="dxa"/>
            <w:left w:w="108" w:type="dxa"/>
            <w:bottom w:w="0" w:type="dxa"/>
            <w:right w:w="108" w:type="dxa"/>
          </w:tblCellMar>
        </w:tblPrEx>
        <w:trPr>
          <w:trHeight w:val="288" w:hRule="atLeast"/>
        </w:trPr>
        <w:tc>
          <w:tcPr>
            <w:tcW w:w="811" w:type="pct"/>
            <w:vMerge w:val="restart"/>
            <w:tcBorders>
              <w:top w:val="single" w:color="auto" w:sz="4" w:space="0"/>
              <w:left w:val="single" w:color="auto" w:sz="4" w:space="0"/>
              <w:bottom w:val="single" w:color="000000" w:sz="4" w:space="0"/>
              <w:right w:val="single" w:color="auto" w:sz="4" w:space="0"/>
            </w:tcBorders>
            <w:shd w:val="clear" w:color="auto" w:fill="auto"/>
            <w:noWrap/>
            <w:vAlign w:val="center"/>
          </w:tcPr>
          <w:p>
            <w:pPr>
              <w:pStyle w:val="46"/>
            </w:pPr>
            <w:r>
              <w:rPr>
                <w:rFonts w:hint="eastAsia"/>
              </w:rPr>
              <w:t>业务类别</w:t>
            </w:r>
          </w:p>
        </w:tc>
        <w:tc>
          <w:tcPr>
            <w:tcW w:w="160"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pStyle w:val="46"/>
            </w:pPr>
            <w:r>
              <w:rPr>
                <w:rFonts w:hint="eastAsia"/>
              </w:rPr>
              <w:t>数据采集</w:t>
            </w:r>
          </w:p>
        </w:tc>
        <w:tc>
          <w:tcPr>
            <w:tcW w:w="274"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pStyle w:val="46"/>
            </w:pPr>
            <w:r>
              <w:rPr>
                <w:rFonts w:hint="eastAsia"/>
              </w:rPr>
              <w:t>数据汇集</w:t>
            </w:r>
            <w:r>
              <w:rPr>
                <w:rFonts w:hint="eastAsia"/>
              </w:rPr>
              <w:br w:type="textWrapping"/>
            </w:r>
            <w:r>
              <w:rPr>
                <w:rFonts w:hint="eastAsia"/>
              </w:rPr>
              <w:t>（总局）</w:t>
            </w:r>
          </w:p>
        </w:tc>
        <w:tc>
          <w:tcPr>
            <w:tcW w:w="177" w:type="pct"/>
            <w:vMerge w:val="restart"/>
            <w:tcBorders>
              <w:top w:val="single" w:color="auto" w:sz="4" w:space="0"/>
              <w:left w:val="single" w:color="auto" w:sz="4" w:space="0"/>
              <w:bottom w:val="single" w:color="auto" w:sz="4" w:space="0"/>
              <w:right w:val="single" w:color="auto" w:sz="4" w:space="0"/>
            </w:tcBorders>
            <w:shd w:val="clear" w:color="auto" w:fill="auto"/>
            <w:vAlign w:val="center"/>
          </w:tcPr>
          <w:p>
            <w:pPr>
              <w:pStyle w:val="46"/>
            </w:pPr>
            <w:r>
              <w:rPr>
                <w:rFonts w:hint="eastAsia"/>
              </w:rPr>
              <w:t>数据共享</w:t>
            </w:r>
          </w:p>
        </w:tc>
        <w:tc>
          <w:tcPr>
            <w:tcW w:w="1371" w:type="pct"/>
            <w:gridSpan w:val="5"/>
            <w:tcBorders>
              <w:top w:val="single" w:color="auto" w:sz="4" w:space="0"/>
              <w:left w:val="nil"/>
              <w:bottom w:val="single" w:color="auto" w:sz="4" w:space="0"/>
              <w:right w:val="single" w:color="auto" w:sz="4" w:space="0"/>
            </w:tcBorders>
            <w:shd w:val="clear" w:color="auto" w:fill="auto"/>
            <w:vAlign w:val="center"/>
          </w:tcPr>
          <w:p>
            <w:pPr>
              <w:pStyle w:val="46"/>
            </w:pPr>
            <w:r>
              <w:rPr>
                <w:rFonts w:hint="eastAsia"/>
              </w:rPr>
              <w:t>数据质量规则</w:t>
            </w:r>
          </w:p>
        </w:tc>
        <w:tc>
          <w:tcPr>
            <w:tcW w:w="2206" w:type="pct"/>
            <w:vMerge w:val="restart"/>
            <w:tcBorders>
              <w:top w:val="single" w:color="auto" w:sz="4" w:space="0"/>
              <w:left w:val="single" w:color="auto" w:sz="4" w:space="0"/>
              <w:bottom w:val="single" w:color="000000" w:sz="4" w:space="0"/>
              <w:right w:val="single" w:color="auto" w:sz="4" w:space="0"/>
            </w:tcBorders>
            <w:shd w:val="clear" w:color="auto" w:fill="auto"/>
            <w:vAlign w:val="center"/>
          </w:tcPr>
          <w:p>
            <w:pPr>
              <w:pStyle w:val="46"/>
            </w:pPr>
            <w:r>
              <w:rPr>
                <w:rFonts w:hint="eastAsia"/>
              </w:rPr>
              <w:t>数据标准</w:t>
            </w:r>
          </w:p>
        </w:tc>
      </w:tr>
      <w:tr>
        <w:tblPrEx>
          <w:tblCellMar>
            <w:top w:w="0" w:type="dxa"/>
            <w:left w:w="108" w:type="dxa"/>
            <w:bottom w:w="0" w:type="dxa"/>
            <w:right w:w="108" w:type="dxa"/>
          </w:tblCellMar>
        </w:tblPrEx>
        <w:trPr>
          <w:trHeight w:val="960" w:hRule="atLeast"/>
        </w:trPr>
        <w:tc>
          <w:tcPr>
            <w:tcW w:w="811" w:type="pct"/>
            <w:vMerge w:val="continue"/>
            <w:tcBorders>
              <w:top w:val="single" w:color="auto" w:sz="4" w:space="0"/>
              <w:left w:val="single" w:color="auto" w:sz="4" w:space="0"/>
              <w:bottom w:val="single" w:color="000000" w:sz="4" w:space="0"/>
              <w:right w:val="single" w:color="auto" w:sz="4" w:space="0"/>
            </w:tcBorders>
            <w:vAlign w:val="center"/>
          </w:tcPr>
          <w:p>
            <w:pPr>
              <w:pStyle w:val="46"/>
            </w:pPr>
          </w:p>
        </w:tc>
        <w:tc>
          <w:tcPr>
            <w:tcW w:w="160"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274"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177" w:type="pct"/>
            <w:vMerge w:val="continue"/>
            <w:tcBorders>
              <w:top w:val="single" w:color="auto" w:sz="4" w:space="0"/>
              <w:left w:val="single" w:color="auto" w:sz="4" w:space="0"/>
              <w:bottom w:val="single" w:color="auto" w:sz="4" w:space="0"/>
              <w:right w:val="single" w:color="auto" w:sz="4" w:space="0"/>
            </w:tcBorders>
            <w:vAlign w:val="center"/>
          </w:tcPr>
          <w:p>
            <w:pPr>
              <w:pStyle w:val="46"/>
            </w:pPr>
          </w:p>
        </w:tc>
        <w:tc>
          <w:tcPr>
            <w:tcW w:w="337" w:type="pct"/>
            <w:tcBorders>
              <w:top w:val="nil"/>
              <w:left w:val="nil"/>
              <w:bottom w:val="single" w:color="auto" w:sz="4" w:space="0"/>
              <w:right w:val="single" w:color="auto" w:sz="4" w:space="0"/>
            </w:tcBorders>
            <w:shd w:val="clear" w:color="auto" w:fill="auto"/>
            <w:vAlign w:val="center"/>
          </w:tcPr>
          <w:p>
            <w:pPr>
              <w:pStyle w:val="46"/>
            </w:pPr>
            <w:r>
              <w:rPr>
                <w:rFonts w:hint="eastAsia"/>
              </w:rPr>
              <w:t>完整性</w:t>
            </w:r>
            <w:r>
              <w:rPr>
                <w:rFonts w:hint="eastAsia"/>
              </w:rPr>
              <w:br w:type="textWrapping"/>
            </w:r>
            <w:r>
              <w:rPr>
                <w:rFonts w:hint="eastAsia"/>
              </w:rPr>
              <w:t>（按照数据标准采集）</w:t>
            </w:r>
          </w:p>
        </w:tc>
        <w:tc>
          <w:tcPr>
            <w:tcW w:w="200" w:type="pct"/>
            <w:tcBorders>
              <w:top w:val="nil"/>
              <w:left w:val="nil"/>
              <w:bottom w:val="single" w:color="auto" w:sz="4" w:space="0"/>
              <w:right w:val="single" w:color="auto" w:sz="4" w:space="0"/>
            </w:tcBorders>
            <w:shd w:val="clear" w:color="auto" w:fill="auto"/>
            <w:vAlign w:val="center"/>
          </w:tcPr>
          <w:p>
            <w:pPr>
              <w:pStyle w:val="46"/>
            </w:pPr>
            <w:r>
              <w:rPr>
                <w:rFonts w:hint="eastAsia"/>
              </w:rPr>
              <w:t>准确性</w:t>
            </w:r>
          </w:p>
        </w:tc>
        <w:tc>
          <w:tcPr>
            <w:tcW w:w="200" w:type="pct"/>
            <w:tcBorders>
              <w:top w:val="nil"/>
              <w:left w:val="nil"/>
              <w:bottom w:val="single" w:color="auto" w:sz="4" w:space="0"/>
              <w:right w:val="single" w:color="auto" w:sz="4" w:space="0"/>
            </w:tcBorders>
            <w:shd w:val="clear" w:color="auto" w:fill="auto"/>
            <w:vAlign w:val="center"/>
          </w:tcPr>
          <w:p>
            <w:pPr>
              <w:pStyle w:val="46"/>
            </w:pPr>
            <w:r>
              <w:rPr>
                <w:rFonts w:hint="eastAsia"/>
              </w:rPr>
              <w:t>规范性</w:t>
            </w:r>
          </w:p>
        </w:tc>
        <w:tc>
          <w:tcPr>
            <w:tcW w:w="194" w:type="pct"/>
            <w:tcBorders>
              <w:top w:val="nil"/>
              <w:left w:val="nil"/>
              <w:bottom w:val="single" w:color="auto" w:sz="4" w:space="0"/>
              <w:right w:val="single" w:color="auto" w:sz="4" w:space="0"/>
            </w:tcBorders>
            <w:shd w:val="clear" w:color="auto" w:fill="auto"/>
            <w:vAlign w:val="center"/>
          </w:tcPr>
          <w:p>
            <w:pPr>
              <w:pStyle w:val="46"/>
            </w:pPr>
            <w:r>
              <w:rPr>
                <w:rFonts w:hint="eastAsia"/>
              </w:rPr>
              <w:t>真实性</w:t>
            </w:r>
          </w:p>
        </w:tc>
        <w:tc>
          <w:tcPr>
            <w:tcW w:w="440" w:type="pct"/>
            <w:tcBorders>
              <w:top w:val="nil"/>
              <w:left w:val="nil"/>
              <w:bottom w:val="single" w:color="auto" w:sz="4" w:space="0"/>
              <w:right w:val="single" w:color="auto" w:sz="4" w:space="0"/>
            </w:tcBorders>
            <w:shd w:val="clear" w:color="auto" w:fill="auto"/>
            <w:vAlign w:val="center"/>
          </w:tcPr>
          <w:p>
            <w:pPr>
              <w:pStyle w:val="46"/>
            </w:pPr>
            <w:r>
              <w:rPr>
                <w:rFonts w:hint="eastAsia"/>
              </w:rPr>
              <w:t>及时性</w:t>
            </w:r>
            <w:r>
              <w:rPr>
                <w:rFonts w:hint="eastAsia"/>
              </w:rPr>
              <w:br w:type="textWrapping"/>
            </w:r>
            <w:r>
              <w:rPr>
                <w:rFonts w:hint="eastAsia"/>
              </w:rPr>
              <w:t>（符合汇集、共享时效要求）</w:t>
            </w:r>
          </w:p>
        </w:tc>
        <w:tc>
          <w:tcPr>
            <w:tcW w:w="2206" w:type="pct"/>
            <w:vMerge w:val="continue"/>
            <w:tcBorders>
              <w:top w:val="single" w:color="auto" w:sz="4" w:space="0"/>
              <w:left w:val="single" w:color="auto" w:sz="4" w:space="0"/>
              <w:bottom w:val="single" w:color="000000" w:sz="4" w:space="0"/>
              <w:right w:val="single" w:color="auto" w:sz="4" w:space="0"/>
            </w:tcBorders>
            <w:vAlign w:val="center"/>
          </w:tcPr>
          <w:p>
            <w:pPr>
              <w:pStyle w:val="46"/>
            </w:pPr>
          </w:p>
        </w:tc>
      </w:tr>
      <w:tr>
        <w:tblPrEx>
          <w:tblCellMar>
            <w:top w:w="0" w:type="dxa"/>
            <w:left w:w="108" w:type="dxa"/>
            <w:bottom w:w="0" w:type="dxa"/>
            <w:right w:w="108" w:type="dxa"/>
          </w:tblCellMar>
        </w:tblPrEx>
        <w:trPr>
          <w:trHeight w:val="432" w:hRule="atLeast"/>
        </w:trPr>
        <w:tc>
          <w:tcPr>
            <w:tcW w:w="811" w:type="pct"/>
            <w:tcBorders>
              <w:top w:val="nil"/>
              <w:left w:val="single" w:color="auto" w:sz="4" w:space="0"/>
              <w:bottom w:val="single" w:color="auto" w:sz="4" w:space="0"/>
              <w:right w:val="single" w:color="auto" w:sz="4" w:space="0"/>
            </w:tcBorders>
            <w:shd w:val="clear" w:color="auto" w:fill="auto"/>
            <w:vAlign w:val="center"/>
          </w:tcPr>
          <w:p>
            <w:pPr>
              <w:pStyle w:val="46"/>
            </w:pPr>
            <w:r>
              <w:rPr>
                <w:rFonts w:hint="eastAsia"/>
              </w:rPr>
              <w:t>企业开办</w:t>
            </w:r>
          </w:p>
        </w:tc>
        <w:tc>
          <w:tcPr>
            <w:tcW w:w="160" w:type="pct"/>
            <w:tcBorders>
              <w:top w:val="nil"/>
              <w:left w:val="nil"/>
              <w:bottom w:val="single" w:color="auto" w:sz="4" w:space="0"/>
              <w:right w:val="single" w:color="auto" w:sz="4" w:space="0"/>
            </w:tcBorders>
            <w:shd w:val="clear" w:color="auto" w:fill="auto"/>
            <w:noWrap/>
            <w:vAlign w:val="center"/>
          </w:tcPr>
          <w:p>
            <w:pPr>
              <w:pStyle w:val="46"/>
            </w:pPr>
            <w:r>
              <w:t>√</w:t>
            </w:r>
          </w:p>
        </w:tc>
        <w:tc>
          <w:tcPr>
            <w:tcW w:w="274" w:type="pct"/>
            <w:tcBorders>
              <w:top w:val="nil"/>
              <w:left w:val="nil"/>
              <w:bottom w:val="single" w:color="auto" w:sz="4" w:space="0"/>
              <w:right w:val="single" w:color="auto" w:sz="4" w:space="0"/>
            </w:tcBorders>
            <w:shd w:val="clear" w:color="auto" w:fill="auto"/>
            <w:noWrap/>
            <w:vAlign w:val="center"/>
          </w:tcPr>
          <w:p>
            <w:pPr>
              <w:pStyle w:val="46"/>
            </w:pPr>
            <w:r>
              <w:t>√</w:t>
            </w:r>
          </w:p>
        </w:tc>
        <w:tc>
          <w:tcPr>
            <w:tcW w:w="177" w:type="pct"/>
            <w:tcBorders>
              <w:top w:val="nil"/>
              <w:left w:val="nil"/>
              <w:bottom w:val="single" w:color="auto" w:sz="4" w:space="0"/>
              <w:right w:val="single" w:color="auto" w:sz="4" w:space="0"/>
            </w:tcBorders>
            <w:shd w:val="clear" w:color="auto" w:fill="auto"/>
            <w:noWrap/>
            <w:vAlign w:val="center"/>
          </w:tcPr>
          <w:p>
            <w:pPr>
              <w:pStyle w:val="46"/>
            </w:pPr>
            <w:r>
              <w:t>√</w:t>
            </w:r>
          </w:p>
        </w:tc>
        <w:tc>
          <w:tcPr>
            <w:tcW w:w="337" w:type="pct"/>
            <w:tcBorders>
              <w:top w:val="nil"/>
              <w:left w:val="nil"/>
              <w:bottom w:val="single" w:color="auto" w:sz="4" w:space="0"/>
              <w:right w:val="single" w:color="auto" w:sz="4" w:space="0"/>
            </w:tcBorders>
            <w:shd w:val="clear" w:color="auto" w:fill="auto"/>
            <w:noWrap/>
            <w:vAlign w:val="center"/>
          </w:tcPr>
          <w:p>
            <w:pPr>
              <w:pStyle w:val="46"/>
            </w:pPr>
            <w:r>
              <w:t>√</w:t>
            </w: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194" w:type="pct"/>
            <w:tcBorders>
              <w:top w:val="nil"/>
              <w:left w:val="nil"/>
              <w:bottom w:val="single" w:color="auto" w:sz="4" w:space="0"/>
              <w:right w:val="single" w:color="auto" w:sz="4" w:space="0"/>
            </w:tcBorders>
            <w:shd w:val="clear" w:color="auto" w:fill="auto"/>
            <w:noWrap/>
            <w:vAlign w:val="center"/>
          </w:tcPr>
          <w:p>
            <w:pPr>
              <w:pStyle w:val="46"/>
            </w:pPr>
          </w:p>
        </w:tc>
        <w:tc>
          <w:tcPr>
            <w:tcW w:w="440" w:type="pct"/>
            <w:tcBorders>
              <w:top w:val="nil"/>
              <w:left w:val="nil"/>
              <w:bottom w:val="single" w:color="auto" w:sz="4" w:space="0"/>
              <w:right w:val="single" w:color="auto" w:sz="4" w:space="0"/>
            </w:tcBorders>
            <w:shd w:val="clear" w:color="auto" w:fill="auto"/>
            <w:noWrap/>
            <w:vAlign w:val="center"/>
          </w:tcPr>
          <w:p>
            <w:pPr>
              <w:pStyle w:val="46"/>
            </w:pPr>
            <w:r>
              <w:t>√</w:t>
            </w:r>
          </w:p>
        </w:tc>
        <w:tc>
          <w:tcPr>
            <w:tcW w:w="2206" w:type="pct"/>
            <w:tcBorders>
              <w:top w:val="nil"/>
              <w:left w:val="nil"/>
              <w:bottom w:val="single" w:color="auto" w:sz="4" w:space="0"/>
              <w:right w:val="single" w:color="auto" w:sz="4" w:space="0"/>
            </w:tcBorders>
            <w:shd w:val="clear" w:color="auto" w:fill="auto"/>
            <w:vAlign w:val="center"/>
          </w:tcPr>
          <w:p>
            <w:pPr>
              <w:pStyle w:val="46"/>
            </w:pPr>
            <w:r>
              <w:rPr>
                <w:rFonts w:hint="eastAsia"/>
              </w:rPr>
              <w:t>《市场监管总局等六部门关于进一步优化企业开办服务的通知》</w:t>
            </w:r>
          </w:p>
          <w:p>
            <w:pPr>
              <w:pStyle w:val="46"/>
            </w:pPr>
            <w:r>
              <w:rPr>
                <w:rFonts w:hint="eastAsia"/>
              </w:rPr>
              <w:t>国市监注〔2020〕129号</w:t>
            </w:r>
          </w:p>
        </w:tc>
      </w:tr>
      <w:tr>
        <w:tblPrEx>
          <w:tblCellMar>
            <w:top w:w="0" w:type="dxa"/>
            <w:left w:w="108" w:type="dxa"/>
            <w:bottom w:w="0" w:type="dxa"/>
            <w:right w:w="108" w:type="dxa"/>
          </w:tblCellMar>
        </w:tblPrEx>
        <w:trPr>
          <w:trHeight w:val="288" w:hRule="atLeast"/>
        </w:trPr>
        <w:tc>
          <w:tcPr>
            <w:tcW w:w="811" w:type="pct"/>
            <w:tcBorders>
              <w:top w:val="nil"/>
              <w:left w:val="single" w:color="auto" w:sz="4" w:space="0"/>
              <w:bottom w:val="single" w:color="auto" w:sz="4" w:space="0"/>
              <w:right w:val="single" w:color="auto" w:sz="4" w:space="0"/>
            </w:tcBorders>
            <w:shd w:val="clear" w:color="auto" w:fill="auto"/>
            <w:vAlign w:val="center"/>
          </w:tcPr>
          <w:p>
            <w:pPr>
              <w:pStyle w:val="46"/>
            </w:pPr>
            <w:r>
              <w:rPr>
                <w:rFonts w:hint="eastAsia"/>
              </w:rPr>
              <w:t>先照后证</w:t>
            </w:r>
          </w:p>
        </w:tc>
        <w:tc>
          <w:tcPr>
            <w:tcW w:w="160" w:type="pct"/>
            <w:tcBorders>
              <w:top w:val="nil"/>
              <w:left w:val="nil"/>
              <w:bottom w:val="single" w:color="auto" w:sz="4" w:space="0"/>
              <w:right w:val="single" w:color="auto" w:sz="4" w:space="0"/>
            </w:tcBorders>
            <w:shd w:val="clear" w:color="auto" w:fill="auto"/>
            <w:noWrap/>
            <w:vAlign w:val="center"/>
          </w:tcPr>
          <w:p>
            <w:pPr>
              <w:pStyle w:val="46"/>
            </w:pPr>
            <w:r>
              <w:t>√</w:t>
            </w:r>
          </w:p>
        </w:tc>
        <w:tc>
          <w:tcPr>
            <w:tcW w:w="274" w:type="pct"/>
            <w:tcBorders>
              <w:top w:val="nil"/>
              <w:left w:val="nil"/>
              <w:bottom w:val="single" w:color="auto" w:sz="4" w:space="0"/>
              <w:right w:val="single" w:color="auto" w:sz="4" w:space="0"/>
            </w:tcBorders>
            <w:shd w:val="clear" w:color="auto" w:fill="auto"/>
            <w:noWrap/>
            <w:vAlign w:val="center"/>
          </w:tcPr>
          <w:p>
            <w:pPr>
              <w:pStyle w:val="46"/>
            </w:pPr>
          </w:p>
        </w:tc>
        <w:tc>
          <w:tcPr>
            <w:tcW w:w="177" w:type="pct"/>
            <w:tcBorders>
              <w:top w:val="nil"/>
              <w:left w:val="nil"/>
              <w:bottom w:val="single" w:color="auto" w:sz="4" w:space="0"/>
              <w:right w:val="single" w:color="auto" w:sz="4" w:space="0"/>
            </w:tcBorders>
            <w:shd w:val="clear" w:color="auto" w:fill="auto"/>
            <w:noWrap/>
            <w:vAlign w:val="center"/>
          </w:tcPr>
          <w:p>
            <w:pPr>
              <w:pStyle w:val="46"/>
            </w:pPr>
            <w:r>
              <w:t>√</w:t>
            </w:r>
          </w:p>
        </w:tc>
        <w:tc>
          <w:tcPr>
            <w:tcW w:w="337"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194" w:type="pct"/>
            <w:tcBorders>
              <w:top w:val="nil"/>
              <w:left w:val="nil"/>
              <w:bottom w:val="single" w:color="auto" w:sz="4" w:space="0"/>
              <w:right w:val="single" w:color="auto" w:sz="4" w:space="0"/>
            </w:tcBorders>
            <w:shd w:val="clear" w:color="auto" w:fill="auto"/>
            <w:noWrap/>
            <w:vAlign w:val="center"/>
          </w:tcPr>
          <w:p>
            <w:pPr>
              <w:pStyle w:val="46"/>
            </w:pPr>
          </w:p>
        </w:tc>
        <w:tc>
          <w:tcPr>
            <w:tcW w:w="440" w:type="pct"/>
            <w:tcBorders>
              <w:top w:val="nil"/>
              <w:left w:val="nil"/>
              <w:bottom w:val="single" w:color="auto" w:sz="4" w:space="0"/>
              <w:right w:val="single" w:color="auto" w:sz="4" w:space="0"/>
            </w:tcBorders>
            <w:shd w:val="clear" w:color="auto" w:fill="auto"/>
            <w:noWrap/>
            <w:vAlign w:val="center"/>
          </w:tcPr>
          <w:p>
            <w:pPr>
              <w:pStyle w:val="46"/>
            </w:pPr>
            <w:r>
              <w:t>√</w:t>
            </w:r>
          </w:p>
        </w:tc>
        <w:tc>
          <w:tcPr>
            <w:tcW w:w="2206" w:type="pct"/>
            <w:tcBorders>
              <w:top w:val="nil"/>
              <w:left w:val="nil"/>
              <w:bottom w:val="single" w:color="auto" w:sz="4" w:space="0"/>
              <w:right w:val="single" w:color="auto" w:sz="4" w:space="0"/>
            </w:tcBorders>
            <w:shd w:val="clear" w:color="auto" w:fill="auto"/>
            <w:vAlign w:val="center"/>
          </w:tcPr>
          <w:p>
            <w:pPr>
              <w:pStyle w:val="46"/>
            </w:pPr>
            <w:r>
              <w:rPr>
                <w:rFonts w:hint="eastAsia"/>
              </w:rPr>
              <w:t>《GS48-2016 国家企业信用信息公示系统2016年信息化数据规范》</w:t>
            </w:r>
          </w:p>
        </w:tc>
      </w:tr>
      <w:tr>
        <w:tblPrEx>
          <w:tblCellMar>
            <w:top w:w="0" w:type="dxa"/>
            <w:left w:w="108" w:type="dxa"/>
            <w:bottom w:w="0" w:type="dxa"/>
            <w:right w:w="108" w:type="dxa"/>
          </w:tblCellMar>
        </w:tblPrEx>
        <w:trPr>
          <w:trHeight w:val="288" w:hRule="atLeast"/>
        </w:trPr>
        <w:tc>
          <w:tcPr>
            <w:tcW w:w="811" w:type="pct"/>
            <w:tcBorders>
              <w:top w:val="nil"/>
              <w:left w:val="single" w:color="auto" w:sz="4" w:space="0"/>
              <w:bottom w:val="single" w:color="auto" w:sz="4" w:space="0"/>
              <w:right w:val="single" w:color="auto" w:sz="4" w:space="0"/>
            </w:tcBorders>
            <w:shd w:val="clear" w:color="auto" w:fill="auto"/>
            <w:vAlign w:val="center"/>
          </w:tcPr>
          <w:p>
            <w:pPr>
              <w:pStyle w:val="46"/>
            </w:pPr>
            <w:r>
              <w:rPr>
                <w:rFonts w:hint="eastAsia"/>
              </w:rPr>
              <w:t>名称登记管理改革</w:t>
            </w:r>
          </w:p>
        </w:tc>
        <w:tc>
          <w:tcPr>
            <w:tcW w:w="160" w:type="pct"/>
            <w:tcBorders>
              <w:top w:val="nil"/>
              <w:left w:val="nil"/>
              <w:bottom w:val="single" w:color="auto" w:sz="4" w:space="0"/>
              <w:right w:val="single" w:color="auto" w:sz="4" w:space="0"/>
            </w:tcBorders>
            <w:shd w:val="clear" w:color="auto" w:fill="auto"/>
            <w:noWrap/>
            <w:vAlign w:val="center"/>
          </w:tcPr>
          <w:p>
            <w:pPr>
              <w:pStyle w:val="46"/>
            </w:pPr>
            <w:r>
              <w:t>√</w:t>
            </w:r>
          </w:p>
        </w:tc>
        <w:tc>
          <w:tcPr>
            <w:tcW w:w="274" w:type="pct"/>
            <w:tcBorders>
              <w:top w:val="nil"/>
              <w:left w:val="nil"/>
              <w:bottom w:val="single" w:color="auto" w:sz="4" w:space="0"/>
              <w:right w:val="single" w:color="auto" w:sz="4" w:space="0"/>
            </w:tcBorders>
            <w:shd w:val="clear" w:color="auto" w:fill="auto"/>
            <w:noWrap/>
            <w:vAlign w:val="center"/>
          </w:tcPr>
          <w:p>
            <w:pPr>
              <w:pStyle w:val="46"/>
            </w:pPr>
          </w:p>
        </w:tc>
        <w:tc>
          <w:tcPr>
            <w:tcW w:w="177" w:type="pct"/>
            <w:tcBorders>
              <w:top w:val="nil"/>
              <w:left w:val="nil"/>
              <w:bottom w:val="single" w:color="auto" w:sz="4" w:space="0"/>
              <w:right w:val="single" w:color="auto" w:sz="4" w:space="0"/>
            </w:tcBorders>
            <w:shd w:val="clear" w:color="auto" w:fill="auto"/>
            <w:noWrap/>
            <w:vAlign w:val="center"/>
          </w:tcPr>
          <w:p>
            <w:pPr>
              <w:pStyle w:val="46"/>
            </w:pPr>
          </w:p>
        </w:tc>
        <w:tc>
          <w:tcPr>
            <w:tcW w:w="337"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194" w:type="pct"/>
            <w:tcBorders>
              <w:top w:val="nil"/>
              <w:left w:val="nil"/>
              <w:bottom w:val="single" w:color="auto" w:sz="4" w:space="0"/>
              <w:right w:val="single" w:color="auto" w:sz="4" w:space="0"/>
            </w:tcBorders>
            <w:shd w:val="clear" w:color="auto" w:fill="auto"/>
            <w:noWrap/>
            <w:vAlign w:val="center"/>
          </w:tcPr>
          <w:p>
            <w:pPr>
              <w:pStyle w:val="46"/>
            </w:pPr>
          </w:p>
        </w:tc>
        <w:tc>
          <w:tcPr>
            <w:tcW w:w="440" w:type="pct"/>
            <w:tcBorders>
              <w:top w:val="nil"/>
              <w:left w:val="nil"/>
              <w:bottom w:val="single" w:color="auto" w:sz="4" w:space="0"/>
              <w:right w:val="single" w:color="auto" w:sz="4" w:space="0"/>
            </w:tcBorders>
            <w:shd w:val="clear" w:color="auto" w:fill="auto"/>
            <w:noWrap/>
            <w:vAlign w:val="center"/>
          </w:tcPr>
          <w:p>
            <w:pPr>
              <w:pStyle w:val="46"/>
            </w:pPr>
          </w:p>
        </w:tc>
        <w:tc>
          <w:tcPr>
            <w:tcW w:w="2206" w:type="pct"/>
            <w:tcBorders>
              <w:top w:val="nil"/>
              <w:left w:val="nil"/>
              <w:bottom w:val="single" w:color="auto" w:sz="4" w:space="0"/>
              <w:right w:val="single" w:color="auto" w:sz="4" w:space="0"/>
            </w:tcBorders>
            <w:shd w:val="clear" w:color="auto" w:fill="auto"/>
            <w:vAlign w:val="center"/>
          </w:tcPr>
          <w:p>
            <w:pPr>
              <w:pStyle w:val="46"/>
            </w:pPr>
            <w:r>
              <w:rPr>
                <w:rFonts w:hint="eastAsia"/>
              </w:rPr>
              <w:t>《市场监管总局关于做好取消企业名称预先核准行政许可事项衔接工作的通知》</w:t>
            </w:r>
          </w:p>
        </w:tc>
      </w:tr>
      <w:tr>
        <w:tblPrEx>
          <w:tblCellMar>
            <w:top w:w="0" w:type="dxa"/>
            <w:left w:w="108" w:type="dxa"/>
            <w:bottom w:w="0" w:type="dxa"/>
            <w:right w:w="108" w:type="dxa"/>
          </w:tblCellMar>
        </w:tblPrEx>
        <w:trPr>
          <w:trHeight w:val="288" w:hRule="atLeast"/>
        </w:trPr>
        <w:tc>
          <w:tcPr>
            <w:tcW w:w="811" w:type="pct"/>
            <w:tcBorders>
              <w:top w:val="nil"/>
              <w:left w:val="single" w:color="auto" w:sz="4" w:space="0"/>
              <w:bottom w:val="single" w:color="auto" w:sz="4" w:space="0"/>
              <w:right w:val="single" w:color="auto" w:sz="4" w:space="0"/>
            </w:tcBorders>
            <w:shd w:val="clear" w:color="auto" w:fill="auto"/>
            <w:vAlign w:val="center"/>
          </w:tcPr>
          <w:p>
            <w:pPr>
              <w:pStyle w:val="46"/>
            </w:pPr>
            <w:r>
              <w:rPr>
                <w:rFonts w:hint="eastAsia"/>
              </w:rPr>
              <w:t>经营范围规范登记</w:t>
            </w:r>
          </w:p>
        </w:tc>
        <w:tc>
          <w:tcPr>
            <w:tcW w:w="160" w:type="pct"/>
            <w:tcBorders>
              <w:top w:val="nil"/>
              <w:left w:val="nil"/>
              <w:bottom w:val="single" w:color="auto" w:sz="4" w:space="0"/>
              <w:right w:val="single" w:color="auto" w:sz="4" w:space="0"/>
            </w:tcBorders>
            <w:shd w:val="clear" w:color="auto" w:fill="auto"/>
            <w:noWrap/>
            <w:vAlign w:val="center"/>
          </w:tcPr>
          <w:p>
            <w:pPr>
              <w:pStyle w:val="46"/>
            </w:pPr>
            <w:r>
              <w:t>√</w:t>
            </w:r>
          </w:p>
        </w:tc>
        <w:tc>
          <w:tcPr>
            <w:tcW w:w="274" w:type="pct"/>
            <w:tcBorders>
              <w:top w:val="nil"/>
              <w:left w:val="nil"/>
              <w:bottom w:val="single" w:color="auto" w:sz="4" w:space="0"/>
              <w:right w:val="single" w:color="auto" w:sz="4" w:space="0"/>
            </w:tcBorders>
            <w:shd w:val="clear" w:color="auto" w:fill="auto"/>
            <w:noWrap/>
            <w:vAlign w:val="center"/>
          </w:tcPr>
          <w:p>
            <w:pPr>
              <w:pStyle w:val="46"/>
            </w:pPr>
          </w:p>
        </w:tc>
        <w:tc>
          <w:tcPr>
            <w:tcW w:w="177" w:type="pct"/>
            <w:tcBorders>
              <w:top w:val="nil"/>
              <w:left w:val="nil"/>
              <w:bottom w:val="single" w:color="auto" w:sz="4" w:space="0"/>
              <w:right w:val="single" w:color="auto" w:sz="4" w:space="0"/>
            </w:tcBorders>
            <w:shd w:val="clear" w:color="auto" w:fill="auto"/>
            <w:noWrap/>
            <w:vAlign w:val="center"/>
          </w:tcPr>
          <w:p>
            <w:pPr>
              <w:pStyle w:val="46"/>
            </w:pPr>
          </w:p>
        </w:tc>
        <w:tc>
          <w:tcPr>
            <w:tcW w:w="337"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r>
              <w:t>√</w:t>
            </w:r>
          </w:p>
        </w:tc>
        <w:tc>
          <w:tcPr>
            <w:tcW w:w="200" w:type="pct"/>
            <w:tcBorders>
              <w:top w:val="nil"/>
              <w:left w:val="nil"/>
              <w:bottom w:val="single" w:color="auto" w:sz="4" w:space="0"/>
              <w:right w:val="single" w:color="auto" w:sz="4" w:space="0"/>
            </w:tcBorders>
            <w:shd w:val="clear" w:color="auto" w:fill="auto"/>
            <w:noWrap/>
            <w:vAlign w:val="center"/>
          </w:tcPr>
          <w:p>
            <w:pPr>
              <w:pStyle w:val="46"/>
            </w:pPr>
            <w:r>
              <w:t>√</w:t>
            </w:r>
          </w:p>
        </w:tc>
        <w:tc>
          <w:tcPr>
            <w:tcW w:w="194" w:type="pct"/>
            <w:tcBorders>
              <w:top w:val="nil"/>
              <w:left w:val="nil"/>
              <w:bottom w:val="single" w:color="auto" w:sz="4" w:space="0"/>
              <w:right w:val="single" w:color="auto" w:sz="4" w:space="0"/>
            </w:tcBorders>
            <w:shd w:val="clear" w:color="auto" w:fill="auto"/>
            <w:noWrap/>
            <w:vAlign w:val="center"/>
          </w:tcPr>
          <w:p>
            <w:pPr>
              <w:pStyle w:val="46"/>
            </w:pPr>
          </w:p>
        </w:tc>
        <w:tc>
          <w:tcPr>
            <w:tcW w:w="440" w:type="pct"/>
            <w:tcBorders>
              <w:top w:val="nil"/>
              <w:left w:val="nil"/>
              <w:bottom w:val="single" w:color="auto" w:sz="4" w:space="0"/>
              <w:right w:val="single" w:color="auto" w:sz="4" w:space="0"/>
            </w:tcBorders>
            <w:shd w:val="clear" w:color="auto" w:fill="auto"/>
            <w:noWrap/>
            <w:vAlign w:val="center"/>
          </w:tcPr>
          <w:p>
            <w:pPr>
              <w:pStyle w:val="46"/>
            </w:pPr>
          </w:p>
        </w:tc>
        <w:tc>
          <w:tcPr>
            <w:tcW w:w="2206" w:type="pct"/>
            <w:tcBorders>
              <w:top w:val="nil"/>
              <w:left w:val="nil"/>
              <w:bottom w:val="single" w:color="auto" w:sz="4" w:space="0"/>
              <w:right w:val="single" w:color="auto" w:sz="4" w:space="0"/>
            </w:tcBorders>
            <w:shd w:val="clear" w:color="auto" w:fill="auto"/>
            <w:vAlign w:val="center"/>
          </w:tcPr>
          <w:p>
            <w:pPr>
              <w:pStyle w:val="46"/>
            </w:pPr>
            <w:r>
              <w:rPr>
                <w:rFonts w:hint="eastAsia"/>
              </w:rPr>
              <w:t>《市场监管总局办公厅关于全面开展经营范围登记规范化工作的通知》</w:t>
            </w:r>
          </w:p>
        </w:tc>
      </w:tr>
      <w:tr>
        <w:tblPrEx>
          <w:tblCellMar>
            <w:top w:w="0" w:type="dxa"/>
            <w:left w:w="108" w:type="dxa"/>
            <w:bottom w:w="0" w:type="dxa"/>
            <w:right w:w="108" w:type="dxa"/>
          </w:tblCellMar>
        </w:tblPrEx>
        <w:trPr>
          <w:trHeight w:val="432" w:hRule="atLeast"/>
        </w:trPr>
        <w:tc>
          <w:tcPr>
            <w:tcW w:w="811" w:type="pct"/>
            <w:tcBorders>
              <w:top w:val="nil"/>
              <w:left w:val="single" w:color="auto" w:sz="4" w:space="0"/>
              <w:bottom w:val="single" w:color="auto" w:sz="4" w:space="0"/>
              <w:right w:val="single" w:color="auto" w:sz="4" w:space="0"/>
            </w:tcBorders>
            <w:shd w:val="clear" w:color="auto" w:fill="auto"/>
            <w:vAlign w:val="center"/>
          </w:tcPr>
          <w:p>
            <w:pPr>
              <w:pStyle w:val="46"/>
            </w:pPr>
            <w:r>
              <w:rPr>
                <w:rFonts w:hint="eastAsia"/>
              </w:rPr>
              <w:t>网络经营场所可作为经营场所进行登记</w:t>
            </w:r>
          </w:p>
        </w:tc>
        <w:tc>
          <w:tcPr>
            <w:tcW w:w="160" w:type="pct"/>
            <w:tcBorders>
              <w:top w:val="nil"/>
              <w:left w:val="nil"/>
              <w:bottom w:val="single" w:color="auto" w:sz="4" w:space="0"/>
              <w:right w:val="single" w:color="auto" w:sz="4" w:space="0"/>
            </w:tcBorders>
            <w:shd w:val="clear" w:color="auto" w:fill="auto"/>
            <w:noWrap/>
            <w:vAlign w:val="center"/>
          </w:tcPr>
          <w:p>
            <w:pPr>
              <w:pStyle w:val="46"/>
            </w:pPr>
            <w:r>
              <w:t>√</w:t>
            </w:r>
          </w:p>
        </w:tc>
        <w:tc>
          <w:tcPr>
            <w:tcW w:w="274" w:type="pct"/>
            <w:tcBorders>
              <w:top w:val="nil"/>
              <w:left w:val="nil"/>
              <w:bottom w:val="single" w:color="auto" w:sz="4" w:space="0"/>
              <w:right w:val="single" w:color="auto" w:sz="4" w:space="0"/>
            </w:tcBorders>
            <w:shd w:val="clear" w:color="auto" w:fill="auto"/>
            <w:noWrap/>
            <w:vAlign w:val="center"/>
          </w:tcPr>
          <w:p>
            <w:pPr>
              <w:pStyle w:val="46"/>
            </w:pPr>
          </w:p>
        </w:tc>
        <w:tc>
          <w:tcPr>
            <w:tcW w:w="177" w:type="pct"/>
            <w:tcBorders>
              <w:top w:val="nil"/>
              <w:left w:val="nil"/>
              <w:bottom w:val="single" w:color="auto" w:sz="4" w:space="0"/>
              <w:right w:val="single" w:color="auto" w:sz="4" w:space="0"/>
            </w:tcBorders>
            <w:shd w:val="clear" w:color="auto" w:fill="auto"/>
            <w:noWrap/>
            <w:vAlign w:val="center"/>
          </w:tcPr>
          <w:p>
            <w:pPr>
              <w:pStyle w:val="46"/>
            </w:pPr>
          </w:p>
        </w:tc>
        <w:tc>
          <w:tcPr>
            <w:tcW w:w="337"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r>
              <w:t>√</w:t>
            </w:r>
          </w:p>
        </w:tc>
        <w:tc>
          <w:tcPr>
            <w:tcW w:w="194" w:type="pct"/>
            <w:tcBorders>
              <w:top w:val="nil"/>
              <w:left w:val="nil"/>
              <w:bottom w:val="single" w:color="auto" w:sz="4" w:space="0"/>
              <w:right w:val="single" w:color="auto" w:sz="4" w:space="0"/>
            </w:tcBorders>
            <w:shd w:val="clear" w:color="auto" w:fill="auto"/>
            <w:noWrap/>
            <w:vAlign w:val="center"/>
          </w:tcPr>
          <w:p>
            <w:pPr>
              <w:pStyle w:val="46"/>
            </w:pPr>
          </w:p>
        </w:tc>
        <w:tc>
          <w:tcPr>
            <w:tcW w:w="440" w:type="pct"/>
            <w:tcBorders>
              <w:top w:val="nil"/>
              <w:left w:val="nil"/>
              <w:bottom w:val="single" w:color="auto" w:sz="4" w:space="0"/>
              <w:right w:val="single" w:color="auto" w:sz="4" w:space="0"/>
            </w:tcBorders>
            <w:shd w:val="clear" w:color="auto" w:fill="auto"/>
            <w:noWrap/>
            <w:vAlign w:val="center"/>
          </w:tcPr>
          <w:p>
            <w:pPr>
              <w:pStyle w:val="46"/>
            </w:pPr>
          </w:p>
        </w:tc>
        <w:tc>
          <w:tcPr>
            <w:tcW w:w="2206" w:type="pct"/>
            <w:tcBorders>
              <w:top w:val="nil"/>
              <w:left w:val="nil"/>
              <w:bottom w:val="single" w:color="auto" w:sz="4" w:space="0"/>
              <w:right w:val="single" w:color="auto" w:sz="4" w:space="0"/>
            </w:tcBorders>
            <w:shd w:val="clear" w:color="auto" w:fill="auto"/>
            <w:vAlign w:val="center"/>
          </w:tcPr>
          <w:p>
            <w:pPr>
              <w:pStyle w:val="46"/>
            </w:pPr>
            <w:r>
              <w:rPr>
                <w:rFonts w:hint="eastAsia"/>
              </w:rPr>
              <w:t>《关于做好电子商务经营者登记工作的意见》</w:t>
            </w:r>
          </w:p>
        </w:tc>
      </w:tr>
      <w:tr>
        <w:tblPrEx>
          <w:tblCellMar>
            <w:top w:w="0" w:type="dxa"/>
            <w:left w:w="108" w:type="dxa"/>
            <w:bottom w:w="0" w:type="dxa"/>
            <w:right w:w="108" w:type="dxa"/>
          </w:tblCellMar>
        </w:tblPrEx>
        <w:trPr>
          <w:trHeight w:val="288" w:hRule="atLeast"/>
        </w:trPr>
        <w:tc>
          <w:tcPr>
            <w:tcW w:w="811" w:type="pct"/>
            <w:tcBorders>
              <w:top w:val="nil"/>
              <w:left w:val="single" w:color="auto" w:sz="4" w:space="0"/>
              <w:bottom w:val="single" w:color="auto" w:sz="4" w:space="0"/>
              <w:right w:val="single" w:color="auto" w:sz="4" w:space="0"/>
            </w:tcBorders>
            <w:shd w:val="clear" w:color="auto" w:fill="auto"/>
            <w:vAlign w:val="center"/>
          </w:tcPr>
          <w:p>
            <w:pPr>
              <w:pStyle w:val="46"/>
            </w:pPr>
            <w:r>
              <w:rPr>
                <w:rFonts w:hint="eastAsia"/>
              </w:rPr>
              <w:t>实名登记</w:t>
            </w:r>
          </w:p>
        </w:tc>
        <w:tc>
          <w:tcPr>
            <w:tcW w:w="160" w:type="pct"/>
            <w:tcBorders>
              <w:top w:val="nil"/>
              <w:left w:val="nil"/>
              <w:bottom w:val="single" w:color="auto" w:sz="4" w:space="0"/>
              <w:right w:val="single" w:color="auto" w:sz="4" w:space="0"/>
            </w:tcBorders>
            <w:shd w:val="clear" w:color="auto" w:fill="auto"/>
            <w:noWrap/>
            <w:vAlign w:val="center"/>
          </w:tcPr>
          <w:p>
            <w:pPr>
              <w:pStyle w:val="46"/>
            </w:pPr>
            <w:r>
              <w:t>√</w:t>
            </w:r>
          </w:p>
        </w:tc>
        <w:tc>
          <w:tcPr>
            <w:tcW w:w="274" w:type="pct"/>
            <w:tcBorders>
              <w:top w:val="nil"/>
              <w:left w:val="nil"/>
              <w:bottom w:val="single" w:color="auto" w:sz="4" w:space="0"/>
              <w:right w:val="single" w:color="auto" w:sz="4" w:space="0"/>
            </w:tcBorders>
            <w:shd w:val="clear" w:color="auto" w:fill="auto"/>
            <w:noWrap/>
            <w:vAlign w:val="center"/>
          </w:tcPr>
          <w:p>
            <w:pPr>
              <w:pStyle w:val="46"/>
            </w:pPr>
          </w:p>
        </w:tc>
        <w:tc>
          <w:tcPr>
            <w:tcW w:w="177" w:type="pct"/>
            <w:tcBorders>
              <w:top w:val="nil"/>
              <w:left w:val="nil"/>
              <w:bottom w:val="single" w:color="auto" w:sz="4" w:space="0"/>
              <w:right w:val="single" w:color="auto" w:sz="4" w:space="0"/>
            </w:tcBorders>
            <w:shd w:val="clear" w:color="auto" w:fill="auto"/>
            <w:noWrap/>
            <w:vAlign w:val="center"/>
          </w:tcPr>
          <w:p>
            <w:pPr>
              <w:pStyle w:val="46"/>
            </w:pPr>
          </w:p>
        </w:tc>
        <w:tc>
          <w:tcPr>
            <w:tcW w:w="337"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194" w:type="pct"/>
            <w:tcBorders>
              <w:top w:val="nil"/>
              <w:left w:val="nil"/>
              <w:bottom w:val="single" w:color="auto" w:sz="4" w:space="0"/>
              <w:right w:val="single" w:color="auto" w:sz="4" w:space="0"/>
            </w:tcBorders>
            <w:shd w:val="clear" w:color="auto" w:fill="auto"/>
            <w:noWrap/>
            <w:vAlign w:val="center"/>
          </w:tcPr>
          <w:p>
            <w:pPr>
              <w:pStyle w:val="46"/>
            </w:pPr>
          </w:p>
        </w:tc>
        <w:tc>
          <w:tcPr>
            <w:tcW w:w="440" w:type="pct"/>
            <w:tcBorders>
              <w:top w:val="nil"/>
              <w:left w:val="nil"/>
              <w:bottom w:val="single" w:color="auto" w:sz="4" w:space="0"/>
              <w:right w:val="single" w:color="auto" w:sz="4" w:space="0"/>
            </w:tcBorders>
            <w:shd w:val="clear" w:color="auto" w:fill="auto"/>
            <w:noWrap/>
            <w:vAlign w:val="center"/>
          </w:tcPr>
          <w:p>
            <w:pPr>
              <w:pStyle w:val="46"/>
            </w:pPr>
          </w:p>
        </w:tc>
        <w:tc>
          <w:tcPr>
            <w:tcW w:w="2206" w:type="pct"/>
            <w:tcBorders>
              <w:top w:val="nil"/>
              <w:left w:val="nil"/>
              <w:bottom w:val="single" w:color="auto" w:sz="4" w:space="0"/>
              <w:right w:val="single" w:color="auto" w:sz="4" w:space="0"/>
            </w:tcBorders>
            <w:shd w:val="clear" w:color="auto" w:fill="auto"/>
            <w:vAlign w:val="center"/>
          </w:tcPr>
          <w:p>
            <w:pPr>
              <w:pStyle w:val="46"/>
            </w:pPr>
            <w:r>
              <w:rPr>
                <w:rFonts w:hint="eastAsia"/>
              </w:rPr>
              <w:t>关于做好企业登记身份信息管理信息化建设工作的通知</w:t>
            </w:r>
          </w:p>
        </w:tc>
      </w:tr>
      <w:tr>
        <w:tblPrEx>
          <w:tblCellMar>
            <w:top w:w="0" w:type="dxa"/>
            <w:left w:w="108" w:type="dxa"/>
            <w:bottom w:w="0" w:type="dxa"/>
            <w:right w:w="108" w:type="dxa"/>
          </w:tblCellMar>
        </w:tblPrEx>
        <w:trPr>
          <w:trHeight w:val="288" w:hRule="atLeast"/>
        </w:trPr>
        <w:tc>
          <w:tcPr>
            <w:tcW w:w="811" w:type="pct"/>
            <w:tcBorders>
              <w:top w:val="nil"/>
              <w:left w:val="single" w:color="auto" w:sz="4" w:space="0"/>
              <w:bottom w:val="single" w:color="auto" w:sz="4" w:space="0"/>
              <w:right w:val="single" w:color="auto" w:sz="4" w:space="0"/>
            </w:tcBorders>
            <w:shd w:val="clear" w:color="auto" w:fill="auto"/>
            <w:vAlign w:val="center"/>
          </w:tcPr>
          <w:p>
            <w:pPr>
              <w:pStyle w:val="46"/>
            </w:pPr>
            <w:r>
              <w:rPr>
                <w:rFonts w:hint="eastAsia"/>
              </w:rPr>
              <w:t>外资登记负面清单</w:t>
            </w:r>
          </w:p>
        </w:tc>
        <w:tc>
          <w:tcPr>
            <w:tcW w:w="160" w:type="pct"/>
            <w:tcBorders>
              <w:top w:val="nil"/>
              <w:left w:val="nil"/>
              <w:bottom w:val="single" w:color="auto" w:sz="4" w:space="0"/>
              <w:right w:val="single" w:color="auto" w:sz="4" w:space="0"/>
            </w:tcBorders>
            <w:shd w:val="clear" w:color="auto" w:fill="auto"/>
            <w:noWrap/>
            <w:vAlign w:val="center"/>
          </w:tcPr>
          <w:p>
            <w:pPr>
              <w:pStyle w:val="46"/>
            </w:pPr>
            <w:r>
              <w:t>√</w:t>
            </w:r>
          </w:p>
        </w:tc>
        <w:tc>
          <w:tcPr>
            <w:tcW w:w="274" w:type="pct"/>
            <w:tcBorders>
              <w:top w:val="nil"/>
              <w:left w:val="nil"/>
              <w:bottom w:val="single" w:color="auto" w:sz="4" w:space="0"/>
              <w:right w:val="single" w:color="auto" w:sz="4" w:space="0"/>
            </w:tcBorders>
            <w:shd w:val="clear" w:color="auto" w:fill="auto"/>
            <w:noWrap/>
            <w:vAlign w:val="center"/>
          </w:tcPr>
          <w:p>
            <w:pPr>
              <w:pStyle w:val="46"/>
            </w:pPr>
            <w:r>
              <w:t>√</w:t>
            </w:r>
          </w:p>
        </w:tc>
        <w:tc>
          <w:tcPr>
            <w:tcW w:w="177" w:type="pct"/>
            <w:tcBorders>
              <w:top w:val="nil"/>
              <w:left w:val="nil"/>
              <w:bottom w:val="single" w:color="auto" w:sz="4" w:space="0"/>
              <w:right w:val="single" w:color="auto" w:sz="4" w:space="0"/>
            </w:tcBorders>
            <w:shd w:val="clear" w:color="auto" w:fill="auto"/>
            <w:noWrap/>
            <w:vAlign w:val="center"/>
          </w:tcPr>
          <w:p>
            <w:pPr>
              <w:pStyle w:val="46"/>
            </w:pPr>
            <w:r>
              <w:t>√</w:t>
            </w:r>
          </w:p>
        </w:tc>
        <w:tc>
          <w:tcPr>
            <w:tcW w:w="337" w:type="pct"/>
            <w:tcBorders>
              <w:top w:val="nil"/>
              <w:left w:val="nil"/>
              <w:bottom w:val="single" w:color="auto" w:sz="4" w:space="0"/>
              <w:right w:val="single" w:color="auto" w:sz="4" w:space="0"/>
            </w:tcBorders>
            <w:shd w:val="clear" w:color="auto" w:fill="auto"/>
            <w:noWrap/>
            <w:vAlign w:val="center"/>
          </w:tcPr>
          <w:p>
            <w:pPr>
              <w:pStyle w:val="46"/>
            </w:pPr>
            <w:r>
              <w:t>√</w:t>
            </w: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194" w:type="pct"/>
            <w:tcBorders>
              <w:top w:val="nil"/>
              <w:left w:val="nil"/>
              <w:bottom w:val="single" w:color="auto" w:sz="4" w:space="0"/>
              <w:right w:val="single" w:color="auto" w:sz="4" w:space="0"/>
            </w:tcBorders>
            <w:shd w:val="clear" w:color="auto" w:fill="auto"/>
            <w:noWrap/>
            <w:vAlign w:val="center"/>
          </w:tcPr>
          <w:p>
            <w:pPr>
              <w:pStyle w:val="46"/>
            </w:pPr>
          </w:p>
        </w:tc>
        <w:tc>
          <w:tcPr>
            <w:tcW w:w="440" w:type="pct"/>
            <w:tcBorders>
              <w:top w:val="nil"/>
              <w:left w:val="nil"/>
              <w:bottom w:val="single" w:color="auto" w:sz="4" w:space="0"/>
              <w:right w:val="single" w:color="auto" w:sz="4" w:space="0"/>
            </w:tcBorders>
            <w:shd w:val="clear" w:color="auto" w:fill="auto"/>
            <w:noWrap/>
            <w:vAlign w:val="center"/>
          </w:tcPr>
          <w:p>
            <w:pPr>
              <w:pStyle w:val="46"/>
            </w:pPr>
            <w:r>
              <w:t>√</w:t>
            </w:r>
          </w:p>
        </w:tc>
        <w:tc>
          <w:tcPr>
            <w:tcW w:w="2206" w:type="pct"/>
            <w:tcBorders>
              <w:top w:val="nil"/>
              <w:left w:val="nil"/>
              <w:bottom w:val="single" w:color="auto" w:sz="4" w:space="0"/>
              <w:right w:val="single" w:color="auto" w:sz="4" w:space="0"/>
            </w:tcBorders>
            <w:shd w:val="clear" w:color="auto" w:fill="auto"/>
            <w:vAlign w:val="center"/>
          </w:tcPr>
          <w:p>
            <w:pPr>
              <w:pStyle w:val="46"/>
            </w:pPr>
            <w:r>
              <w:rPr>
                <w:rFonts w:hint="eastAsia"/>
              </w:rPr>
              <w:t>关于贯彻落实《外商投资法》做好外商投资企业登记注册工作的通知</w:t>
            </w:r>
          </w:p>
        </w:tc>
      </w:tr>
      <w:tr>
        <w:tblPrEx>
          <w:tblCellMar>
            <w:top w:w="0" w:type="dxa"/>
            <w:left w:w="108" w:type="dxa"/>
            <w:bottom w:w="0" w:type="dxa"/>
            <w:right w:w="108" w:type="dxa"/>
          </w:tblCellMar>
        </w:tblPrEx>
        <w:trPr>
          <w:trHeight w:val="432" w:hRule="atLeast"/>
        </w:trPr>
        <w:tc>
          <w:tcPr>
            <w:tcW w:w="811" w:type="pct"/>
            <w:tcBorders>
              <w:top w:val="nil"/>
              <w:left w:val="single" w:color="auto" w:sz="4" w:space="0"/>
              <w:bottom w:val="single" w:color="auto" w:sz="4" w:space="0"/>
              <w:right w:val="single" w:color="auto" w:sz="4" w:space="0"/>
            </w:tcBorders>
            <w:shd w:val="clear" w:color="auto" w:fill="auto"/>
            <w:vAlign w:val="center"/>
          </w:tcPr>
          <w:p>
            <w:pPr>
              <w:pStyle w:val="46"/>
            </w:pPr>
            <w:r>
              <w:rPr>
                <w:rFonts w:hint="eastAsia"/>
              </w:rPr>
              <w:t>市场监管行政许可和政务服务</w:t>
            </w:r>
          </w:p>
        </w:tc>
        <w:tc>
          <w:tcPr>
            <w:tcW w:w="160" w:type="pct"/>
            <w:tcBorders>
              <w:top w:val="nil"/>
              <w:left w:val="nil"/>
              <w:bottom w:val="single" w:color="auto" w:sz="4" w:space="0"/>
              <w:right w:val="single" w:color="auto" w:sz="4" w:space="0"/>
            </w:tcBorders>
            <w:shd w:val="clear" w:color="auto" w:fill="auto"/>
            <w:noWrap/>
            <w:vAlign w:val="center"/>
          </w:tcPr>
          <w:p>
            <w:pPr>
              <w:pStyle w:val="46"/>
            </w:pPr>
            <w:r>
              <w:t>√</w:t>
            </w:r>
          </w:p>
        </w:tc>
        <w:tc>
          <w:tcPr>
            <w:tcW w:w="274" w:type="pct"/>
            <w:tcBorders>
              <w:top w:val="nil"/>
              <w:left w:val="nil"/>
              <w:bottom w:val="single" w:color="auto" w:sz="4" w:space="0"/>
              <w:right w:val="single" w:color="auto" w:sz="4" w:space="0"/>
            </w:tcBorders>
            <w:shd w:val="clear" w:color="auto" w:fill="auto"/>
            <w:noWrap/>
            <w:vAlign w:val="center"/>
          </w:tcPr>
          <w:p>
            <w:pPr>
              <w:pStyle w:val="46"/>
            </w:pPr>
          </w:p>
        </w:tc>
        <w:tc>
          <w:tcPr>
            <w:tcW w:w="177" w:type="pct"/>
            <w:tcBorders>
              <w:top w:val="nil"/>
              <w:left w:val="nil"/>
              <w:bottom w:val="single" w:color="auto" w:sz="4" w:space="0"/>
              <w:right w:val="single" w:color="auto" w:sz="4" w:space="0"/>
            </w:tcBorders>
            <w:shd w:val="clear" w:color="auto" w:fill="auto"/>
            <w:noWrap/>
            <w:vAlign w:val="center"/>
          </w:tcPr>
          <w:p>
            <w:pPr>
              <w:pStyle w:val="46"/>
            </w:pPr>
          </w:p>
        </w:tc>
        <w:tc>
          <w:tcPr>
            <w:tcW w:w="337" w:type="pct"/>
            <w:tcBorders>
              <w:top w:val="nil"/>
              <w:left w:val="nil"/>
              <w:bottom w:val="single" w:color="auto" w:sz="4" w:space="0"/>
              <w:right w:val="single" w:color="auto" w:sz="4" w:space="0"/>
            </w:tcBorders>
            <w:shd w:val="clear" w:color="auto" w:fill="auto"/>
            <w:noWrap/>
            <w:vAlign w:val="center"/>
          </w:tcPr>
          <w:p>
            <w:pPr>
              <w:pStyle w:val="46"/>
            </w:pPr>
            <w:r>
              <w:t>√</w:t>
            </w: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194" w:type="pct"/>
            <w:tcBorders>
              <w:top w:val="nil"/>
              <w:left w:val="nil"/>
              <w:bottom w:val="single" w:color="auto" w:sz="4" w:space="0"/>
              <w:right w:val="single" w:color="auto" w:sz="4" w:space="0"/>
            </w:tcBorders>
            <w:shd w:val="clear" w:color="auto" w:fill="auto"/>
            <w:noWrap/>
            <w:vAlign w:val="center"/>
          </w:tcPr>
          <w:p>
            <w:pPr>
              <w:pStyle w:val="46"/>
            </w:pPr>
          </w:p>
        </w:tc>
        <w:tc>
          <w:tcPr>
            <w:tcW w:w="440" w:type="pct"/>
            <w:tcBorders>
              <w:top w:val="nil"/>
              <w:left w:val="nil"/>
              <w:bottom w:val="single" w:color="auto" w:sz="4" w:space="0"/>
              <w:right w:val="single" w:color="auto" w:sz="4" w:space="0"/>
            </w:tcBorders>
            <w:shd w:val="clear" w:color="auto" w:fill="auto"/>
            <w:noWrap/>
            <w:vAlign w:val="center"/>
          </w:tcPr>
          <w:p>
            <w:pPr>
              <w:pStyle w:val="46"/>
            </w:pPr>
          </w:p>
        </w:tc>
        <w:tc>
          <w:tcPr>
            <w:tcW w:w="2206" w:type="pct"/>
            <w:tcBorders>
              <w:top w:val="nil"/>
              <w:left w:val="nil"/>
              <w:bottom w:val="single" w:color="auto" w:sz="4" w:space="0"/>
              <w:right w:val="single" w:color="auto" w:sz="4" w:space="0"/>
            </w:tcBorders>
            <w:shd w:val="clear" w:color="auto" w:fill="auto"/>
            <w:vAlign w:val="center"/>
          </w:tcPr>
          <w:p>
            <w:pPr>
              <w:pStyle w:val="46"/>
            </w:pPr>
            <w:r>
              <w:rPr>
                <w:rFonts w:hint="eastAsia"/>
              </w:rPr>
              <w:t>市场监管总局办公厅关于推进市场监管部门行政许可服务便民化的通知</w:t>
            </w:r>
          </w:p>
          <w:p>
            <w:pPr>
              <w:pStyle w:val="46"/>
            </w:pPr>
            <w:r>
              <w:rPr>
                <w:rFonts w:hint="eastAsia"/>
              </w:rPr>
              <w:t>市场监管总局办公厅关于做好第一批“跨省通办”事项工作的通知</w:t>
            </w:r>
          </w:p>
        </w:tc>
      </w:tr>
      <w:tr>
        <w:tblPrEx>
          <w:tblCellMar>
            <w:top w:w="0" w:type="dxa"/>
            <w:left w:w="108" w:type="dxa"/>
            <w:bottom w:w="0" w:type="dxa"/>
            <w:right w:w="108" w:type="dxa"/>
          </w:tblCellMar>
        </w:tblPrEx>
        <w:trPr>
          <w:trHeight w:val="864" w:hRule="atLeast"/>
        </w:trPr>
        <w:tc>
          <w:tcPr>
            <w:tcW w:w="811" w:type="pct"/>
            <w:tcBorders>
              <w:top w:val="nil"/>
              <w:left w:val="single" w:color="auto" w:sz="4" w:space="0"/>
              <w:bottom w:val="single" w:color="auto" w:sz="4" w:space="0"/>
              <w:right w:val="single" w:color="auto" w:sz="4" w:space="0"/>
            </w:tcBorders>
            <w:shd w:val="clear" w:color="auto" w:fill="auto"/>
            <w:vAlign w:val="center"/>
          </w:tcPr>
          <w:p>
            <w:pPr>
              <w:pStyle w:val="46"/>
            </w:pPr>
            <w:r>
              <w:rPr>
                <w:rFonts w:hint="eastAsia"/>
              </w:rPr>
              <w:t>信息共享、汇集</w:t>
            </w:r>
          </w:p>
        </w:tc>
        <w:tc>
          <w:tcPr>
            <w:tcW w:w="160" w:type="pct"/>
            <w:tcBorders>
              <w:top w:val="nil"/>
              <w:left w:val="nil"/>
              <w:bottom w:val="single" w:color="auto" w:sz="4" w:space="0"/>
              <w:right w:val="single" w:color="auto" w:sz="4" w:space="0"/>
            </w:tcBorders>
            <w:shd w:val="clear" w:color="auto" w:fill="auto"/>
            <w:noWrap/>
            <w:vAlign w:val="center"/>
          </w:tcPr>
          <w:p>
            <w:pPr>
              <w:pStyle w:val="46"/>
            </w:pPr>
          </w:p>
        </w:tc>
        <w:tc>
          <w:tcPr>
            <w:tcW w:w="274" w:type="pct"/>
            <w:tcBorders>
              <w:top w:val="nil"/>
              <w:left w:val="nil"/>
              <w:bottom w:val="single" w:color="auto" w:sz="4" w:space="0"/>
              <w:right w:val="single" w:color="auto" w:sz="4" w:space="0"/>
            </w:tcBorders>
            <w:shd w:val="clear" w:color="auto" w:fill="auto"/>
            <w:noWrap/>
            <w:vAlign w:val="center"/>
          </w:tcPr>
          <w:p>
            <w:pPr>
              <w:pStyle w:val="46"/>
            </w:pPr>
          </w:p>
        </w:tc>
        <w:tc>
          <w:tcPr>
            <w:tcW w:w="177" w:type="pct"/>
            <w:tcBorders>
              <w:top w:val="nil"/>
              <w:left w:val="nil"/>
              <w:bottom w:val="single" w:color="auto" w:sz="4" w:space="0"/>
              <w:right w:val="single" w:color="auto" w:sz="4" w:space="0"/>
            </w:tcBorders>
            <w:shd w:val="clear" w:color="auto" w:fill="auto"/>
            <w:noWrap/>
            <w:vAlign w:val="center"/>
          </w:tcPr>
          <w:p>
            <w:pPr>
              <w:pStyle w:val="46"/>
            </w:pPr>
            <w:r>
              <w:t>√</w:t>
            </w:r>
          </w:p>
        </w:tc>
        <w:tc>
          <w:tcPr>
            <w:tcW w:w="337"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200" w:type="pct"/>
            <w:tcBorders>
              <w:top w:val="nil"/>
              <w:left w:val="nil"/>
              <w:bottom w:val="single" w:color="auto" w:sz="4" w:space="0"/>
              <w:right w:val="single" w:color="auto" w:sz="4" w:space="0"/>
            </w:tcBorders>
            <w:shd w:val="clear" w:color="auto" w:fill="auto"/>
            <w:noWrap/>
            <w:vAlign w:val="center"/>
          </w:tcPr>
          <w:p>
            <w:pPr>
              <w:pStyle w:val="46"/>
            </w:pPr>
          </w:p>
        </w:tc>
        <w:tc>
          <w:tcPr>
            <w:tcW w:w="194" w:type="pct"/>
            <w:tcBorders>
              <w:top w:val="nil"/>
              <w:left w:val="nil"/>
              <w:bottom w:val="single" w:color="auto" w:sz="4" w:space="0"/>
              <w:right w:val="single" w:color="auto" w:sz="4" w:space="0"/>
            </w:tcBorders>
            <w:shd w:val="clear" w:color="auto" w:fill="auto"/>
            <w:noWrap/>
            <w:vAlign w:val="center"/>
          </w:tcPr>
          <w:p>
            <w:pPr>
              <w:pStyle w:val="46"/>
            </w:pPr>
          </w:p>
        </w:tc>
        <w:tc>
          <w:tcPr>
            <w:tcW w:w="440" w:type="pct"/>
            <w:tcBorders>
              <w:top w:val="nil"/>
              <w:left w:val="nil"/>
              <w:bottom w:val="single" w:color="auto" w:sz="4" w:space="0"/>
              <w:right w:val="single" w:color="auto" w:sz="4" w:space="0"/>
            </w:tcBorders>
            <w:shd w:val="clear" w:color="auto" w:fill="auto"/>
            <w:noWrap/>
            <w:vAlign w:val="center"/>
          </w:tcPr>
          <w:p>
            <w:pPr>
              <w:pStyle w:val="46"/>
            </w:pPr>
            <w:r>
              <w:t>√</w:t>
            </w:r>
          </w:p>
        </w:tc>
        <w:tc>
          <w:tcPr>
            <w:tcW w:w="2206" w:type="pct"/>
            <w:tcBorders>
              <w:top w:val="nil"/>
              <w:left w:val="nil"/>
              <w:bottom w:val="single" w:color="auto" w:sz="4" w:space="0"/>
              <w:right w:val="single" w:color="auto" w:sz="4" w:space="0"/>
            </w:tcBorders>
            <w:shd w:val="clear" w:color="auto" w:fill="auto"/>
            <w:vAlign w:val="center"/>
          </w:tcPr>
          <w:p>
            <w:pPr>
              <w:pStyle w:val="46"/>
            </w:pPr>
            <w:r>
              <w:rPr>
                <w:rFonts w:hint="eastAsia"/>
              </w:rPr>
              <w:t>工商总局 税务总局关于加强信息共享和联合监管的通知</w:t>
            </w:r>
          </w:p>
          <w:p>
            <w:pPr>
              <w:pStyle w:val="46"/>
            </w:pPr>
            <w:r>
              <w:rPr>
                <w:rFonts w:hint="eastAsia"/>
              </w:rPr>
              <w:t>工商总局、商务部、海关总署关于印发《推进“多证合一”改革 加强部门信息共享合作备忘录》的通知</w:t>
            </w:r>
          </w:p>
          <w:p>
            <w:pPr>
              <w:pStyle w:val="46"/>
            </w:pPr>
            <w:r>
              <w:rPr>
                <w:rFonts w:hint="eastAsia"/>
              </w:rPr>
              <w:t>市场监管总局办公厅关于提升信息化水平统一规范市场主体登记注册工作的通知</w:t>
            </w:r>
          </w:p>
        </w:tc>
      </w:tr>
    </w:tbl>
    <w:p/>
    <w:p>
      <w:pPr>
        <w:pStyle w:val="6"/>
      </w:pPr>
      <w:r>
        <w:rPr>
          <w:rFonts w:hint="eastAsia"/>
        </w:rPr>
        <w:t>数据质量检查信息库建设</w:t>
      </w:r>
      <w:bookmarkEnd w:id="170"/>
      <w:bookmarkEnd w:id="171"/>
    </w:p>
    <w:p>
      <w:pPr>
        <w:pStyle w:val="7"/>
      </w:pPr>
      <w:bookmarkStart w:id="172" w:name="_Toc78909683"/>
      <w:r>
        <w:rPr>
          <w:rFonts w:hint="eastAsia"/>
        </w:rPr>
        <w:t>检查清单信息库</w:t>
      </w:r>
      <w:bookmarkEnd w:id="172"/>
    </w:p>
    <w:p>
      <w:r>
        <w:rPr>
          <w:rFonts w:hint="eastAsia"/>
        </w:rPr>
        <w:t>全面梳理数据质量检查事项、立事项清单信息库，包括检查对象、检查类型、检查事项、说明等。</w:t>
      </w:r>
    </w:p>
    <w:p>
      <w:pPr>
        <w:pStyle w:val="7"/>
      </w:pPr>
      <w:bookmarkStart w:id="173" w:name="_Toc78909684"/>
      <w:r>
        <w:rPr>
          <w:rFonts w:hint="eastAsia"/>
        </w:rPr>
        <w:t>检查结果信息库</w:t>
      </w:r>
      <w:bookmarkEnd w:id="173"/>
    </w:p>
    <w:p>
      <w:r>
        <w:rPr>
          <w:rFonts w:hint="eastAsia"/>
        </w:rPr>
        <w:t>检查结果信息库包括检查对象、统一社会信用代码、检查类型，检查结果、检查内容、检查结果等。</w:t>
      </w:r>
    </w:p>
    <w:p>
      <w:pPr>
        <w:pStyle w:val="7"/>
      </w:pPr>
      <w:bookmarkStart w:id="174" w:name="_Toc78909685"/>
      <w:r>
        <w:rPr>
          <w:rFonts w:hint="eastAsia"/>
        </w:rPr>
        <w:t>分析主题信息库</w:t>
      </w:r>
      <w:bookmarkEnd w:id="174"/>
    </w:p>
    <w:p>
      <w:r>
        <w:rPr>
          <w:rFonts w:hint="eastAsia"/>
        </w:rPr>
        <w:t>按照行业、区域等维度，建立数据质量检查分析主题信息库，用于对数据质量的查询、统计等需求。</w:t>
      </w:r>
    </w:p>
    <w:p>
      <w:pPr>
        <w:pStyle w:val="7"/>
      </w:pPr>
      <w:bookmarkStart w:id="175" w:name="_Toc78909686"/>
      <w:r>
        <w:rPr>
          <w:rFonts w:hint="eastAsia"/>
        </w:rPr>
        <w:t>问题数据清单信息库</w:t>
      </w:r>
      <w:bookmarkEnd w:id="175"/>
    </w:p>
    <w:p>
      <w:r>
        <w:rPr>
          <w:rFonts w:hint="eastAsia"/>
        </w:rPr>
        <w:t>问题数据清单信息库包含问题数据、字段、检查类型、检查名称、数据项等信息。</w:t>
      </w:r>
    </w:p>
    <w:p>
      <w:pPr>
        <w:pStyle w:val="7"/>
      </w:pPr>
      <w:bookmarkStart w:id="176" w:name="_Toc78909687"/>
      <w:r>
        <w:rPr>
          <w:rFonts w:hint="eastAsia"/>
        </w:rPr>
        <w:t>知识信息库</w:t>
      </w:r>
      <w:bookmarkEnd w:id="176"/>
    </w:p>
    <w:p>
      <w:r>
        <w:rPr>
          <w:rFonts w:hint="eastAsia"/>
        </w:rPr>
        <w:t>知识库包含规则、指标、处理方案等信息库。</w:t>
      </w:r>
    </w:p>
    <w:p>
      <w:pPr>
        <w:pStyle w:val="6"/>
      </w:pPr>
      <w:bookmarkStart w:id="177" w:name="_Toc69908661"/>
      <w:bookmarkStart w:id="178" w:name="_Toc78909688"/>
      <w:r>
        <w:rPr>
          <w:rFonts w:hint="eastAsia"/>
        </w:rPr>
        <w:t>模型设计</w:t>
      </w:r>
      <w:bookmarkEnd w:id="177"/>
      <w:bookmarkEnd w:id="178"/>
    </w:p>
    <w:p>
      <w:r>
        <w:rPr>
          <w:rFonts w:hint="eastAsia"/>
        </w:rPr>
        <w:t>在</w:t>
      </w:r>
      <w:r>
        <w:t>分析过程中，</w:t>
      </w:r>
      <w:r>
        <w:rPr>
          <w:rFonts w:hint="eastAsia"/>
        </w:rPr>
        <w:t>综合</w:t>
      </w:r>
      <w:r>
        <w:t>运用多种分析方法</w:t>
      </w:r>
      <w:r>
        <w:rPr>
          <w:rFonts w:hint="eastAsia"/>
        </w:rPr>
        <w:t>，</w:t>
      </w:r>
      <w:r>
        <w:t>包括</w:t>
      </w:r>
      <w:r>
        <w:rPr>
          <w:rFonts w:hint="eastAsia"/>
        </w:rPr>
        <w:t>归一、聚类，梳理并建立基于数据质量评分、管理工作的评价模型，为数据质量评分及工作的考核评价提供支撑。</w:t>
      </w:r>
    </w:p>
    <w:p>
      <w:pPr>
        <w:pStyle w:val="7"/>
      </w:pPr>
      <w:bookmarkStart w:id="179" w:name="_Toc78909689"/>
      <w:r>
        <w:rPr>
          <w:rFonts w:hint="eastAsia"/>
        </w:rPr>
        <w:t>数据质量评价模型设计</w:t>
      </w:r>
      <w:bookmarkEnd w:id="179"/>
    </w:p>
    <w:p>
      <w:r>
        <w:rPr>
          <w:rFonts w:hint="eastAsia"/>
        </w:rPr>
        <w:t>数据质量评价是基于数据质量检查基础上对数据检查结果进行评价，从完整性、准确性、规范性、及时性、真实性五个维度对市场主体数据进行质量评价。</w:t>
      </w:r>
    </w:p>
    <w:p>
      <w:pPr>
        <w:pStyle w:val="8"/>
      </w:pPr>
      <w:bookmarkStart w:id="180" w:name="_Toc78909690"/>
      <w:r>
        <w:rPr>
          <w:rFonts w:hint="eastAsia"/>
        </w:rPr>
        <w:t>设计原则</w:t>
      </w:r>
      <w:bookmarkEnd w:id="180"/>
    </w:p>
    <w:p>
      <w:r>
        <w:rPr>
          <w:rFonts w:hint="eastAsia"/>
        </w:rPr>
        <w:t>市场主体数据质量评价指标设计坚持综合性、开放性、简明性、正交性等原则：</w:t>
      </w:r>
    </w:p>
    <w:p>
      <w:r>
        <w:rPr>
          <w:rFonts w:hint="eastAsia"/>
        </w:rPr>
        <w:t>a)</w:t>
      </w:r>
      <w:r>
        <w:rPr>
          <w:rFonts w:hint="eastAsia"/>
        </w:rPr>
        <w:tab/>
      </w:r>
      <w:r>
        <w:rPr>
          <w:rFonts w:hint="eastAsia"/>
        </w:rPr>
        <w:t>综合性。针对评价对象特点与评价要求，定性与定量指标相结合，保证指标体系的全面、系统与完整。</w:t>
      </w:r>
    </w:p>
    <w:p>
      <w:r>
        <w:rPr>
          <w:rFonts w:hint="eastAsia"/>
        </w:rPr>
        <w:t>b)</w:t>
      </w:r>
      <w:r>
        <w:rPr>
          <w:rFonts w:hint="eastAsia"/>
        </w:rPr>
        <w:tab/>
      </w:r>
      <w:r>
        <w:rPr>
          <w:rFonts w:hint="eastAsia"/>
        </w:rPr>
        <w:t>开放性。经利益相关方认可，评价指标及权重可根据实际进行调整、增删，评价过程与子过程可迭代实施。</w:t>
      </w:r>
    </w:p>
    <w:p>
      <w:r>
        <w:rPr>
          <w:rFonts w:hint="eastAsia"/>
        </w:rPr>
        <w:t>c)</w:t>
      </w:r>
      <w:r>
        <w:rPr>
          <w:rFonts w:hint="eastAsia"/>
        </w:rPr>
        <w:tab/>
      </w:r>
      <w:r>
        <w:rPr>
          <w:rFonts w:hint="eastAsia"/>
        </w:rPr>
        <w:t>简明性。应重点突出、适度简单，确保评价指标的选择充分必要。</w:t>
      </w:r>
    </w:p>
    <w:p>
      <w:r>
        <w:rPr>
          <w:rFonts w:hint="eastAsia"/>
        </w:rPr>
        <w:t>d)</w:t>
      </w:r>
      <w:r>
        <w:rPr>
          <w:rFonts w:hint="eastAsia"/>
        </w:rPr>
        <w:tab/>
      </w:r>
      <w:r>
        <w:rPr>
          <w:rFonts w:hint="eastAsia"/>
        </w:rPr>
        <w:t>正交性。指标设计及其相应的数据采集应避免混淆歧义、交叉重叠。</w:t>
      </w:r>
    </w:p>
    <w:p>
      <w:pPr>
        <w:pStyle w:val="8"/>
      </w:pPr>
      <w:bookmarkStart w:id="181" w:name="_Toc78909691"/>
      <w:r>
        <w:rPr>
          <w:rFonts w:hint="eastAsia"/>
        </w:rPr>
        <w:t>指标框架</w:t>
      </w:r>
      <w:bookmarkEnd w:id="181"/>
    </w:p>
    <w:p>
      <w:r>
        <w:rPr>
          <w:rFonts w:hint="eastAsia"/>
        </w:rPr>
        <w:t>市场主体数据质量评价指标从固有质量特性、使用质量特性和用户自定义特性三个维度研究确定。固有质量特性侧重数据本身的质量特性，使用质量特性侧重实际使用中的数据质量特性，用户自定义特性侧重于用户个性化需求的质量特性。市场主体数据质量评价指标分级设立，可根据质量评价对象进行裁剪、扩展，评价指标可以横向或者纵向扩展。</w:t>
      </w:r>
    </w:p>
    <w:p>
      <w:r>
        <w:rPr>
          <w:rFonts w:hint="eastAsia"/>
        </w:rPr>
        <w:t>市场主体数据质量评价指标框架见下图：</w:t>
      </w:r>
    </w:p>
    <w:p>
      <w:r>
        <w:drawing>
          <wp:inline distT="0" distB="0" distL="0" distR="0">
            <wp:extent cx="5270500" cy="2035810"/>
            <wp:effectExtent l="0" t="0" r="635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2035810"/>
                    </a:xfrm>
                    <a:prstGeom prst="rect">
                      <a:avLst/>
                    </a:prstGeom>
                    <a:noFill/>
                    <a:ln>
                      <a:noFill/>
                    </a:ln>
                  </pic:spPr>
                </pic:pic>
              </a:graphicData>
            </a:graphic>
          </wp:inline>
        </w:drawing>
      </w:r>
    </w:p>
    <w:p>
      <w:pPr>
        <w:pStyle w:val="8"/>
      </w:pPr>
      <w:bookmarkStart w:id="182" w:name="_Toc78909692"/>
      <w:r>
        <w:rPr>
          <w:rFonts w:hint="eastAsia"/>
        </w:rPr>
        <w:t>指标维度</w:t>
      </w:r>
      <w:bookmarkEnd w:id="182"/>
    </w:p>
    <w:p>
      <w:bookmarkStart w:id="183" w:name="_Toc9300"/>
      <w:r>
        <w:rPr>
          <w:rFonts w:hint="eastAsia"/>
        </w:rPr>
        <w:t>数据评价质量包含完整性、准确性、规范性、及时性、真实性等指标维度。</w:t>
      </w:r>
    </w:p>
    <w:p>
      <w:pPr>
        <w:pStyle w:val="9"/>
      </w:pPr>
      <w:r>
        <w:rPr>
          <w:rFonts w:hint="eastAsia"/>
        </w:rPr>
        <w:t>完整性</w:t>
      </w:r>
      <w:bookmarkEnd w:id="183"/>
    </w:p>
    <w:p>
      <w:r>
        <w:rPr>
          <w:rFonts w:hint="eastAsia"/>
        </w:rPr>
        <w:t>完整性指数据属性、数值或数据集的完整度。依据国家及市场监管部门制定的标准，按照各类应用系统的有关要求进行数据采集和数据录入，保证数据齐全，内容无缺项。市场主体数据质量完整性包括数据完整性和表关联完整性两方面。</w:t>
      </w:r>
    </w:p>
    <w:p>
      <w:r>
        <w:rPr>
          <w:rFonts w:hint="eastAsia"/>
        </w:rPr>
        <w:t>a) 数据完整性指根据标准或业务规定数据项不应为空时，数据项存在和缺失的程度。完整性的衡量结果以完整率表示。</w:t>
      </w:r>
    </w:p>
    <w:p>
      <w:r>
        <w:rPr>
          <w:rFonts w:hint="eastAsia"/>
        </w:rPr>
        <w:t>计算公式为：Q11=A11/B</w:t>
      </w:r>
    </w:p>
    <w:p>
      <w:r>
        <w:rPr>
          <w:rFonts w:hint="eastAsia"/>
        </w:rPr>
        <w:t>其中A11表示被评价数据项中符合完整性规则的数据量；</w:t>
      </w:r>
    </w:p>
    <w:p>
      <w:r>
        <w:rPr>
          <w:rFonts w:hint="eastAsia"/>
        </w:rPr>
        <w:t>B表示被评价数据项的数据总量；</w:t>
      </w:r>
    </w:p>
    <w:p>
      <w:r>
        <w:rPr>
          <w:rFonts w:hint="eastAsia"/>
        </w:rPr>
        <w:t>Q11为完整率，即数据完整性的测量结果，以百分比形式记录。</w:t>
      </w:r>
    </w:p>
    <w:p>
      <w:r>
        <w:rPr>
          <w:rFonts w:hint="eastAsia"/>
        </w:rPr>
        <w:t>b) 表关联完整性指多表之间相关联时，表中的记录存在和缺失的程度。例如，内资企业有企业基本信息（主表），但是找不到法定代表人信息（子表）。</w:t>
      </w:r>
    </w:p>
    <w:p>
      <w:r>
        <w:rPr>
          <w:rFonts w:hint="eastAsia"/>
        </w:rPr>
        <w:t>完整性的衡量结果以完整率表示。</w:t>
      </w:r>
    </w:p>
    <w:p>
      <w:r>
        <w:rPr>
          <w:rFonts w:hint="eastAsia"/>
        </w:rPr>
        <w:t>计算公式为：Q12=A12/B</w:t>
      </w:r>
    </w:p>
    <w:p>
      <w:r>
        <w:rPr>
          <w:rFonts w:hint="eastAsia"/>
        </w:rPr>
        <w:t>其中A12表示被评价表中符合主表关联完整性规则的记录量；</w:t>
      </w:r>
    </w:p>
    <w:p>
      <w:r>
        <w:rPr>
          <w:rFonts w:hint="eastAsia"/>
        </w:rPr>
        <w:t>B表示被评价主表的记录总量；</w:t>
      </w:r>
    </w:p>
    <w:p>
      <w:r>
        <w:rPr>
          <w:rFonts w:hint="eastAsia"/>
        </w:rPr>
        <w:t>Q12为完整率，即记录完整性的测量结果，以百分比形式记录。</w:t>
      </w:r>
    </w:p>
    <w:p>
      <w:pPr>
        <w:pStyle w:val="9"/>
      </w:pPr>
      <w:bookmarkStart w:id="184" w:name="_Toc15490"/>
      <w:r>
        <w:rPr>
          <w:rFonts w:hint="eastAsia"/>
        </w:rPr>
        <w:t>准确性</w:t>
      </w:r>
      <w:bookmarkEnd w:id="184"/>
    </w:p>
    <w:p>
      <w:r>
        <w:rPr>
          <w:rFonts w:hint="eastAsia"/>
        </w:rPr>
        <w:t>准确性指数据项正确表示指标真实值的程度。市场主体数据应严格依据登记监管原始资料所记载的内容准确录入相关数据，确保数据项对应准确、代码对应准确、数据结构转换准确，如实反映市场主体登记或监管的实际情况。重点关注由人为录入、计算机单位换算和系统默认值等原因引起的日期、金额、联系方式、证件号码、地址等关键字段的准确性问题。</w:t>
      </w:r>
    </w:p>
    <w:p>
      <w:r>
        <w:rPr>
          <w:rFonts w:hint="eastAsia"/>
        </w:rPr>
        <w:t>准确性的衡量结果以准确率表示。</w:t>
      </w:r>
    </w:p>
    <w:p>
      <w:r>
        <w:rPr>
          <w:rFonts w:hint="eastAsia"/>
        </w:rPr>
        <w:t>计算公式为：Q2=A2/B</w:t>
      </w:r>
    </w:p>
    <w:p>
      <w:r>
        <w:rPr>
          <w:rFonts w:hint="eastAsia"/>
        </w:rPr>
        <w:t>其中A2表示被评价数据项中符合准确性规则的数据量；</w:t>
      </w:r>
    </w:p>
    <w:p>
      <w:r>
        <w:rPr>
          <w:rFonts w:hint="eastAsia"/>
        </w:rPr>
        <w:t>B表示被评价数据项的数据总量；</w:t>
      </w:r>
    </w:p>
    <w:p>
      <w:r>
        <w:rPr>
          <w:rFonts w:hint="eastAsia"/>
        </w:rPr>
        <w:t>Q2为准确率，即数据准确性的测量结果，以百分比形式记录。</w:t>
      </w:r>
    </w:p>
    <w:p>
      <w:pPr>
        <w:pStyle w:val="9"/>
      </w:pPr>
      <w:bookmarkStart w:id="185" w:name="_Toc23095"/>
      <w:r>
        <w:rPr>
          <w:rFonts w:hint="eastAsia"/>
        </w:rPr>
        <w:t>规范性</w:t>
      </w:r>
      <w:bookmarkEnd w:id="185"/>
    </w:p>
    <w:p>
      <w:r>
        <w:rPr>
          <w:rFonts w:hint="eastAsia"/>
        </w:rPr>
        <w:t>规范性指标数据项符合现行标准、惯例或法规的程度，或满足其语法定义（格式、类型、范围等属性）的程度。市场主体数据的规范性评价，包括：</w:t>
      </w:r>
    </w:p>
    <w:p>
      <w:r>
        <w:rPr>
          <w:rFonts w:hint="eastAsia"/>
        </w:rPr>
        <w:t>（1）代码使用规范评价，即符合代码的编码规则，且编码与最新的国标、地方标准相符合；</w:t>
      </w:r>
    </w:p>
    <w:p>
      <w:r>
        <w:rPr>
          <w:rFonts w:hint="eastAsia"/>
        </w:rPr>
        <w:t>（2）编码数据的冗余性评价；</w:t>
      </w:r>
    </w:p>
    <w:p>
      <w:r>
        <w:rPr>
          <w:rFonts w:hint="eastAsia"/>
        </w:rPr>
        <w:t>（3）关键字段符合业务要求，如名称、字号根据国家部委及市场监管部门制定的相关标准执行。</w:t>
      </w:r>
    </w:p>
    <w:p>
      <w:r>
        <w:rPr>
          <w:rFonts w:hint="eastAsia"/>
        </w:rPr>
        <w:t>规范性的衡量结果以规范率表示。</w:t>
      </w:r>
    </w:p>
    <w:p>
      <w:r>
        <w:rPr>
          <w:rFonts w:hint="eastAsia"/>
        </w:rPr>
        <w:t>计算公式为：Q3=A3/B</w:t>
      </w:r>
    </w:p>
    <w:p>
      <w:r>
        <w:rPr>
          <w:rFonts w:hint="eastAsia"/>
        </w:rPr>
        <w:t>其中A3表示被评价数据项中符合规范性规则的数据量；</w:t>
      </w:r>
    </w:p>
    <w:p>
      <w:r>
        <w:rPr>
          <w:rFonts w:hint="eastAsia"/>
        </w:rPr>
        <w:t>B表示被评价数据项的数据总量；</w:t>
      </w:r>
    </w:p>
    <w:p>
      <w:r>
        <w:rPr>
          <w:rFonts w:hint="eastAsia"/>
        </w:rPr>
        <w:t>Q3为规范率，即数据规范性的测量结果，以百分比形式记录。</w:t>
      </w:r>
    </w:p>
    <w:p>
      <w:pPr>
        <w:pStyle w:val="9"/>
      </w:pPr>
      <w:bookmarkStart w:id="186" w:name="_Toc17356"/>
      <w:r>
        <w:rPr>
          <w:rFonts w:hint="eastAsia"/>
        </w:rPr>
        <w:t>及时性</w:t>
      </w:r>
      <w:bookmarkEnd w:id="186"/>
    </w:p>
    <w:p>
      <w:r>
        <w:rPr>
          <w:rFonts w:hint="eastAsia"/>
        </w:rPr>
        <w:t>及时性体现为从各级市场监管部门到省局、省局到总局的数据汇总、上传以及内部机构、相关政府部门是否及时和满足用户需求的程度。及时性要求按规定的时间周期内准确无误的传输数据，保证采集库的数据与业务数据库的数据在一定时间内同步，确保最新市场主体的客观信息进入数据库。</w:t>
      </w:r>
    </w:p>
    <w:p>
      <w:r>
        <w:rPr>
          <w:rFonts w:hint="eastAsia"/>
        </w:rPr>
        <w:t>通过比较数据的期望时间点（标准时间戳）与数据的实际可用时间点（实际时间戳）之间的偏差分析数据及时性。</w:t>
      </w:r>
    </w:p>
    <w:p>
      <w:r>
        <w:rPr>
          <w:rFonts w:hint="eastAsia"/>
        </w:rPr>
        <w:t>计算公式：Q4= A4/C</w:t>
      </w:r>
    </w:p>
    <w:p>
      <w:r>
        <w:rPr>
          <w:rFonts w:hint="eastAsia"/>
        </w:rPr>
        <w:t>其中，A4为指定字段或表的数据满足及时性评价的次数；</w:t>
      </w:r>
    </w:p>
    <w:p>
      <w:r>
        <w:rPr>
          <w:rFonts w:hint="eastAsia"/>
        </w:rPr>
        <w:t>C为一段时间内及时性评价的总次数；</w:t>
      </w:r>
    </w:p>
    <w:p>
      <w:r>
        <w:rPr>
          <w:rFonts w:hint="eastAsia"/>
        </w:rPr>
        <w:t>Q4为数据及时性的测量结果，以百分比形式记录。</w:t>
      </w:r>
    </w:p>
    <w:p>
      <w:pPr>
        <w:pStyle w:val="9"/>
      </w:pPr>
      <w:bookmarkStart w:id="187" w:name="_Toc7839"/>
      <w:r>
        <w:rPr>
          <w:rFonts w:hint="eastAsia"/>
        </w:rPr>
        <w:t>真实性</w:t>
      </w:r>
      <w:bookmarkEnd w:id="187"/>
    </w:p>
    <w:p>
      <w:r>
        <w:rPr>
          <w:rFonts w:hint="eastAsia"/>
        </w:rPr>
        <w:t>真实性指市场主体在信息系统中的所记录的数据与其实体的现实情况相符合的程度，即数据必须真实准确的反映客观的实体存在或真实的业务。各地市场监管部门定期通过电话调查、实地走访、开展日常工作等方式，保证市场主体登记信息真实有效，符合市场主体经营现状，同时对市场主体的真实数量监测分析。</w:t>
      </w:r>
    </w:p>
    <w:p>
      <w:r>
        <w:rPr>
          <w:rFonts w:hint="eastAsia"/>
        </w:rPr>
        <w:t>由业务人员根据实际调查结果得出结论，给予“真实”、“与实际相符”或“不真实”、“与实际不符”的判断结果，并对结果进行统计。</w:t>
      </w:r>
    </w:p>
    <w:p>
      <w:r>
        <w:rPr>
          <w:rFonts w:hint="eastAsia"/>
        </w:rPr>
        <w:t>计算公式为：Q5= A5/C</w:t>
      </w:r>
    </w:p>
    <w:p>
      <w:r>
        <w:rPr>
          <w:rFonts w:hint="eastAsia"/>
        </w:rPr>
        <w:t>其中，C为真实性评价的总数或抽样总数；</w:t>
      </w:r>
    </w:p>
    <w:p>
      <w:r>
        <w:rPr>
          <w:rFonts w:hint="eastAsia"/>
        </w:rPr>
        <w:t>A5为被认定为“真实”或“与实际相符”的数据项数或记录条数；</w:t>
      </w:r>
    </w:p>
    <w:p>
      <w:r>
        <w:rPr>
          <w:rFonts w:hint="eastAsia"/>
        </w:rPr>
        <w:t>Q5为数据真实性的测量结果，以百分比形式记录。</w:t>
      </w:r>
    </w:p>
    <w:p>
      <w:pPr>
        <w:pStyle w:val="7"/>
      </w:pPr>
      <w:bookmarkStart w:id="188" w:name="_Toc78909693"/>
      <w:r>
        <w:rPr>
          <w:rFonts w:hint="eastAsia"/>
        </w:rPr>
        <w:t>数据质量工作考核模型设计</w:t>
      </w:r>
      <w:bookmarkEnd w:id="188"/>
    </w:p>
    <w:p>
      <w:r>
        <w:rPr>
          <w:rFonts w:hint="eastAsia"/>
        </w:rPr>
        <w:t>围绕着数据质量工作内容，建立数据质量工作考核指标体系，对各级单位进行评价。</w:t>
      </w:r>
    </w:p>
    <w:p>
      <w:pPr>
        <w:pStyle w:val="5"/>
      </w:pPr>
      <w:bookmarkStart w:id="189" w:name="_Toc69908662"/>
      <w:bookmarkStart w:id="190" w:name="_Toc78909694"/>
      <w:r>
        <w:rPr>
          <w:rFonts w:hint="eastAsia"/>
        </w:rPr>
        <w:t>支撑平台建设</w:t>
      </w:r>
      <w:bookmarkEnd w:id="189"/>
      <w:bookmarkEnd w:id="190"/>
    </w:p>
    <w:p>
      <w:pPr>
        <w:pStyle w:val="6"/>
      </w:pPr>
      <w:bookmarkStart w:id="191" w:name="_Toc78909700"/>
      <w:bookmarkStart w:id="192" w:name="_Toc69908665"/>
      <w:r>
        <w:rPr>
          <w:rFonts w:hint="eastAsia"/>
        </w:rPr>
        <w:t>数据质量检查组件</w:t>
      </w:r>
      <w:bookmarkEnd w:id="191"/>
      <w:bookmarkEnd w:id="192"/>
    </w:p>
    <w:p>
      <w:r>
        <w:rPr>
          <w:rFonts w:hint="eastAsia"/>
        </w:rPr>
        <w:t>数据质量检查组件是数据质量运行的基础，基于数据质量检查任务，利用各类组件组合实现对检查对象的检查，组件包括：</w:t>
      </w:r>
    </w:p>
    <w:p>
      <w:pPr>
        <w:pStyle w:val="7"/>
        <w:bidi w:val="0"/>
      </w:pPr>
      <w:bookmarkStart w:id="193" w:name="_Toc78909701"/>
      <w:r>
        <w:rPr>
          <w:rFonts w:hint="eastAsia"/>
        </w:rPr>
        <w:t>空值检查组件</w:t>
      </w:r>
      <w:bookmarkEnd w:id="193"/>
    </w:p>
    <w:p>
      <w:r>
        <w:rPr>
          <w:rFonts w:hint="eastAsia"/>
        </w:rPr>
        <w:t>空值检查组件用于处理数据字段为空的检查，包括组件编码、检查字段、说明、字段等级、解析器类型、条件等属性。</w:t>
      </w:r>
    </w:p>
    <w:p>
      <w:pPr>
        <w:pStyle w:val="7"/>
      </w:pPr>
      <w:bookmarkStart w:id="194" w:name="_Toc78909702"/>
      <w:r>
        <w:rPr>
          <w:rFonts w:hint="eastAsia"/>
        </w:rPr>
        <w:t>重复数据检查组件</w:t>
      </w:r>
      <w:bookmarkEnd w:id="194"/>
    </w:p>
    <w:p>
      <w:r>
        <w:rPr>
          <w:rFonts w:hint="eastAsia"/>
        </w:rPr>
        <w:t>重复数据检查组件用于数据记录中重复数据的检查，包括组件编码、检查字段、说明、字段等级、解析器类型、条件等属性。</w:t>
      </w:r>
    </w:p>
    <w:p>
      <w:pPr>
        <w:pStyle w:val="7"/>
      </w:pPr>
      <w:bookmarkStart w:id="195" w:name="_Toc78909703"/>
      <w:r>
        <w:rPr>
          <w:rFonts w:hint="eastAsia"/>
        </w:rPr>
        <w:t>及时性检查组件</w:t>
      </w:r>
      <w:bookmarkEnd w:id="195"/>
    </w:p>
    <w:p>
      <w:r>
        <w:rPr>
          <w:rFonts w:hint="eastAsia"/>
        </w:rPr>
        <w:t>及时性检查组件用于数据是否能在指定时间准确无误的传输完成，包括组件编码、设置时间、说明、字段等级、解析器类型、条件等相关属性信息。</w:t>
      </w:r>
    </w:p>
    <w:p>
      <w:pPr>
        <w:pStyle w:val="7"/>
      </w:pPr>
      <w:bookmarkStart w:id="196" w:name="_Toc78909704"/>
      <w:r>
        <w:rPr>
          <w:rFonts w:hint="eastAsia"/>
        </w:rPr>
        <w:t>规范性检查组件</w:t>
      </w:r>
      <w:bookmarkEnd w:id="196"/>
    </w:p>
    <w:p>
      <w:r>
        <w:rPr>
          <w:rFonts w:hint="eastAsia"/>
        </w:rPr>
        <w:t>规范性检查指数据项符合现行标准、惯例或法规的程度，或满足其语法定义（格式、类型、范围等属性）的程度，用于数据记录中数据是否符合规范要求的检查，包括组件编码、字段、说明、字段等级、解析器类型、条件等相关属性信息。</w:t>
      </w:r>
    </w:p>
    <w:p>
      <w:pPr>
        <w:pStyle w:val="7"/>
      </w:pPr>
      <w:bookmarkStart w:id="197" w:name="_Toc78909706"/>
      <w:r>
        <w:rPr>
          <w:rFonts w:hint="eastAsia"/>
        </w:rPr>
        <w:t>完整性检查组件</w:t>
      </w:r>
      <w:bookmarkEnd w:id="197"/>
    </w:p>
    <w:p>
      <w:r>
        <w:rPr>
          <w:rFonts w:hint="eastAsia"/>
        </w:rPr>
        <w:t>完整性指数据属性、数值或数据集的完整度，完整性组件包括数据完整性、表关联完整性，用于设置针对数据事项完整性的数据、表关联完整性相关参数的设定，实现对检查目标数据的完整性的运行检查，包括完整性组件编码、检查字段、检查对象（表）、说明、字段等级、解析器类型、条件等相关属性信息。</w:t>
      </w:r>
    </w:p>
    <w:p>
      <w:pPr>
        <w:pStyle w:val="7"/>
      </w:pPr>
      <w:bookmarkStart w:id="198" w:name="_Toc78909707"/>
      <w:r>
        <w:rPr>
          <w:rFonts w:hint="eastAsia"/>
        </w:rPr>
        <w:t>域值检查组件</w:t>
      </w:r>
      <w:bookmarkEnd w:id="198"/>
    </w:p>
    <w:p>
      <w:r>
        <w:rPr>
          <w:rFonts w:hint="eastAsia"/>
        </w:rPr>
        <w:t>域值检查组件主要用于数据记录中数据范围的检查，包括组件名称、组件编码、字段、域值范围、描述、字段等级、解析器类型、条件等信息。</w:t>
      </w:r>
    </w:p>
    <w:p>
      <w:pPr>
        <w:pStyle w:val="7"/>
      </w:pPr>
      <w:bookmarkStart w:id="199" w:name="_Toc78909708"/>
      <w:r>
        <w:rPr>
          <w:rFonts w:hint="eastAsia"/>
        </w:rPr>
        <w:t>准确性检查组件</w:t>
      </w:r>
      <w:bookmarkEnd w:id="199"/>
    </w:p>
    <w:p>
      <w:r>
        <w:rPr>
          <w:rFonts w:hint="eastAsia"/>
        </w:rPr>
        <w:t>准确性检查组件用于数据中记录的信息和数据是否准确，是否存在异常或者错误的信息，包括组件编码、组件名称、字段、字段等级、解析器类型、条件等相关属性信息。</w:t>
      </w:r>
    </w:p>
    <w:p>
      <w:pPr>
        <w:pStyle w:val="5"/>
      </w:pPr>
      <w:bookmarkStart w:id="200" w:name="_Toc78909712"/>
      <w:bookmarkStart w:id="201" w:name="_Toc69908667"/>
      <w:r>
        <w:rPr>
          <w:rFonts w:hint="eastAsia"/>
        </w:rPr>
        <w:t>应用系统建设</w:t>
      </w:r>
      <w:bookmarkEnd w:id="200"/>
      <w:bookmarkEnd w:id="201"/>
    </w:p>
    <w:p>
      <w:pPr>
        <w:pStyle w:val="6"/>
      </w:pPr>
      <w:bookmarkStart w:id="202" w:name="_Toc78909713"/>
      <w:bookmarkStart w:id="203" w:name="_Toc69908668"/>
      <w:r>
        <w:rPr>
          <w:rFonts w:hint="eastAsia"/>
        </w:rPr>
        <w:t>数据质量服务门户</w:t>
      </w:r>
      <w:bookmarkEnd w:id="202"/>
      <w:bookmarkEnd w:id="203"/>
    </w:p>
    <w:p>
      <w:r>
        <w:rPr>
          <w:rFonts w:hint="eastAsia"/>
        </w:rPr>
        <w:t>数据质量服务门户用于集成系统功能和用户统一进入的入口，需要对数据质量检查、数据质量评价、数据质量监测、数据质量反馈、数据质量考核等系统各项功能提供访问，提供便捷的应用服务集成提供单点登录服务。通过信息的组织、标识、导航等体系的构建，将信息组织好，并用清晰的结构、良好的界面来集成海量的信息，使用户能更好地感知信息的内容和发现信息的位置，使最终用户方便快捷地从巨量信息集合中的定位目标信息或完成自己所要处理的事务。</w:t>
      </w:r>
    </w:p>
    <w:p>
      <w:pPr>
        <w:pStyle w:val="7"/>
      </w:pPr>
      <w:bookmarkStart w:id="204" w:name="_Toc78909714"/>
      <w:r>
        <w:rPr>
          <w:rFonts w:hint="eastAsia"/>
        </w:rPr>
        <w:t>单点登录及认证</w:t>
      </w:r>
      <w:bookmarkEnd w:id="204"/>
    </w:p>
    <w:p>
      <w:r>
        <w:t>用户只需要登录一次就可以访问所有相互信任的应用系统。将用户的登录信息和用户信息库相比较，对用户进行登录认证；认证成功后，认证系统应该生成统一的认证标志</w:t>
      </w:r>
      <w:r>
        <w:rPr>
          <w:rFonts w:hint="eastAsia"/>
        </w:rPr>
        <w:t>，</w:t>
      </w:r>
      <w:r>
        <w:t>返还给用户</w:t>
      </w:r>
      <w:r>
        <w:rPr>
          <w:rFonts w:hint="eastAsia"/>
        </w:rPr>
        <w:t>，通过认证系统的通讯，</w:t>
      </w:r>
      <w:r>
        <w:t>能自动判断当前用户是否登录过，用户只需要登录一次就可以访问所有相互信任的应用系统。</w:t>
      </w:r>
    </w:p>
    <w:p>
      <w:pPr>
        <w:pStyle w:val="7"/>
      </w:pPr>
      <w:bookmarkStart w:id="205" w:name="_Toc78909715"/>
      <w:r>
        <w:rPr>
          <w:rFonts w:hint="eastAsia"/>
        </w:rPr>
        <w:t>工作台</w:t>
      </w:r>
      <w:bookmarkEnd w:id="205"/>
    </w:p>
    <w:p>
      <w:r>
        <w:rPr>
          <w:rFonts w:hint="eastAsia"/>
        </w:rPr>
        <w:t>工作台作为用户进入整个平台的第一页面，也就是用户首页，承担着用户快速了解数据质量检查工作的工作情况，处理待办事务以及进入各系统的快捷入口等。</w:t>
      </w:r>
    </w:p>
    <w:p>
      <w:pPr>
        <w:pStyle w:val="7"/>
      </w:pPr>
      <w:bookmarkStart w:id="206" w:name="_Toc78909716"/>
      <w:bookmarkStart w:id="207" w:name="_Toc488850424"/>
      <w:r>
        <w:rPr>
          <w:rFonts w:hint="eastAsia"/>
        </w:rPr>
        <w:t>系统管理</w:t>
      </w:r>
      <w:bookmarkEnd w:id="206"/>
    </w:p>
    <w:p>
      <w:r>
        <w:rPr>
          <w:rFonts w:hint="eastAsia"/>
        </w:rPr>
        <w:t>建立一个涵盖所有功能权限需求的用户管理系统，实现所有系统的单点登录及用户认证，并提供用户信息、角色信息及组织机构信息等。建立一个涵盖所有功能权限需求的用户管理系统，实现多用户种类、多用户权限、多用户角色的管理体系。</w:t>
      </w:r>
    </w:p>
    <w:p>
      <w:pPr>
        <w:pStyle w:val="8"/>
      </w:pPr>
      <w:bookmarkStart w:id="208" w:name="_Toc78909717"/>
      <w:r>
        <w:t>用户管理</w:t>
      </w:r>
      <w:bookmarkEnd w:id="208"/>
    </w:p>
    <w:p>
      <w:r>
        <w:rPr>
          <w:rFonts w:hint="eastAsia"/>
        </w:rPr>
        <w:t>基于对数据质量管理的需要，根据业务需求不同，建立相关用户，并对用户信息进行维护管理。</w:t>
      </w:r>
    </w:p>
    <w:p>
      <w:pPr>
        <w:pStyle w:val="8"/>
      </w:pPr>
      <w:bookmarkStart w:id="209" w:name="_Toc78909718"/>
      <w:r>
        <w:t>机构管理</w:t>
      </w:r>
      <w:bookmarkEnd w:id="209"/>
    </w:p>
    <w:p>
      <w:r>
        <w:rPr>
          <w:rFonts w:hint="eastAsia"/>
        </w:rPr>
        <w:t>数据质量管理应用面向与不同的使用对象，不同部门，通过机构管理实现对部门等机构进行管理维护。</w:t>
      </w:r>
    </w:p>
    <w:p>
      <w:pPr>
        <w:pStyle w:val="8"/>
      </w:pPr>
      <w:bookmarkStart w:id="210" w:name="_Toc78909719"/>
      <w:r>
        <w:t>角色管理</w:t>
      </w:r>
      <w:bookmarkEnd w:id="210"/>
    </w:p>
    <w:p>
      <w:r>
        <w:t>不同角色用户所承担的职能不同</w:t>
      </w:r>
      <w:r>
        <w:rPr>
          <w:rFonts w:hint="eastAsia"/>
        </w:rPr>
        <w:t>，</w:t>
      </w:r>
      <w:r>
        <w:t>建立不</w:t>
      </w:r>
      <w:r>
        <w:rPr>
          <w:rFonts w:hint="eastAsia"/>
        </w:rPr>
        <w:t>同</w:t>
      </w:r>
      <w:r>
        <w:t>的角色</w:t>
      </w:r>
      <w:r>
        <w:rPr>
          <w:rFonts w:hint="eastAsia"/>
        </w:rPr>
        <w:t>，</w:t>
      </w:r>
      <w:r>
        <w:t>实现对角色的管理</w:t>
      </w:r>
      <w:r>
        <w:rPr>
          <w:rFonts w:hint="eastAsia"/>
        </w:rPr>
        <w:t>。</w:t>
      </w:r>
    </w:p>
    <w:p>
      <w:pPr>
        <w:pStyle w:val="8"/>
      </w:pPr>
      <w:bookmarkStart w:id="211" w:name="_Toc78909720"/>
      <w:r>
        <w:t>权限管理</w:t>
      </w:r>
      <w:bookmarkEnd w:id="211"/>
    </w:p>
    <w:p>
      <w:r>
        <w:rPr>
          <w:rFonts w:hint="eastAsia"/>
        </w:rPr>
        <w:t>基于角色用户，针对不同用户授予不同的访问权限，保证数据的平台的安全性。</w:t>
      </w:r>
    </w:p>
    <w:p>
      <w:pPr>
        <w:pStyle w:val="8"/>
      </w:pPr>
      <w:bookmarkStart w:id="212" w:name="_Toc78909721"/>
      <w:r>
        <w:rPr>
          <w:rFonts w:hint="eastAsia"/>
        </w:rPr>
        <w:t>菜单管理</w:t>
      </w:r>
      <w:bookmarkEnd w:id="212"/>
    </w:p>
    <w:p>
      <w:r>
        <w:rPr>
          <w:rFonts w:hint="eastAsia"/>
        </w:rPr>
        <w:t>管理人员基于实际业务需求，设置菜单名称、菜单位置层属性。</w:t>
      </w:r>
    </w:p>
    <w:p>
      <w:pPr>
        <w:pStyle w:val="8"/>
      </w:pPr>
      <w:bookmarkStart w:id="213" w:name="_Toc78909723"/>
      <w:r>
        <w:rPr>
          <w:rFonts w:hint="eastAsia"/>
        </w:rPr>
        <w:t>安全审计</w:t>
      </w:r>
      <w:bookmarkEnd w:id="213"/>
    </w:p>
    <w:p>
      <w:r>
        <w:rPr>
          <w:rFonts w:hint="eastAsia"/>
        </w:rPr>
        <w:t>用户在使用系统过程中产生大量的日志，通过对日志信息的采集，对数据用户行为进行分析，保证数据的安全性。</w:t>
      </w:r>
      <w:bookmarkEnd w:id="207"/>
    </w:p>
    <w:p>
      <w:pPr>
        <w:pStyle w:val="6"/>
      </w:pPr>
      <w:r>
        <w:rPr>
          <w:rFonts w:hint="eastAsia"/>
        </w:rPr>
        <w:t>数据接入管理系统</w:t>
      </w:r>
    </w:p>
    <w:p>
      <w:pPr>
        <w:pStyle w:val="7"/>
      </w:pPr>
      <w:bookmarkStart w:id="214" w:name="_Toc78909725"/>
      <w:bookmarkStart w:id="215" w:name="_Toc78909724"/>
      <w:bookmarkStart w:id="216" w:name="_Toc69908663"/>
      <w:r>
        <w:rPr>
          <w:rFonts w:hint="eastAsia"/>
        </w:rPr>
        <w:t>数据源</w:t>
      </w:r>
      <w:r>
        <w:t>管理</w:t>
      </w:r>
      <w:bookmarkEnd w:id="214"/>
    </w:p>
    <w:p>
      <w:r>
        <w:rPr>
          <w:rFonts w:hint="eastAsia"/>
        </w:rPr>
        <w:t>利用</w:t>
      </w:r>
      <w:r>
        <w:t>JDBC</w:t>
      </w:r>
      <w:r>
        <w:rPr>
          <w:rFonts w:hint="eastAsia"/>
        </w:rPr>
        <w:t>、</w:t>
      </w:r>
      <w:r>
        <w:t>ODBC</w:t>
      </w:r>
      <w:r>
        <w:rPr>
          <w:rFonts w:hint="eastAsia"/>
        </w:rPr>
        <w:t>等数据驱动技术，为用户提供简单、标准、透明的数据库连接的公共编程接口，通过提供正确的数据源名称、</w:t>
      </w:r>
      <w:r>
        <w:t>IP</w:t>
      </w:r>
      <w:r>
        <w:rPr>
          <w:rFonts w:hint="eastAsia"/>
        </w:rPr>
        <w:t>、密码、，用户可以建立相应的数据库连接，实现对数据库链接的管理，支持</w:t>
      </w:r>
      <w:r>
        <w:t>MySQL</w:t>
      </w:r>
      <w:r>
        <w:rPr>
          <w:rFonts w:hint="eastAsia"/>
        </w:rPr>
        <w:t>、</w:t>
      </w:r>
      <w:r>
        <w:t>Oracle</w:t>
      </w:r>
      <w:r>
        <w:rPr>
          <w:rFonts w:hint="eastAsia"/>
        </w:rPr>
        <w:t>等数据库，实现对接入数据源的动态管理。</w:t>
      </w:r>
    </w:p>
    <w:p>
      <w:pPr>
        <w:pStyle w:val="8"/>
      </w:pPr>
      <w:bookmarkStart w:id="217" w:name="_Toc78909726"/>
      <w:r>
        <w:rPr>
          <w:rFonts w:hint="eastAsia"/>
        </w:rPr>
        <w:t>数据库注册</w:t>
      </w:r>
      <w:bookmarkEnd w:id="217"/>
    </w:p>
    <w:p>
      <w:pPr>
        <w:rPr>
          <w:rFonts w:ascii="宋体" w:hAnsi="宋体"/>
        </w:rPr>
      </w:pPr>
      <w:r>
        <w:rPr>
          <w:rFonts w:hint="eastAsia"/>
        </w:rPr>
        <w:t>利用JDBC、ODBC等数据驱动技术，</w:t>
      </w:r>
      <w:r>
        <w:t>为用户提供简单、标准、透明的数据库连接的公共编程接口，</w:t>
      </w:r>
      <w:r>
        <w:rPr>
          <w:rFonts w:hint="eastAsia"/>
        </w:rPr>
        <w:t>通过提供正确的数据源名称、I</w:t>
      </w:r>
      <w:r>
        <w:t>P</w:t>
      </w:r>
      <w:r>
        <w:rPr>
          <w:rFonts w:hint="eastAsia"/>
        </w:rPr>
        <w:t>、密码，用户可以建立相应的数据库连接，实现对数据库链接的管理，支持传统的My</w:t>
      </w:r>
      <w:r>
        <w:t>SQL</w:t>
      </w:r>
      <w:r>
        <w:rPr>
          <w:rFonts w:hint="eastAsia"/>
        </w:rPr>
        <w:t>、</w:t>
      </w:r>
      <w:r>
        <w:t>O</w:t>
      </w:r>
      <w:r>
        <w:rPr>
          <w:rFonts w:hint="eastAsia"/>
        </w:rPr>
        <w:t>racle等数据库以及pgsql等国产化数据库。</w:t>
      </w:r>
    </w:p>
    <w:p>
      <w:pPr>
        <w:pStyle w:val="8"/>
      </w:pPr>
      <w:bookmarkStart w:id="218" w:name="_Toc78909727"/>
      <w:r>
        <w:rPr>
          <w:rFonts w:hint="eastAsia"/>
        </w:rPr>
        <w:t>连接池</w:t>
      </w:r>
      <w:bookmarkEnd w:id="218"/>
    </w:p>
    <w:p>
      <w:pPr>
        <w:rPr>
          <w:rFonts w:ascii="宋体" w:hAnsi="宋体"/>
        </w:rPr>
      </w:pPr>
      <w:r>
        <w:rPr>
          <w:rFonts w:hint="eastAsia"/>
        </w:rPr>
        <w:t>为了避免重复多次的打开数据库连接而造成的性能的下降和系统资源的浪费，利用连接的缓冲池的技术，连接池是将已经创建好的连接保存在池中，获取数据库连接池的初始连接数、最大链接数，最小连接数、链接超时时间等参数信息，当有请求来时，直接使用已经创建好的连接对数据库进行访问，改善应用程序的性能，同时减少全部资源的使用</w:t>
      </w:r>
      <w:r>
        <w:t>。</w:t>
      </w:r>
    </w:p>
    <w:p>
      <w:pPr>
        <w:pStyle w:val="8"/>
      </w:pPr>
      <w:bookmarkStart w:id="219" w:name="_Toc78909728"/>
      <w:r>
        <w:rPr>
          <w:rFonts w:hint="eastAsia"/>
        </w:rPr>
        <w:t>数据库测试</w:t>
      </w:r>
      <w:bookmarkEnd w:id="219"/>
    </w:p>
    <w:p>
      <w:r>
        <w:rPr>
          <w:rFonts w:hint="eastAsia"/>
        </w:rPr>
        <w:t>数据库测试的作用验证数据库与外界是否连通，而作为数据库相关参数配置是否正确，是通过测试进行验证，管理人员根据测试反馈的结果来调配数据源参数的设置。</w:t>
      </w:r>
    </w:p>
    <w:p>
      <w:pPr>
        <w:pStyle w:val="7"/>
      </w:pPr>
      <w:bookmarkStart w:id="220" w:name="_Toc78909729"/>
      <w:r>
        <w:rPr>
          <w:rFonts w:hint="eastAsia"/>
        </w:rPr>
        <w:t>表/视图结构</w:t>
      </w:r>
      <w:r>
        <w:t>管理</w:t>
      </w:r>
      <w:bookmarkEnd w:id="220"/>
    </w:p>
    <w:p>
      <w:r>
        <w:rPr>
          <w:rFonts w:hint="eastAsia"/>
        </w:rPr>
        <w:t>表资源管理主要是通过数据源管理建立与数据库的联系，实现与数据库表之间的联系，自动提取接入数据库中相应的表结构、视图等，并对表及视图做动态注释信息的表整。</w:t>
      </w:r>
    </w:p>
    <w:p>
      <w:pPr>
        <w:pStyle w:val="8"/>
      </w:pPr>
      <w:r>
        <w:rPr>
          <w:rFonts w:hint="eastAsia"/>
        </w:rPr>
        <w:t>表/视图结构同步</w:t>
      </w:r>
    </w:p>
    <w:p>
      <w:r>
        <w:rPr>
          <w:rFonts w:hint="eastAsia"/>
        </w:rPr>
        <w:t>利用数据同步技术，自动提取表或视图中的结构数据，建立最新的结构信息库，为数据质量检查、评估等应用提供数据支撑。</w:t>
      </w:r>
    </w:p>
    <w:p>
      <w:pPr>
        <w:pStyle w:val="8"/>
      </w:pPr>
      <w:bookmarkStart w:id="221" w:name="_Toc78909730"/>
      <w:r>
        <w:rPr>
          <w:rFonts w:hint="eastAsia"/>
        </w:rPr>
        <w:t>表结构管理</w:t>
      </w:r>
      <w:bookmarkEnd w:id="221"/>
    </w:p>
    <w:p>
      <w:r>
        <w:rPr>
          <w:rFonts w:hint="eastAsia"/>
        </w:rPr>
        <w:t>表结构作为原始数据项，具备有很高的参考价值，通过链接数据源，自动提取表、表结构的信息，对于缺失的表注释或无用字段信息进行关闭、处理，减少数据项的冗余，为数据质量检查提供有效的数据项信息。</w:t>
      </w:r>
    </w:p>
    <w:p>
      <w:pPr>
        <w:pStyle w:val="8"/>
      </w:pPr>
      <w:bookmarkStart w:id="222" w:name="_Toc78909731"/>
      <w:r>
        <w:rPr>
          <w:rFonts w:hint="eastAsia"/>
        </w:rPr>
        <w:t>视图管理</w:t>
      </w:r>
      <w:bookmarkEnd w:id="222"/>
    </w:p>
    <w:p>
      <w:r>
        <w:t>视图不仅可以简化用户对数据的理</w:t>
      </w:r>
      <w:r>
        <w:rPr>
          <w:rFonts w:hint="eastAsia"/>
        </w:rPr>
        <w:t>，也是了解表关联关系的途径之一，过链接数据源，自动提取视图结构的信息，对于缺失的数据项注释或无用字段信息进行关闭、处理，减少数据项的冗余，为数据质量检查提供有效的数据项信息。</w:t>
      </w:r>
    </w:p>
    <w:p>
      <w:pPr>
        <w:pStyle w:val="6"/>
      </w:pPr>
      <w:r>
        <w:rPr>
          <w:rFonts w:hint="eastAsia"/>
        </w:rPr>
        <w:t>数据质量检查</w:t>
      </w:r>
      <w:bookmarkEnd w:id="215"/>
      <w:bookmarkEnd w:id="216"/>
      <w:r>
        <w:rPr>
          <w:rFonts w:hint="eastAsia"/>
        </w:rPr>
        <w:t>系统</w:t>
      </w:r>
    </w:p>
    <w:p>
      <w:r>
        <w:rPr>
          <w:rFonts w:hint="eastAsia"/>
        </w:rPr>
        <w:t>数据质量是指对数据从计划、获取、存储、共享、维护、应用、消亡生命周期的每个阶段里可能引发的各类数据质量问题，进行识别、度量、监控、预警等一系列管理活动，</w:t>
      </w:r>
      <w:r>
        <w:t>通过建立数据质量检查规则</w:t>
      </w:r>
      <w:r>
        <w:rPr>
          <w:rFonts w:hint="eastAsia"/>
        </w:rPr>
        <w:t>，</w:t>
      </w:r>
      <w:r>
        <w:t>对目标数据进行检查</w:t>
      </w:r>
      <w:r>
        <w:rPr>
          <w:rFonts w:hint="eastAsia"/>
        </w:rPr>
        <w:t>，</w:t>
      </w:r>
      <w:r>
        <w:t>并形成数据质量检查结果</w:t>
      </w:r>
      <w:r>
        <w:rPr>
          <w:rFonts w:hint="eastAsia"/>
        </w:rPr>
        <w:t>，反馈至管理方，并通过改善和提高组织的管理水平使得数据质量获得进一步提高。</w:t>
      </w:r>
    </w:p>
    <w:p>
      <w:pPr>
        <w:pStyle w:val="7"/>
      </w:pPr>
      <w:bookmarkStart w:id="223" w:name="_Toc78909732"/>
      <w:r>
        <w:rPr>
          <w:rFonts w:hint="eastAsia"/>
        </w:rPr>
        <w:t>检查模型</w:t>
      </w:r>
      <w:r>
        <w:t>管理</w:t>
      </w:r>
      <w:bookmarkEnd w:id="223"/>
    </w:p>
    <w:p>
      <w:pPr>
        <w:pStyle w:val="8"/>
      </w:pPr>
      <w:bookmarkStart w:id="224" w:name="_Toc78909733"/>
      <w:r>
        <w:rPr>
          <w:rFonts w:hint="eastAsia"/>
        </w:rPr>
        <w:t>检查分类</w:t>
      </w:r>
    </w:p>
    <w:p>
      <w:r>
        <w:rPr>
          <w:rFonts w:hint="eastAsia"/>
        </w:rPr>
        <w:t>从业务实际需求出发，基于不同类型的检查任务，形成检查任务模型分组，模型分组作为相同类型检查模型的集合中心，形成对任务的快速筛选。</w:t>
      </w:r>
    </w:p>
    <w:p>
      <w:pPr>
        <w:pStyle w:val="8"/>
      </w:pPr>
      <w:r>
        <w:rPr>
          <w:rFonts w:hint="eastAsia"/>
        </w:rPr>
        <w:t>模型创建</w:t>
      </w:r>
      <w:bookmarkEnd w:id="224"/>
    </w:p>
    <w:p>
      <w:r>
        <w:rPr>
          <w:rFonts w:hint="eastAsia"/>
        </w:rPr>
        <w:t>检查模型作为数据质量管理平台的核心，基于用户目标需求建立场景化的数据质量检查模型，通过对模型基础信息的新建、修改等维护操作，并建立与检查目标数据源的动态联系，来实现对检查模型的动态管理。</w:t>
      </w:r>
    </w:p>
    <w:p>
      <w:pPr>
        <w:pStyle w:val="8"/>
      </w:pPr>
      <w:bookmarkStart w:id="225" w:name="_Toc78909734"/>
      <w:r>
        <w:rPr>
          <w:rFonts w:hint="eastAsia"/>
        </w:rPr>
        <w:t>规则</w:t>
      </w:r>
      <w:bookmarkEnd w:id="225"/>
      <w:r>
        <w:rPr>
          <w:rFonts w:hint="eastAsia"/>
        </w:rPr>
        <w:t>维护</w:t>
      </w:r>
    </w:p>
    <w:p>
      <w:r>
        <w:rPr>
          <w:rFonts w:hint="eastAsia"/>
        </w:rPr>
        <w:t>数据质量检查的核心在于规则，任务是把各个规则串在一起，通过对规则的设置来完成对任务的管理，规则的设置是基于数据质量检查组件所拥有的属性来设置各个参数，包括规范性检查、重复性检查、关联性检查、值域检查、完整性检查、及时性检查等规则，并通过参数的配置来完成规则的配置和管理。</w:t>
      </w:r>
    </w:p>
    <w:p>
      <w:pPr>
        <w:pStyle w:val="8"/>
      </w:pPr>
      <w:bookmarkStart w:id="226" w:name="_Toc78909735"/>
      <w:r>
        <w:rPr>
          <w:rFonts w:hint="eastAsia"/>
        </w:rPr>
        <w:t>可视化</w:t>
      </w:r>
      <w:bookmarkEnd w:id="226"/>
      <w:r>
        <w:rPr>
          <w:rFonts w:hint="eastAsia"/>
        </w:rPr>
        <w:t>管理</w:t>
      </w:r>
    </w:p>
    <w:p>
      <w:r>
        <w:rPr>
          <w:rFonts w:hint="eastAsia"/>
        </w:rPr>
        <w:t>数据质量检查的配置采用</w:t>
      </w:r>
      <w:r>
        <w:t>基于自然流布局的可视化</w:t>
      </w:r>
      <w:r>
        <w:rPr>
          <w:rFonts w:hint="eastAsia"/>
        </w:rPr>
        <w:t>技术，在组件区通过可视化、拖拽方式将组件拖拽至布局区，并通过连接或在条件建立组件与组件之间的关系，并在配置区对目标组件的规则进行配置，实现基于组件化的规则的动态管理，从而使整个流程、规则等配置便捷化、可视化。</w:t>
      </w:r>
    </w:p>
    <w:p>
      <w:pPr>
        <w:pStyle w:val="7"/>
      </w:pPr>
      <w:bookmarkStart w:id="227" w:name="_Toc78909737"/>
      <w:r>
        <w:rPr>
          <w:rFonts w:hint="eastAsia"/>
        </w:rPr>
        <w:t>检查任务调度</w:t>
      </w:r>
      <w:bookmarkEnd w:id="227"/>
    </w:p>
    <w:p>
      <w:r>
        <w:t>调度</w:t>
      </w:r>
      <w:r>
        <w:rPr>
          <w:rFonts w:hint="eastAsia"/>
        </w:rPr>
        <w:t>作业是数据质量检查</w:t>
      </w:r>
      <w:r>
        <w:t>的中场发动机</w:t>
      </w:r>
      <w:r>
        <w:rPr>
          <w:rFonts w:hint="eastAsia"/>
        </w:rPr>
        <w:t>，利用时间、调度规则引擎、消息触发技术，</w:t>
      </w:r>
      <w:r>
        <w:t>设</w:t>
      </w:r>
      <w:r>
        <w:rPr>
          <w:rFonts w:hint="eastAsia"/>
        </w:rPr>
        <w:t>定特定</w:t>
      </w:r>
      <w:r>
        <w:t>时间点自动触发的任务，</w:t>
      </w:r>
      <w:r>
        <w:rPr>
          <w:rFonts w:hint="eastAsia"/>
        </w:rPr>
        <w:t>实现对任务自动的运行，并记录调度、任务运行状态数据。</w:t>
      </w:r>
    </w:p>
    <w:p>
      <w:pPr>
        <w:pStyle w:val="8"/>
      </w:pPr>
      <w:r>
        <w:rPr>
          <w:rFonts w:hint="eastAsia"/>
        </w:rPr>
        <w:t>任务创建</w:t>
      </w:r>
    </w:p>
    <w:p>
      <w:r>
        <w:rPr>
          <w:rFonts w:hint="eastAsia"/>
        </w:rPr>
        <w:t>调度任务向用户提供调度名称、类型、说明等属性进行计划的创建、编辑、修改等操作，并设置基于任务下的调度策略，实现在消息机制上的触发。</w:t>
      </w:r>
    </w:p>
    <w:p>
      <w:pPr>
        <w:pStyle w:val="8"/>
      </w:pPr>
      <w:bookmarkStart w:id="228" w:name="_Toc78909739"/>
      <w:r>
        <w:rPr>
          <w:rFonts w:hint="eastAsia"/>
        </w:rPr>
        <w:t>调度</w:t>
      </w:r>
      <w:bookmarkEnd w:id="228"/>
      <w:r>
        <w:rPr>
          <w:rFonts w:hint="eastAsia"/>
        </w:rPr>
        <w:t>策略</w:t>
      </w:r>
    </w:p>
    <w:p>
      <w:r>
        <w:rPr>
          <w:rFonts w:hint="eastAsia"/>
        </w:rPr>
        <w:t>不同的调度计划需建立不同的调度策略，基于调度任务需求不同，向用户提供调度固定频率、自定义频率下的调度规则动态维护，自定义的调度类型可按照年、周、月、日、时等维度下的规则设定。</w:t>
      </w:r>
    </w:p>
    <w:p>
      <w:pPr>
        <w:pStyle w:val="8"/>
      </w:pPr>
      <w:r>
        <w:rPr>
          <w:rFonts w:hint="eastAsia"/>
        </w:rPr>
        <w:t>关联模型</w:t>
      </w:r>
    </w:p>
    <w:p>
      <w:r>
        <w:rPr>
          <w:rFonts w:hint="eastAsia"/>
        </w:rPr>
        <w:t>关联模型的目的是调度任务与检查模型之间的动态联系，形成调度任务与检查模型之间的关系纽带，实现检查模型在特定调度策略下的自动触发执行，并可实现检查模型的绑定和解除动态操作来维护其关联关系。</w:t>
      </w:r>
    </w:p>
    <w:p>
      <w:pPr>
        <w:pStyle w:val="8"/>
      </w:pPr>
      <w:bookmarkStart w:id="229" w:name="_Toc78909741"/>
      <w:r>
        <w:rPr>
          <w:rFonts w:hint="eastAsia"/>
        </w:rPr>
        <w:t>执行调度</w:t>
      </w:r>
      <w:bookmarkEnd w:id="229"/>
    </w:p>
    <w:p>
      <w:r>
        <w:rPr>
          <w:rFonts w:hint="eastAsia"/>
        </w:rPr>
        <w:t>执行调度包括自动执行调度任务和手动执行调度任务，自动按照既定调度策略执行，手动执行则按照实际业务需求实现随时执行，通过任务、规则代替人工检查，向用户提供高质高效的数据质量检查工作。</w:t>
      </w:r>
    </w:p>
    <w:p>
      <w:pPr>
        <w:pStyle w:val="7"/>
      </w:pPr>
      <w:bookmarkStart w:id="230" w:name="_Toc78909742"/>
      <w:r>
        <w:rPr>
          <w:rFonts w:hint="eastAsia"/>
        </w:rPr>
        <w:t>检查任务监控</w:t>
      </w:r>
      <w:bookmarkEnd w:id="230"/>
    </w:p>
    <w:p>
      <w:r>
        <w:rPr>
          <w:rFonts w:hint="eastAsia"/>
        </w:rPr>
        <w:t>通过采集数据质量检查过程中的调度任务的执行信息、任务运行信息、数据源访问信息，监控任务执行中的各种状态，为数据质量优化、系统运行优化提供运维支撑。</w:t>
      </w:r>
    </w:p>
    <w:p>
      <w:r>
        <w:rPr>
          <w:rFonts w:hint="eastAsia"/>
        </w:rPr>
        <w:t>包括检查任务监管、任务执行明细等</w:t>
      </w:r>
    </w:p>
    <w:p>
      <w:pPr>
        <w:pStyle w:val="8"/>
      </w:pPr>
      <w:bookmarkStart w:id="231" w:name="_Toc78909745"/>
      <w:r>
        <w:rPr>
          <w:rFonts w:hint="eastAsia"/>
        </w:rPr>
        <w:t>任务监控</w:t>
      </w:r>
      <w:bookmarkEnd w:id="231"/>
    </w:p>
    <w:p>
      <w:r>
        <w:rPr>
          <w:rFonts w:hint="eastAsia"/>
        </w:rPr>
        <w:t>通过采集检查任务执行过程中的状态信息，了解检查任务运行开始时间、结束时间、下次调度时间、运行状态等信息。</w:t>
      </w:r>
    </w:p>
    <w:p>
      <w:pPr>
        <w:pStyle w:val="8"/>
      </w:pPr>
      <w:bookmarkStart w:id="232" w:name="_Toc78909743"/>
      <w:r>
        <w:rPr>
          <w:rFonts w:hint="eastAsia"/>
        </w:rPr>
        <w:t>明细监控</w:t>
      </w:r>
      <w:bookmarkEnd w:id="232"/>
    </w:p>
    <w:p>
      <w:r>
        <w:rPr>
          <w:rFonts w:hint="eastAsia"/>
        </w:rPr>
        <w:t>通过采集任务执行过程各个环节的任务名称、规则名称、检查结果、检查记录、状态等信息，并对检查不通过记录数进行统计，管理人员通过对失败执行记录明细数据的了解，便于快速的进行工作的排查，及时的调整调度策略或模型配置工作。</w:t>
      </w:r>
    </w:p>
    <w:p>
      <w:pPr>
        <w:pStyle w:val="7"/>
      </w:pPr>
      <w:bookmarkStart w:id="233" w:name="_Toc78909746"/>
      <w:r>
        <w:rPr>
          <w:rFonts w:hint="eastAsia"/>
        </w:rPr>
        <w:t>检查结果管理</w:t>
      </w:r>
      <w:bookmarkEnd w:id="233"/>
    </w:p>
    <w:p>
      <w:r>
        <w:rPr>
          <w:rFonts w:hint="eastAsia"/>
        </w:rPr>
        <w:t>基于检查任务执行的结果或评分结果，形成检查结果信息库，提供基于检查模型下的检查对象（表）及涉及的字段、检查记录数及不通过数的等统计数据，并可基于检查模型、类型、检查执行周期范围内数据查询统计信息，为数据质量监测分析、以及问题数据的处理提供数据支撑。</w:t>
      </w:r>
    </w:p>
    <w:p>
      <w:pPr>
        <w:pStyle w:val="6"/>
      </w:pPr>
      <w:bookmarkStart w:id="234" w:name="_Toc78909749"/>
      <w:r>
        <w:t>数据质量评价系统</w:t>
      </w:r>
      <w:bookmarkEnd w:id="234"/>
    </w:p>
    <w:p>
      <w:pPr>
        <w:pStyle w:val="7"/>
      </w:pPr>
      <w:bookmarkStart w:id="235" w:name="_Toc78909751"/>
      <w:r>
        <w:t>评价指标</w:t>
      </w:r>
      <w:bookmarkEnd w:id="235"/>
    </w:p>
    <w:p>
      <w:r>
        <w:rPr>
          <w:rFonts w:hint="eastAsia"/>
        </w:rPr>
        <w:t>围绕评价对象建立评价指标，形成评价指标体系，并可实现对评价指标的编码、指标名称以及指标的用的评价方法设定等，评价方法设定包括定量、定性和权重打分等信息的维护和管理。</w:t>
      </w:r>
    </w:p>
    <w:p>
      <w:pPr>
        <w:pStyle w:val="7"/>
      </w:pPr>
      <w:bookmarkStart w:id="236" w:name="_Toc78909752"/>
      <w:r>
        <w:t>评价模型</w:t>
      </w:r>
      <w:bookmarkEnd w:id="236"/>
    </w:p>
    <w:p>
      <w:r>
        <w:rPr>
          <w:rFonts w:hint="eastAsia"/>
        </w:rPr>
        <w:t>围绕不同的评价目标，建立不同的评价模型，针对不同的评价模型配置不同的基于模型的指标体系，并设定权重，数据质量维度的权重依赖于数据的使用需求，各级部门自行设定，从而实现对评价模型的管理和维护。</w:t>
      </w:r>
    </w:p>
    <w:p>
      <w:pPr>
        <w:pStyle w:val="7"/>
      </w:pPr>
      <w:bookmarkStart w:id="237" w:name="_Toc78909753"/>
      <w:r>
        <w:t>评价结果</w:t>
      </w:r>
      <w:bookmarkEnd w:id="237"/>
    </w:p>
    <w:p>
      <w:r>
        <w:rPr>
          <w:rFonts w:hint="eastAsia"/>
        </w:rPr>
        <w:t>通过将各评价周期中的将各维度得分综合汇总后，得出最终评价得分，形成评价结果，可以此对各级市场监管部门评价排名等。</w:t>
      </w:r>
    </w:p>
    <w:p>
      <w:pPr>
        <w:pStyle w:val="6"/>
      </w:pPr>
      <w:bookmarkStart w:id="238" w:name="_Toc78909758"/>
      <w:bookmarkStart w:id="239" w:name="_Toc69908669"/>
      <w:r>
        <w:rPr>
          <w:rFonts w:hint="eastAsia"/>
        </w:rPr>
        <w:t>数据质量分析</w:t>
      </w:r>
      <w:bookmarkEnd w:id="238"/>
      <w:bookmarkEnd w:id="239"/>
      <w:r>
        <w:rPr>
          <w:rFonts w:hint="eastAsia"/>
        </w:rPr>
        <w:t>系统</w:t>
      </w:r>
    </w:p>
    <w:p>
      <w:pPr>
        <w:pStyle w:val="7"/>
      </w:pPr>
      <w:bookmarkStart w:id="240" w:name="_Toc78909762"/>
      <w:r>
        <w:rPr>
          <w:rFonts w:hint="eastAsia"/>
        </w:rPr>
        <w:t>综合</w:t>
      </w:r>
      <w:r>
        <w:t>分析</w:t>
      </w:r>
      <w:bookmarkEnd w:id="240"/>
    </w:p>
    <w:p>
      <w:r>
        <w:rPr>
          <w:rFonts w:hint="eastAsia"/>
        </w:rPr>
        <w:t>质量</w:t>
      </w:r>
      <w:r>
        <w:t>分析的目的是</w:t>
      </w:r>
      <w:r>
        <w:rPr>
          <w:rFonts w:hint="eastAsia"/>
        </w:rPr>
        <w:t>找出数据</w:t>
      </w:r>
      <w:r>
        <w:t>的</w:t>
      </w:r>
      <w:r>
        <w:rPr>
          <w:rFonts w:hint="eastAsia"/>
        </w:rPr>
        <w:t>质量</w:t>
      </w:r>
      <w:r>
        <w:t>问题，从</w:t>
      </w:r>
      <w:r>
        <w:rPr>
          <w:rFonts w:hint="eastAsia"/>
        </w:rPr>
        <w:t>源头</w:t>
      </w:r>
      <w:r>
        <w:t>解决数据质量，保证数据来源的</w:t>
      </w:r>
      <w:r>
        <w:rPr>
          <w:rFonts w:hint="eastAsia"/>
        </w:rPr>
        <w:t>唯一性</w:t>
      </w:r>
      <w:r>
        <w:t>，以及数据质量的标准</w:t>
      </w:r>
      <w:r>
        <w:rPr>
          <w:rFonts w:hint="eastAsia"/>
        </w:rPr>
        <w:t>性。</w:t>
      </w:r>
    </w:p>
    <w:p>
      <w:pPr>
        <w:pStyle w:val="8"/>
      </w:pPr>
      <w:bookmarkStart w:id="241" w:name="_Toc78909763"/>
      <w:r>
        <w:rPr>
          <w:rFonts w:hint="eastAsia"/>
        </w:rPr>
        <w:t>数据质量整体概况</w:t>
      </w:r>
      <w:bookmarkEnd w:id="241"/>
    </w:p>
    <w:p>
      <w:r>
        <w:rPr>
          <w:rFonts w:hint="eastAsia"/>
        </w:rPr>
        <w:t>从数据的地区、问题级别等维度，全面分析数据质量的整体趋势、区域数据质量排名、数据质量趋势、问题数据类型分布等信息，了解全局数据质量概况。</w:t>
      </w:r>
    </w:p>
    <w:p>
      <w:pPr>
        <w:pStyle w:val="8"/>
      </w:pPr>
      <w:bookmarkStart w:id="242" w:name="_Toc78909764"/>
      <w:r>
        <w:rPr>
          <w:rFonts w:hint="eastAsia"/>
        </w:rPr>
        <w:t>检查结果分析</w:t>
      </w:r>
      <w:bookmarkEnd w:id="242"/>
    </w:p>
    <w:p>
      <w:r>
        <w:t>从有效性、唯一性、完整性、准确性、一致性、时效性</w:t>
      </w:r>
      <w:r>
        <w:rPr>
          <w:rFonts w:hint="eastAsia"/>
        </w:rPr>
        <w:t>等检查规则方面以及检查结果地区分布等方面分析数据质量检查结果，了解各检查类型数据质量检查结果的分布、趋势、地区排名等情况。</w:t>
      </w:r>
    </w:p>
    <w:p>
      <w:pPr>
        <w:pStyle w:val="8"/>
      </w:pPr>
      <w:r>
        <w:rPr>
          <w:rFonts w:hint="eastAsia"/>
        </w:rPr>
        <w:t>数据质量检查结果查询</w:t>
      </w:r>
    </w:p>
    <w:p>
      <w:r>
        <w:rPr>
          <w:rFonts w:hint="eastAsia"/>
        </w:rPr>
        <w:t>围绕着数据质量结果数据，通过查询企业的信息，了解企业涉及的异常数据，为数据处理人员对数据质量的处理提供有效的支撑，支持查询条件自定义进行配置，以及展示结果自定义展示。</w:t>
      </w:r>
    </w:p>
    <w:p>
      <w:pPr>
        <w:pStyle w:val="7"/>
      </w:pPr>
      <w:r>
        <w:rPr>
          <w:rFonts w:hint="eastAsia"/>
        </w:rPr>
        <w:t>分析报告</w:t>
      </w:r>
    </w:p>
    <w:p>
      <w:r>
        <w:rPr>
          <w:rFonts w:hint="eastAsia"/>
        </w:rPr>
        <w:t>智能分析报告是利用数据仓库技术实现与Word的无缝连接，将具备固定格式的报告中的数据、关键字等通过数据库技术进行自动替换、更新，直接生成Word格式报告。和固定报表不同，报告图文并茂，更加生动形象。自动创建的报告中不但可以有表、图表，还有说明文字，而且文字中所引用的数据也可以自动更新。</w:t>
      </w:r>
    </w:p>
    <w:p>
      <w:pPr>
        <w:pStyle w:val="8"/>
      </w:pPr>
      <w:r>
        <w:rPr>
          <w:rFonts w:hint="eastAsia"/>
        </w:rPr>
        <w:t>检查分析报告</w:t>
      </w:r>
    </w:p>
    <w:p>
      <w:r>
        <w:rPr>
          <w:rFonts w:hint="eastAsia"/>
        </w:rPr>
        <w:t>针对数据质量检查结果，从多维度对数据质量检查情况进行分析，包括检查规则分析、检查对象、检查结果问题数据趋势、检查规则分布、各区域数据质量检查得分、问题数据级别等情况进行分析统计，并利用模板生成技术，在线生成分析报告，并支持报告周期性的统计以及报告的导出。</w:t>
      </w:r>
    </w:p>
    <w:p>
      <w:pPr>
        <w:pStyle w:val="8"/>
      </w:pPr>
      <w:r>
        <w:rPr>
          <w:rFonts w:hint="eastAsia"/>
        </w:rPr>
        <w:t>质量评价报告</w:t>
      </w:r>
    </w:p>
    <w:p>
      <w:r>
        <w:rPr>
          <w:rFonts w:hint="eastAsia"/>
        </w:rPr>
        <w:t>数据质量评价报告包括评价体系、数据质量检查规则情况、评价对象、数据质量评价结果趋势分析、各登记机关评价结果分析、问题数据分析等方面进行统计分析，并针对评价结果按照月份进行生成，分析报告的导出。</w:t>
      </w:r>
    </w:p>
    <w:p>
      <w:pPr>
        <w:pStyle w:val="6"/>
      </w:pPr>
      <w:bookmarkStart w:id="243" w:name="_Toc78909765"/>
      <w:bookmarkStart w:id="244" w:name="_Toc69908670"/>
      <w:r>
        <w:rPr>
          <w:rFonts w:hint="eastAsia"/>
        </w:rPr>
        <w:t>数据质量问题处理</w:t>
      </w:r>
      <w:bookmarkEnd w:id="243"/>
      <w:bookmarkEnd w:id="244"/>
      <w:r>
        <w:rPr>
          <w:rFonts w:hint="eastAsia"/>
        </w:rPr>
        <w:t>系统</w:t>
      </w:r>
    </w:p>
    <w:p>
      <w:r>
        <w:rPr>
          <w:rFonts w:hint="eastAsia"/>
        </w:rPr>
        <w:t xml:space="preserve">问题数据的产生是由操作人员录入错误、数据录入不规范等多种原因，需要总根本上解决数据质量问题，需要建立数据质量处理机制，通过对问题数据的采集、分发、处理、反馈等，及时发现问题处理，及时处理，保证数据质量的完整性、一致性、及时性、准确性。 </w:t>
      </w:r>
    </w:p>
    <w:p>
      <w:pPr>
        <w:pStyle w:val="7"/>
      </w:pPr>
      <w:bookmarkStart w:id="245" w:name="_Toc78909770"/>
      <w:bookmarkStart w:id="246" w:name="_Toc78909766"/>
      <w:r>
        <w:rPr>
          <w:rFonts w:hint="eastAsia"/>
        </w:rPr>
        <w:t>任务管理</w:t>
      </w:r>
      <w:bookmarkEnd w:id="245"/>
    </w:p>
    <w:p>
      <w:r>
        <w:rPr>
          <w:rFonts w:hint="eastAsia"/>
        </w:rPr>
        <w:t>围绕数据质量检查结果数据建立问题数据的处理任务，通过任务机制的建立，来保证数据质量问题进行及时的处理，从而达到数据质量提升的目的。任务管理包括对任务名称、任务周期、任务描述的动态维护和管理。</w:t>
      </w:r>
    </w:p>
    <w:p>
      <w:pPr>
        <w:pStyle w:val="7"/>
      </w:pPr>
      <w:r>
        <w:rPr>
          <w:rFonts w:hint="eastAsia"/>
        </w:rPr>
        <w:t>线索管理</w:t>
      </w:r>
      <w:bookmarkEnd w:id="246"/>
    </w:p>
    <w:p>
      <w:r>
        <w:rPr>
          <w:rFonts w:hint="eastAsia"/>
        </w:rPr>
        <w:t>数据质量问题的发现来源于数据质量检查工具自动检查出来的数据问题、工作中发现数据问题的等，通过对问题数据的采集，建立问题数据清单动态管理制度，形成问题数据清单库，并实施动态维护更新。</w:t>
      </w:r>
    </w:p>
    <w:p>
      <w:r>
        <w:rPr>
          <w:rFonts w:hint="eastAsia"/>
        </w:rPr>
        <w:t>问题数据的采集包括数据质量检查系统接入线索信息、人工录入等功能。</w:t>
      </w:r>
    </w:p>
    <w:p>
      <w:pPr>
        <w:pStyle w:val="8"/>
      </w:pPr>
      <w:bookmarkStart w:id="247" w:name="_Toc78909767"/>
      <w:r>
        <w:rPr>
          <w:rFonts w:hint="eastAsia"/>
        </w:rPr>
        <w:t>人工录入</w:t>
      </w:r>
      <w:bookmarkEnd w:id="247"/>
    </w:p>
    <w:p>
      <w:r>
        <w:rPr>
          <w:rFonts w:hint="eastAsia"/>
        </w:rPr>
        <w:t>在日常检查工作中由人工发现的数据问题，提供人工录入的入口，录入信息包括问题数据的对应的企业名称、统一社会信用代码、异常类型、登记机关、线索来源等信息，可实现对数据的动态维护和管理。</w:t>
      </w:r>
    </w:p>
    <w:p>
      <w:pPr>
        <w:pStyle w:val="8"/>
      </w:pPr>
      <w:r>
        <w:rPr>
          <w:rFonts w:hint="eastAsia"/>
        </w:rPr>
        <w:t>线索信息</w:t>
      </w:r>
    </w:p>
    <w:p>
      <w:r>
        <w:rPr>
          <w:rFonts w:hint="eastAsia"/>
        </w:rPr>
        <w:t>线索信息采用以统一社会信用代码直接建立与目标对象之间的关系，将对象信息从库中提取出来，并通过设定异常类型等属性信息来生成新的线索信息，减少信息录入的复杂性。</w:t>
      </w:r>
    </w:p>
    <w:p>
      <w:pPr>
        <w:pStyle w:val="7"/>
      </w:pPr>
      <w:bookmarkStart w:id="248" w:name="_Toc78909773"/>
      <w:r>
        <w:rPr>
          <w:rFonts w:hint="eastAsia"/>
        </w:rPr>
        <w:t>分发认领</w:t>
      </w:r>
      <w:bookmarkEnd w:id="248"/>
    </w:p>
    <w:p>
      <w:r>
        <w:rPr>
          <w:rFonts w:hint="eastAsia"/>
        </w:rPr>
        <w:t>针对发现的数据质量问题形成的线索，通过人员分派及数据认领方式，将数据责任到处理人，便于人员明确各自的处理的问题数据，为问题下一步的处理提供保障。</w:t>
      </w:r>
    </w:p>
    <w:p>
      <w:pPr>
        <w:pStyle w:val="8"/>
      </w:pPr>
      <w:r>
        <w:rPr>
          <w:rFonts w:hint="eastAsia"/>
        </w:rPr>
        <w:t>人员分派</w:t>
      </w:r>
    </w:p>
    <w:p>
      <w:r>
        <w:rPr>
          <w:rFonts w:hint="eastAsia"/>
        </w:rPr>
        <w:t>人员分派主要是针对发现的线索问题，通过指派的方式实现任务的分发。</w:t>
      </w:r>
    </w:p>
    <w:p>
      <w:pPr>
        <w:pStyle w:val="8"/>
      </w:pPr>
      <w:r>
        <w:rPr>
          <w:rFonts w:hint="eastAsia"/>
        </w:rPr>
        <w:t>数据认领</w:t>
      </w:r>
    </w:p>
    <w:p>
      <w:r>
        <w:rPr>
          <w:rFonts w:hint="eastAsia"/>
        </w:rPr>
        <w:t>对于发现的问题线索，处理人员可采用认领方式确认问题线索的处理权，便于快速的对线索问题的处理。</w:t>
      </w:r>
    </w:p>
    <w:p>
      <w:pPr>
        <w:pStyle w:val="7"/>
      </w:pPr>
      <w:r>
        <w:rPr>
          <w:rFonts w:hint="eastAsia"/>
        </w:rPr>
        <w:t>处理反馈</w:t>
      </w:r>
    </w:p>
    <w:p>
      <w:r>
        <w:rPr>
          <w:rFonts w:hint="eastAsia"/>
        </w:rPr>
        <w:t>各部门针对分发的数据质量问题，需要建立问题数据的修复机制，针对不同的问题数据，制定不同的修复方案，及时纠正问题数据，如</w:t>
      </w:r>
      <w:r>
        <w:t>空字段、冗余、逻辑错误、无关联错误、转码错误</w:t>
      </w:r>
      <w:r>
        <w:rPr>
          <w:rFonts w:hint="eastAsia"/>
        </w:rPr>
        <w:t>等的修复。</w:t>
      </w:r>
    </w:p>
    <w:p>
      <w:r>
        <w:rPr>
          <w:rFonts w:hint="eastAsia"/>
        </w:rPr>
        <w:t>任务处理反馈包括处理结果审核、进度跟踪、数据质量检查结果申诉。</w:t>
      </w:r>
    </w:p>
    <w:p>
      <w:pPr>
        <w:pStyle w:val="8"/>
      </w:pPr>
      <w:bookmarkStart w:id="249" w:name="_Toc78909778"/>
      <w:bookmarkStart w:id="250" w:name="_Toc78909774"/>
      <w:r>
        <w:rPr>
          <w:rFonts w:hint="eastAsia"/>
        </w:rPr>
        <w:t>结果审核</w:t>
      </w:r>
      <w:bookmarkEnd w:id="249"/>
    </w:p>
    <w:p>
      <w:r>
        <w:rPr>
          <w:rFonts w:hint="eastAsia"/>
        </w:rPr>
        <w:t>上级部门针对下级部门问题数据处理结果进行验证，并进行审核处理，针对验证不通过的数据反馈给所辖部门，并督促纠正处理。</w:t>
      </w:r>
    </w:p>
    <w:p>
      <w:pPr>
        <w:pStyle w:val="8"/>
      </w:pPr>
      <w:bookmarkStart w:id="251" w:name="_Toc78909776"/>
      <w:r>
        <w:rPr>
          <w:rFonts w:hint="eastAsia"/>
        </w:rPr>
        <w:t>进度跟踪</w:t>
      </w:r>
      <w:bookmarkEnd w:id="251"/>
    </w:p>
    <w:p>
      <w:r>
        <w:rPr>
          <w:rFonts w:hint="eastAsia"/>
        </w:rPr>
        <w:t>围绕问题数据处理任务，对处理的进度进行跟踪，了解任务的执行过程，主要包括任务登记机关、应处理问题梳理、处理率、以及数据状态等数据进行统计，并对数据结果进行导出等。</w:t>
      </w:r>
    </w:p>
    <w:p>
      <w:pPr>
        <w:pStyle w:val="8"/>
      </w:pPr>
      <w:r>
        <w:rPr>
          <w:rFonts w:hint="eastAsia"/>
        </w:rPr>
        <w:t>任务催办</w:t>
      </w:r>
      <w:bookmarkEnd w:id="250"/>
    </w:p>
    <w:p>
      <w:r>
        <w:rPr>
          <w:rFonts w:hint="eastAsia"/>
        </w:rPr>
        <w:t>上级部门针对下发的未及时处理的问题数据处理任务进行催办，可进行一键批量任务催办或单项任务进行催办，督促管理方及时进行办理。</w:t>
      </w:r>
    </w:p>
    <w:p>
      <w:pPr>
        <w:pStyle w:val="6"/>
      </w:pPr>
      <w:bookmarkStart w:id="252" w:name="_Toc69908674"/>
      <w:bookmarkStart w:id="253" w:name="_Toc78909814"/>
      <w:r>
        <w:rPr>
          <w:rFonts w:hint="eastAsia"/>
        </w:rPr>
        <w:t>知识库管理</w:t>
      </w:r>
      <w:bookmarkEnd w:id="252"/>
      <w:r>
        <w:rPr>
          <w:rFonts w:hint="eastAsia"/>
        </w:rPr>
        <w:t>平台</w:t>
      </w:r>
      <w:bookmarkEnd w:id="253"/>
      <w:r>
        <w:rPr>
          <w:rFonts w:hint="eastAsia"/>
        </w:rPr>
        <w:t>系统</w:t>
      </w:r>
    </w:p>
    <w:p>
      <w:r>
        <w:rPr>
          <w:rFonts w:hint="eastAsia"/>
        </w:rPr>
        <w:t>知识库管理用于对数据问题及相关解决方案形成的知识库，以及有关数据质量管理的政策、法规等文件性资料。通过知识库管理平台为工作人员打造一个关于数据质量的知识学习平台，提供一站式的知识查询、下载等。</w:t>
      </w:r>
    </w:p>
    <w:p>
      <w:pPr>
        <w:pStyle w:val="7"/>
      </w:pPr>
      <w:bookmarkStart w:id="254" w:name="_Toc78909815"/>
      <w:r>
        <w:rPr>
          <w:rFonts w:hint="eastAsia"/>
        </w:rPr>
        <w:t>知识采集</w:t>
      </w:r>
      <w:bookmarkEnd w:id="254"/>
    </w:p>
    <w:p>
      <w:r>
        <w:rPr>
          <w:rFonts w:hint="eastAsia"/>
        </w:rPr>
        <w:t>知识采集作用是对依照业务需求对知识的采集，数据质量管知识库数据采集来源于数据质量问题处理系统以及相关政策法规，采集内容包括名称、内容等信息，支持附件的上传管理以及信息采集的动态维护和管理。</w:t>
      </w:r>
    </w:p>
    <w:p>
      <w:pPr>
        <w:pStyle w:val="7"/>
      </w:pPr>
      <w:bookmarkStart w:id="255" w:name="_Toc78909818"/>
      <w:r>
        <w:rPr>
          <w:rFonts w:hint="eastAsia"/>
        </w:rPr>
        <w:t>知识</w:t>
      </w:r>
      <w:bookmarkEnd w:id="255"/>
      <w:r>
        <w:rPr>
          <w:rFonts w:hint="eastAsia"/>
        </w:rPr>
        <w:t>审核</w:t>
      </w:r>
    </w:p>
    <w:p>
      <w:r>
        <w:rPr>
          <w:rFonts w:hint="eastAsia"/>
        </w:rPr>
        <w:t>知识审核用于对知识的审核管理，通过对即将发布的知识进行审核，将无效的知识信息进行过滤，将有效信息直观的呈现，为使用者提供有效的知识萃取，包括审核和拒绝操作。</w:t>
      </w:r>
    </w:p>
    <w:p>
      <w:pPr>
        <w:pStyle w:val="7"/>
      </w:pPr>
      <w:bookmarkStart w:id="256" w:name="_Toc78909823"/>
      <w:r>
        <w:rPr>
          <w:rFonts w:hint="eastAsia"/>
        </w:rPr>
        <w:t>知识查询</w:t>
      </w:r>
      <w:bookmarkEnd w:id="256"/>
    </w:p>
    <w:p>
      <w:r>
        <w:rPr>
          <w:rFonts w:hint="eastAsia"/>
        </w:rPr>
        <w:t>利用全文检索技术，基于知识目录以及知识标签体系可进行一站式的知识检索，通过检索结果了解并学习知识的内容，为数据质量工作的开展奠定了知识基础，有利的提升数据质量工作的效率。</w:t>
      </w:r>
    </w:p>
    <w:p>
      <w:pPr>
        <w:pStyle w:val="5"/>
      </w:pPr>
      <w:bookmarkStart w:id="257" w:name="_Hlk110238219"/>
      <w:bookmarkStart w:id="258" w:name="_Hlk110238563"/>
      <w:bookmarkStart w:id="259" w:name="_Toc99092998"/>
      <w:r>
        <w:rPr>
          <w:rFonts w:hint="eastAsia"/>
        </w:rPr>
        <w:t>市场主体数据质量评价指标</w:t>
      </w:r>
      <w:bookmarkEnd w:id="257"/>
    </w:p>
    <w:bookmarkEnd w:id="258"/>
    <w:p>
      <w:r>
        <w:t>市场主体数据质量评价指标</w:t>
      </w:r>
      <w:r>
        <w:rPr>
          <w:rFonts w:hint="eastAsia"/>
        </w:rPr>
        <w:t>严格按照，市场监管总局</w:t>
      </w:r>
      <w:r>
        <w:t>《市场主体数据质量评价指南》</w:t>
      </w:r>
      <w:r>
        <w:rPr>
          <w:rFonts w:hint="eastAsia"/>
        </w:rPr>
        <w:t>进行，其评价指标内容如下：</w:t>
      </w:r>
    </w:p>
    <w:p>
      <w:pPr>
        <w:pStyle w:val="6"/>
      </w:pPr>
      <w:bookmarkStart w:id="260" w:name="_Toc16216"/>
      <w:bookmarkStart w:id="261" w:name="_Toc1547"/>
      <w:bookmarkStart w:id="262" w:name="_Toc74931728"/>
      <w:bookmarkStart w:id="263" w:name="_Hlk110238398"/>
      <w:r>
        <w:rPr>
          <w:rFonts w:hint="eastAsia"/>
        </w:rPr>
        <w:t>指标设计要求</w:t>
      </w:r>
      <w:bookmarkEnd w:id="260"/>
      <w:bookmarkEnd w:id="261"/>
      <w:bookmarkEnd w:id="262"/>
    </w:p>
    <w:p>
      <w:r>
        <w:rPr>
          <w:rFonts w:hint="eastAsia"/>
        </w:rPr>
        <w:t>市场主体数据质量评价指标设计坚持综合性、开放性、简明性、正交性等原则：</w:t>
      </w:r>
    </w:p>
    <w:p>
      <w:r>
        <w:rPr>
          <w:rFonts w:hint="eastAsia"/>
        </w:rPr>
        <w:t>a)</w:t>
      </w:r>
      <w:r>
        <w:rPr>
          <w:rFonts w:hint="eastAsia"/>
        </w:rPr>
        <w:tab/>
      </w:r>
      <w:r>
        <w:rPr>
          <w:rFonts w:hint="eastAsia"/>
        </w:rPr>
        <w:t>综合性。针对评价对象特点与评价要求，定性与定量指标相结合，保证指标体系的全面、系统与完整。</w:t>
      </w:r>
    </w:p>
    <w:p>
      <w:r>
        <w:rPr>
          <w:rFonts w:hint="eastAsia"/>
        </w:rPr>
        <w:t>b)</w:t>
      </w:r>
      <w:r>
        <w:rPr>
          <w:rFonts w:hint="eastAsia"/>
        </w:rPr>
        <w:tab/>
      </w:r>
      <w:r>
        <w:rPr>
          <w:rFonts w:hint="eastAsia"/>
        </w:rPr>
        <w:t>开放性。经利益相关方认可，评价指标及权重可根据实际进行调整、增删，评价过程与子过程可迭代实施。</w:t>
      </w:r>
    </w:p>
    <w:p>
      <w:r>
        <w:rPr>
          <w:rFonts w:hint="eastAsia"/>
        </w:rPr>
        <w:t>c)</w:t>
      </w:r>
      <w:r>
        <w:rPr>
          <w:rFonts w:hint="eastAsia"/>
        </w:rPr>
        <w:tab/>
      </w:r>
      <w:r>
        <w:rPr>
          <w:rFonts w:hint="eastAsia"/>
        </w:rPr>
        <w:t>简明性。应重点突出、适度简单，确保评价指标的选择充分必要。</w:t>
      </w:r>
    </w:p>
    <w:p>
      <w:r>
        <w:rPr>
          <w:rFonts w:hint="eastAsia"/>
        </w:rPr>
        <w:t>d)</w:t>
      </w:r>
      <w:r>
        <w:rPr>
          <w:rFonts w:hint="eastAsia"/>
        </w:rPr>
        <w:tab/>
      </w:r>
      <w:r>
        <w:rPr>
          <w:rFonts w:hint="eastAsia"/>
        </w:rPr>
        <w:t>正交性。指标设计及其相应的数据采集应避免混淆歧义、交叉重叠。</w:t>
      </w:r>
    </w:p>
    <w:p>
      <w:pPr>
        <w:pStyle w:val="6"/>
      </w:pPr>
      <w:bookmarkStart w:id="264" w:name="_Toc23175"/>
      <w:bookmarkStart w:id="265" w:name="_Toc4805"/>
      <w:bookmarkStart w:id="266" w:name="_Toc74931729"/>
      <w:r>
        <w:rPr>
          <w:rFonts w:hint="eastAsia"/>
        </w:rPr>
        <w:t>指标框架</w:t>
      </w:r>
      <w:bookmarkEnd w:id="264"/>
      <w:bookmarkEnd w:id="265"/>
      <w:bookmarkEnd w:id="266"/>
    </w:p>
    <w:p>
      <w:r>
        <w:rPr>
          <w:rFonts w:hint="eastAsia"/>
        </w:rPr>
        <w:t>市场主体数据质量评价指标从固有质量特性、使用质量特性和用户自定义特性三个维度研究确定。固有质量特性侧重数据本身的质量特性，使用质量特性侧重实际使用中的数据质量特性，用户自定义特性侧重于用户个性化需求的质量特性。市场主体数据质量评价指标分级设立，可根据质量评价对象进行裁剪、扩展，评价指标可以横向或者纵向扩展。</w:t>
      </w:r>
    </w:p>
    <w:p>
      <w:r>
        <w:rPr>
          <w:rFonts w:hint="eastAsia"/>
        </w:rPr>
        <w:t>市场主体数据质量评价指标框架见下图：</w:t>
      </w:r>
    </w:p>
    <w:p>
      <w:r>
        <w:drawing>
          <wp:inline distT="0" distB="0" distL="0" distR="0">
            <wp:extent cx="5271770" cy="2036445"/>
            <wp:effectExtent l="0" t="0" r="508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1770" cy="2036445"/>
                    </a:xfrm>
                    <a:prstGeom prst="rect">
                      <a:avLst/>
                    </a:prstGeom>
                    <a:noFill/>
                    <a:ln>
                      <a:noFill/>
                    </a:ln>
                  </pic:spPr>
                </pic:pic>
              </a:graphicData>
            </a:graphic>
          </wp:inline>
        </w:drawing>
      </w:r>
    </w:p>
    <w:p>
      <w:pPr>
        <w:pStyle w:val="6"/>
      </w:pPr>
      <w:bookmarkStart w:id="267" w:name="_Toc7996"/>
      <w:bookmarkStart w:id="268" w:name="_Toc22060"/>
      <w:bookmarkStart w:id="269" w:name="_Toc74931730"/>
      <w:r>
        <w:rPr>
          <w:rFonts w:hint="eastAsia"/>
        </w:rPr>
        <w:t>指标维度</w:t>
      </w:r>
      <w:bookmarkEnd w:id="267"/>
      <w:bookmarkEnd w:id="268"/>
      <w:bookmarkEnd w:id="269"/>
    </w:p>
    <w:p>
      <w:pPr>
        <w:pStyle w:val="7"/>
      </w:pPr>
      <w:bookmarkStart w:id="270" w:name="_Toc28504"/>
      <w:r>
        <w:rPr>
          <w:rFonts w:hint="eastAsia"/>
        </w:rPr>
        <w:t>完整性</w:t>
      </w:r>
      <w:bookmarkEnd w:id="270"/>
    </w:p>
    <w:p>
      <w:r>
        <w:rPr>
          <w:rFonts w:hint="eastAsia"/>
        </w:rPr>
        <w:t>完整性指数据属性、数值或数据集的完整度。依据国家及市场监管部门制定的标准，按照各类应用系统的有关要求进行数据采集和数据录入，保证数据齐全，内容无缺项。市场主体数据质量完整性包括数据完整性和表关联完整性两方面。</w:t>
      </w:r>
    </w:p>
    <w:p>
      <w:r>
        <w:rPr>
          <w:rFonts w:hint="eastAsia"/>
        </w:rPr>
        <w:t>a) 数据完整性指根据标准或业务规定数据项不应为空时，数据项存在和缺失的程度。完整性的衡量结果以完整率表示。</w:t>
      </w:r>
    </w:p>
    <w:p>
      <w:r>
        <w:rPr>
          <w:rFonts w:hint="eastAsia"/>
        </w:rPr>
        <w:t>计算公式为：Q11=A11/B</w:t>
      </w:r>
    </w:p>
    <w:p>
      <w:r>
        <w:rPr>
          <w:rFonts w:hint="eastAsia"/>
        </w:rPr>
        <w:t>其中A11表示被评价数据项中符合完整性规则的数据量；</w:t>
      </w:r>
    </w:p>
    <w:p>
      <w:r>
        <w:rPr>
          <w:rFonts w:hint="eastAsia"/>
        </w:rPr>
        <w:t>B表示被评价数据项的数据总量；</w:t>
      </w:r>
    </w:p>
    <w:p>
      <w:r>
        <w:rPr>
          <w:rFonts w:hint="eastAsia"/>
        </w:rPr>
        <w:t>Q11为完整率，即数据完整性的测量结果，以百分比形式记录。</w:t>
      </w:r>
    </w:p>
    <w:p>
      <w:r>
        <w:rPr>
          <w:rFonts w:hint="eastAsia"/>
        </w:rPr>
        <w:t>b) 表关联完整性指多表之间相关联时，表中的记录存在和缺失的程度。例如，内资企业有企业基本信息（主表），但是找不到法定代表人信息（子表）。</w:t>
      </w:r>
    </w:p>
    <w:p>
      <w:r>
        <w:rPr>
          <w:rFonts w:hint="eastAsia"/>
        </w:rPr>
        <w:t>完整性的衡量结果以完整率表示。</w:t>
      </w:r>
    </w:p>
    <w:p>
      <w:r>
        <w:rPr>
          <w:rFonts w:hint="eastAsia"/>
        </w:rPr>
        <w:t>计算公式为： Q12=A12/B</w:t>
      </w:r>
    </w:p>
    <w:p>
      <w:r>
        <w:rPr>
          <w:rFonts w:hint="eastAsia"/>
        </w:rPr>
        <w:t>其中A12表示被评价表中符合主表关联完整性规则的记录量；</w:t>
      </w:r>
    </w:p>
    <w:p>
      <w:r>
        <w:rPr>
          <w:rFonts w:hint="eastAsia"/>
        </w:rPr>
        <w:t>B表示被评价主表的记录总量；</w:t>
      </w:r>
    </w:p>
    <w:p>
      <w:r>
        <w:rPr>
          <w:rFonts w:hint="eastAsia"/>
        </w:rPr>
        <w:t>Q12为完整率，即记录完整性的测量结果，以百分比形式记录。</w:t>
      </w:r>
    </w:p>
    <w:p>
      <w:pPr>
        <w:pStyle w:val="7"/>
        <w:rPr>
          <w:color w:val="auto"/>
        </w:rPr>
      </w:pPr>
      <w:bookmarkStart w:id="271" w:name="_Toc13868"/>
      <w:r>
        <w:rPr>
          <w:rFonts w:hint="eastAsia"/>
        </w:rPr>
        <w:t>准确性</w:t>
      </w:r>
      <w:bookmarkEnd w:id="271"/>
    </w:p>
    <w:p>
      <w:r>
        <w:rPr>
          <w:rFonts w:hint="eastAsia"/>
        </w:rPr>
        <w:t>准确性指数据项正确表示指标真实值的程度。市场主体数据应严格依据登记监管原始资料所记载的内容准确录入相关数据，确保数据项对应准确、代码对应准确、数据结构转换准确，如实反映市场主体登记或监管的实际情况。重点关注由人为录入、计算机单位换算和系统默认值等原因引起的日期、金额、联系方式、证件号码、地址等关键字段的准确性问题。</w:t>
      </w:r>
    </w:p>
    <w:p>
      <w:r>
        <w:rPr>
          <w:rFonts w:hint="eastAsia"/>
        </w:rPr>
        <w:t>准确性的衡量结果以准确率表示。</w:t>
      </w:r>
    </w:p>
    <w:p>
      <w:r>
        <w:rPr>
          <w:rFonts w:hint="eastAsia"/>
        </w:rPr>
        <w:t>计算公式为：Q2=A2/B</w:t>
      </w:r>
    </w:p>
    <w:p>
      <w:r>
        <w:rPr>
          <w:rFonts w:hint="eastAsia"/>
        </w:rPr>
        <w:t>其中A2表示被评价数据项中符合准确性规则的数据量；</w:t>
      </w:r>
    </w:p>
    <w:p>
      <w:r>
        <w:rPr>
          <w:rFonts w:hint="eastAsia"/>
        </w:rPr>
        <w:t>B表示被评价数据项的数据总量；</w:t>
      </w:r>
    </w:p>
    <w:p>
      <w:r>
        <w:rPr>
          <w:rFonts w:hint="eastAsia"/>
        </w:rPr>
        <w:t>Q2为准确率，即数据准确性的测量结果，以百分比形式记录。</w:t>
      </w:r>
    </w:p>
    <w:p>
      <w:pPr>
        <w:pStyle w:val="7"/>
        <w:rPr>
          <w:color w:val="auto"/>
        </w:rPr>
      </w:pPr>
      <w:bookmarkStart w:id="272" w:name="_Toc13603"/>
      <w:r>
        <w:rPr>
          <w:rFonts w:hint="eastAsia"/>
        </w:rPr>
        <w:t>规范性</w:t>
      </w:r>
      <w:bookmarkEnd w:id="272"/>
    </w:p>
    <w:p>
      <w:r>
        <w:rPr>
          <w:rFonts w:hint="eastAsia"/>
        </w:rPr>
        <w:t>规范性指数据项符合现行标准、惯例或法规的程度，或满足其语法定义（格式、类型、范围等属性）的程度。市场主体数据的规范性评价，包括：</w:t>
      </w:r>
    </w:p>
    <w:p>
      <w:r>
        <w:rPr>
          <w:rFonts w:hint="eastAsia"/>
        </w:rPr>
        <w:t>（1）代码使用规范评价，即符合代码的编码规则，且编码与最新的国标、地方标准相符合；</w:t>
      </w:r>
    </w:p>
    <w:p>
      <w:r>
        <w:rPr>
          <w:rFonts w:hint="eastAsia"/>
        </w:rPr>
        <w:t>（2）编码数据的冗余性评价；</w:t>
      </w:r>
    </w:p>
    <w:p>
      <w:r>
        <w:rPr>
          <w:rFonts w:hint="eastAsia"/>
        </w:rPr>
        <w:t>（3）关键字段符合业务要求，如名称、字号根据国家部委及市场监管部门制定的相关标准执行。</w:t>
      </w:r>
    </w:p>
    <w:p>
      <w:r>
        <w:rPr>
          <w:rFonts w:hint="eastAsia"/>
        </w:rPr>
        <w:t>规范性的衡量结果以规范率表示。</w:t>
      </w:r>
    </w:p>
    <w:p>
      <w:r>
        <w:rPr>
          <w:rFonts w:hint="eastAsia"/>
        </w:rPr>
        <w:t>计算公式为：Q3=A3/B</w:t>
      </w:r>
    </w:p>
    <w:p>
      <w:r>
        <w:rPr>
          <w:rFonts w:hint="eastAsia"/>
        </w:rPr>
        <w:t>其中A3表示被评价数据项中符合规范性规则的数据量；</w:t>
      </w:r>
    </w:p>
    <w:p>
      <w:r>
        <w:rPr>
          <w:rFonts w:hint="eastAsia"/>
        </w:rPr>
        <w:t>B表示被评价数据项的数据总量；</w:t>
      </w:r>
    </w:p>
    <w:p>
      <w:r>
        <w:rPr>
          <w:rFonts w:hint="eastAsia"/>
        </w:rPr>
        <w:t>Q3为规范率，即数据规范性的测量结果，以百分比形式记录。</w:t>
      </w:r>
    </w:p>
    <w:p>
      <w:pPr>
        <w:pStyle w:val="7"/>
        <w:rPr>
          <w:color w:val="auto"/>
        </w:rPr>
      </w:pPr>
      <w:bookmarkStart w:id="273" w:name="_Toc4885"/>
      <w:r>
        <w:rPr>
          <w:rFonts w:hint="eastAsia"/>
        </w:rPr>
        <w:t>及时性</w:t>
      </w:r>
      <w:bookmarkEnd w:id="273"/>
    </w:p>
    <w:p>
      <w:r>
        <w:rPr>
          <w:rFonts w:hint="eastAsia"/>
        </w:rPr>
        <w:t>及时性体现为从各级市场监管部门到省局、省局到总局的数据汇总、上传以及内部机构、相关政府部门是否及时和满足用户需求的程度。及时性要求按规定的时间周期内准确无误的传输数据，保证采集库的数据与业务数据库的数据在一定时间内同步，确保最新市场主体的客观信息进入数据库。</w:t>
      </w:r>
    </w:p>
    <w:p>
      <w:r>
        <w:rPr>
          <w:rFonts w:hint="eastAsia"/>
        </w:rPr>
        <w:t>通过比较数据的期望时间点（标准时间戳）与数据的实际可用时间点（实际时间戳）之间的偏差分析数据及时性。</w:t>
      </w:r>
    </w:p>
    <w:p>
      <w:r>
        <w:rPr>
          <w:rFonts w:hint="eastAsia"/>
        </w:rPr>
        <w:t>计算公式：Q4= A4/C</w:t>
      </w:r>
    </w:p>
    <w:p>
      <w:r>
        <w:rPr>
          <w:rFonts w:hint="eastAsia"/>
        </w:rPr>
        <w:t>其中，A4为指定字段或表的数据满足及时性评价的次数；</w:t>
      </w:r>
    </w:p>
    <w:p>
      <w:r>
        <w:rPr>
          <w:rFonts w:hint="eastAsia"/>
        </w:rPr>
        <w:t>C为一段时间内及时性评价的总次数；</w:t>
      </w:r>
    </w:p>
    <w:p>
      <w:r>
        <w:rPr>
          <w:rFonts w:hint="eastAsia"/>
        </w:rPr>
        <w:t>Q4为数据及时性的测量结果，以百分比形式记录。</w:t>
      </w:r>
    </w:p>
    <w:p>
      <w:pPr>
        <w:pStyle w:val="7"/>
        <w:rPr>
          <w:color w:val="auto"/>
        </w:rPr>
      </w:pPr>
      <w:bookmarkStart w:id="274" w:name="_Toc10544"/>
      <w:r>
        <w:rPr>
          <w:rFonts w:hint="eastAsia"/>
        </w:rPr>
        <w:t>真实性</w:t>
      </w:r>
      <w:bookmarkEnd w:id="274"/>
    </w:p>
    <w:p>
      <w:r>
        <w:rPr>
          <w:rFonts w:hint="eastAsia"/>
        </w:rPr>
        <w:t>真实性指市场主体在信息系统中的所记录的数据与其实体的现实情况相符合的程度，即数据必须真实准确的反映客观的实体存在或真实的业务。各地市场监管部门定期通过电话调查、实地走访、开展日常工作等方式，保证市场主体登记信息真实有效，符合市场主体经营现状，同时对市场主体的真实数量监测分析。</w:t>
      </w:r>
    </w:p>
    <w:p>
      <w:r>
        <w:rPr>
          <w:rFonts w:hint="eastAsia"/>
        </w:rPr>
        <w:t>由业务人员根据实际调查结果得出结论，给予“真实”、“与实际相符”或“不真实”、“与实际不符”的判断结果，并对结果进行统计。</w:t>
      </w:r>
    </w:p>
    <w:p>
      <w:r>
        <w:rPr>
          <w:rFonts w:hint="eastAsia"/>
        </w:rPr>
        <w:t>计算公式为：Q5= A5/C</w:t>
      </w:r>
    </w:p>
    <w:p>
      <w:r>
        <w:rPr>
          <w:rFonts w:hint="eastAsia"/>
        </w:rPr>
        <w:t>其中，C为真实性评价的总数或抽样总数；</w:t>
      </w:r>
    </w:p>
    <w:p>
      <w:r>
        <w:rPr>
          <w:rFonts w:hint="eastAsia"/>
        </w:rPr>
        <w:t>A5为被认定为“真实”或“与实际相符”的数据项数或记录条数；</w:t>
      </w:r>
    </w:p>
    <w:p>
      <w:r>
        <w:rPr>
          <w:rFonts w:hint="eastAsia"/>
        </w:rPr>
        <w:t>Q5为数据真实性的测量结果，以百分比形式记录。</w:t>
      </w:r>
    </w:p>
    <w:p>
      <w:pPr>
        <w:pStyle w:val="6"/>
        <w:rPr>
          <w:rFonts w:ascii="黑体" w:hAnsi="黑体" w:eastAsia="黑体"/>
          <w:color w:val="auto"/>
          <w:sz w:val="30"/>
          <w:szCs w:val="30"/>
        </w:rPr>
      </w:pPr>
      <w:bookmarkStart w:id="275" w:name="_Toc74931731"/>
      <w:bookmarkStart w:id="276" w:name="_Toc26716"/>
      <w:bookmarkStart w:id="277" w:name="_Toc21950"/>
      <w:r>
        <w:rPr>
          <w:rFonts w:hint="eastAsia"/>
        </w:rPr>
        <w:t>评价规则</w:t>
      </w:r>
      <w:bookmarkEnd w:id="275"/>
      <w:bookmarkEnd w:id="276"/>
      <w:bookmarkEnd w:id="277"/>
    </w:p>
    <w:p>
      <w:bookmarkStart w:id="278" w:name="_Hlk110238368"/>
      <w:r>
        <w:rPr>
          <w:rFonts w:hint="eastAsia"/>
        </w:rPr>
        <w:t>总局登记注册局和信息中心总结归纳了近年来历次数据质量检查、专项检查及现场检查发现的问题，以及各省级数据中心与总局在数据传输、上报等过程中存在的不同程度的问题，从完整性、准确性、规范性、及时性、真实性五个维度制定了评价规则，供各级市场监管部门参考使用。</w:t>
      </w:r>
      <w:bookmarkEnd w:id="278"/>
    </w:p>
    <w:p>
      <w:pPr>
        <w:rPr>
          <w:rFonts w:asciiTheme="minorEastAsia" w:hAnsiTheme="minorEastAsia"/>
        </w:rPr>
      </w:pPr>
      <w:r>
        <w:rPr>
          <w:rFonts w:hint="eastAsia" w:asciiTheme="minorEastAsia" w:hAnsiTheme="minorEastAsia"/>
        </w:rPr>
        <w:t>评价详细规则见“市场主体数据质量评价规则。</w:t>
      </w:r>
    </w:p>
    <w:p>
      <w:pPr>
        <w:pStyle w:val="5"/>
      </w:pPr>
      <w:r>
        <w:rPr>
          <w:rFonts w:hint="eastAsia"/>
        </w:rPr>
        <w:t>市场主体相关标准及引用文件</w:t>
      </w:r>
    </w:p>
    <w:tbl>
      <w:tblPr>
        <w:tblStyle w:val="30"/>
        <w:tblW w:w="5000" w:type="pct"/>
        <w:tblInd w:w="0" w:type="dxa"/>
        <w:tblLayout w:type="autofit"/>
        <w:tblCellMar>
          <w:top w:w="0" w:type="dxa"/>
          <w:left w:w="108" w:type="dxa"/>
          <w:bottom w:w="0" w:type="dxa"/>
          <w:right w:w="108" w:type="dxa"/>
        </w:tblCellMar>
      </w:tblPr>
      <w:tblGrid>
        <w:gridCol w:w="789"/>
        <w:gridCol w:w="1797"/>
        <w:gridCol w:w="6724"/>
      </w:tblGrid>
      <w:tr>
        <w:tblPrEx>
          <w:tblCellMar>
            <w:top w:w="0" w:type="dxa"/>
            <w:left w:w="108" w:type="dxa"/>
            <w:bottom w:w="0" w:type="dxa"/>
            <w:right w:w="108" w:type="dxa"/>
          </w:tblCellMar>
        </w:tblPrEx>
        <w:trPr>
          <w:trHeight w:val="280" w:hRule="atLeast"/>
        </w:trPr>
        <w:tc>
          <w:tcPr>
            <w:tcW w:w="424"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ind w:firstLine="33" w:firstLineChars="18"/>
              <w:jc w:val="center"/>
              <w:rPr>
                <w:rFonts w:ascii="宋体" w:hAnsi="宋体" w:cs="宋体"/>
                <w:b/>
                <w:color w:val="000000"/>
                <w:kern w:val="0"/>
                <w:sz w:val="18"/>
                <w:szCs w:val="18"/>
              </w:rPr>
            </w:pPr>
            <w:r>
              <w:rPr>
                <w:rFonts w:hint="eastAsia" w:ascii="宋体" w:hAnsi="宋体" w:cs="宋体"/>
                <w:b/>
                <w:color w:val="000000"/>
                <w:kern w:val="0"/>
                <w:sz w:val="18"/>
                <w:szCs w:val="18"/>
              </w:rPr>
              <w:t>序号</w:t>
            </w:r>
          </w:p>
        </w:tc>
        <w:tc>
          <w:tcPr>
            <w:tcW w:w="965" w:type="pct"/>
            <w:tcBorders>
              <w:top w:val="single" w:color="auto" w:sz="4" w:space="0"/>
              <w:left w:val="nil"/>
              <w:bottom w:val="single" w:color="auto" w:sz="4" w:space="0"/>
              <w:right w:val="single" w:color="auto" w:sz="4" w:space="0"/>
            </w:tcBorders>
            <w:shd w:val="clear" w:color="auto" w:fill="auto"/>
            <w:vAlign w:val="center"/>
          </w:tcPr>
          <w:p>
            <w:pPr>
              <w:widowControl/>
              <w:ind w:firstLine="33" w:firstLineChars="18"/>
              <w:jc w:val="center"/>
              <w:rPr>
                <w:rFonts w:ascii="宋体" w:hAnsi="宋体" w:cs="宋体"/>
                <w:b/>
                <w:color w:val="000000"/>
                <w:kern w:val="0"/>
                <w:sz w:val="18"/>
                <w:szCs w:val="18"/>
              </w:rPr>
            </w:pPr>
            <w:r>
              <w:rPr>
                <w:rFonts w:hint="eastAsia" w:ascii="宋体" w:hAnsi="宋体" w:cs="宋体"/>
                <w:b/>
                <w:color w:val="000000"/>
                <w:kern w:val="0"/>
                <w:sz w:val="18"/>
                <w:szCs w:val="18"/>
              </w:rPr>
              <w:t>业务类别</w:t>
            </w:r>
          </w:p>
        </w:tc>
        <w:tc>
          <w:tcPr>
            <w:tcW w:w="3611" w:type="pct"/>
            <w:tcBorders>
              <w:top w:val="single" w:color="auto" w:sz="4" w:space="0"/>
              <w:left w:val="nil"/>
              <w:bottom w:val="single" w:color="auto" w:sz="4" w:space="0"/>
              <w:right w:val="single" w:color="auto" w:sz="4" w:space="0"/>
            </w:tcBorders>
            <w:shd w:val="clear" w:color="auto" w:fill="auto"/>
            <w:vAlign w:val="center"/>
          </w:tcPr>
          <w:p>
            <w:pPr>
              <w:widowControl/>
              <w:ind w:firstLine="33" w:firstLineChars="18"/>
              <w:jc w:val="center"/>
              <w:rPr>
                <w:rFonts w:ascii="宋体" w:hAnsi="宋体" w:cs="宋体"/>
                <w:b/>
                <w:color w:val="000000"/>
                <w:kern w:val="0"/>
                <w:sz w:val="18"/>
                <w:szCs w:val="18"/>
              </w:rPr>
            </w:pPr>
            <w:r>
              <w:rPr>
                <w:rFonts w:hint="eastAsia" w:ascii="宋体" w:hAnsi="宋体" w:cs="宋体"/>
                <w:b/>
                <w:color w:val="000000"/>
                <w:kern w:val="0"/>
                <w:sz w:val="18"/>
                <w:szCs w:val="18"/>
              </w:rPr>
              <w:t>标准或文件</w:t>
            </w:r>
          </w:p>
        </w:tc>
      </w:tr>
      <w:tr>
        <w:tblPrEx>
          <w:tblCellMar>
            <w:top w:w="0" w:type="dxa"/>
            <w:left w:w="108" w:type="dxa"/>
            <w:bottom w:w="0" w:type="dxa"/>
            <w:right w:w="108" w:type="dxa"/>
          </w:tblCellMar>
        </w:tblPrEx>
        <w:trPr>
          <w:trHeight w:val="2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市场主体登记</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《GS7-2013 市场准入与退出数据规范-市场主体分册》</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《GS23-2013  农民专业合作社登记管理数据规范》</w:t>
            </w:r>
          </w:p>
        </w:tc>
      </w:tr>
      <w:tr>
        <w:tblPrEx>
          <w:tblCellMar>
            <w:top w:w="0" w:type="dxa"/>
            <w:left w:w="108" w:type="dxa"/>
            <w:bottom w:w="0" w:type="dxa"/>
            <w:right w:w="108" w:type="dxa"/>
          </w:tblCellMar>
        </w:tblPrEx>
        <w:trPr>
          <w:trHeight w:val="4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2</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企业开办</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《市场监管总局等六部门关于进一步优化企业开办服务的通知》</w:t>
            </w:r>
          </w:p>
        </w:tc>
      </w:tr>
      <w:tr>
        <w:tblPrEx>
          <w:tblCellMar>
            <w:top w:w="0" w:type="dxa"/>
            <w:left w:w="108" w:type="dxa"/>
            <w:bottom w:w="0" w:type="dxa"/>
            <w:right w:w="108" w:type="dxa"/>
          </w:tblCellMar>
        </w:tblPrEx>
        <w:trPr>
          <w:trHeight w:val="2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3</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注册资本实缴改认缴登记</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《工商总局办公厅关于印发《工商登记制度改革信息化建设技术方案(暂行)的通知》</w:t>
            </w:r>
          </w:p>
        </w:tc>
      </w:tr>
      <w:tr>
        <w:tblPrEx>
          <w:tblCellMar>
            <w:top w:w="0" w:type="dxa"/>
            <w:left w:w="108" w:type="dxa"/>
            <w:bottom w:w="0" w:type="dxa"/>
            <w:right w:w="108" w:type="dxa"/>
          </w:tblCellMar>
        </w:tblPrEx>
        <w:trPr>
          <w:trHeight w:val="4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4</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推行电子营业执照</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《GS53-2017 电子营业执照技术规范第1部分 数据规范》</w:t>
            </w:r>
            <w:r>
              <w:rPr>
                <w:rFonts w:hint="eastAsia" w:ascii="宋体" w:hAnsi="宋体" w:cs="宋体"/>
                <w:color w:val="000000"/>
                <w:kern w:val="0"/>
                <w:sz w:val="18"/>
                <w:szCs w:val="18"/>
              </w:rPr>
              <w:br w:type="textWrapping"/>
            </w:r>
            <w:r>
              <w:rPr>
                <w:rFonts w:hint="eastAsia" w:ascii="宋体" w:hAnsi="宋体" w:cs="宋体"/>
                <w:color w:val="000000"/>
                <w:kern w:val="0"/>
                <w:sz w:val="18"/>
                <w:szCs w:val="18"/>
              </w:rPr>
              <w:t>《GS54-2017 电子营业执照技术规范第2部分 格式规范》</w:t>
            </w:r>
          </w:p>
        </w:tc>
      </w:tr>
      <w:tr>
        <w:tblPrEx>
          <w:tblCellMar>
            <w:top w:w="0" w:type="dxa"/>
            <w:left w:w="108" w:type="dxa"/>
            <w:bottom w:w="0" w:type="dxa"/>
            <w:right w:w="108" w:type="dxa"/>
          </w:tblCellMar>
        </w:tblPrEx>
        <w:trPr>
          <w:trHeight w:val="72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5</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“多证合一”</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《GS44-2015 “三证合一”登记制度改革信息化数据规范》《GS49-2016 五证合一、一照一码数据规范（暂行）》《GS50-2016 个体工商户“两证整合”数据规范》《GS56—2018多证合一改革信息化数据规范（暂行）》《关于做好 “多证合一”信息公示工作的通知》</w:t>
            </w:r>
          </w:p>
        </w:tc>
      </w:tr>
      <w:tr>
        <w:tblPrEx>
          <w:tblCellMar>
            <w:top w:w="0" w:type="dxa"/>
            <w:left w:w="108" w:type="dxa"/>
            <w:bottom w:w="0" w:type="dxa"/>
            <w:right w:w="108" w:type="dxa"/>
          </w:tblCellMar>
        </w:tblPrEx>
        <w:trPr>
          <w:trHeight w:val="2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6</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先照后证</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《GS48-2016 国家企业信用信息公示系统2016年信息化数据规范》</w:t>
            </w:r>
          </w:p>
        </w:tc>
      </w:tr>
      <w:tr>
        <w:tblPrEx>
          <w:tblCellMar>
            <w:top w:w="0" w:type="dxa"/>
            <w:left w:w="108" w:type="dxa"/>
            <w:bottom w:w="0" w:type="dxa"/>
            <w:right w:w="108" w:type="dxa"/>
          </w:tblCellMar>
        </w:tblPrEx>
        <w:trPr>
          <w:trHeight w:val="2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7</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名称登记管理</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《市场监管总局关于做好取消企业名称预先核准行政许可事项衔接工作的通知》</w:t>
            </w:r>
          </w:p>
        </w:tc>
      </w:tr>
      <w:tr>
        <w:tblPrEx>
          <w:tblCellMar>
            <w:top w:w="0" w:type="dxa"/>
            <w:left w:w="108" w:type="dxa"/>
            <w:bottom w:w="0" w:type="dxa"/>
            <w:right w:w="108" w:type="dxa"/>
          </w:tblCellMar>
        </w:tblPrEx>
        <w:trPr>
          <w:trHeight w:val="2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8</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经营范围规范登记</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《市场监管总局办公厅关于全面开展经营范围登记规范化工作的通知》</w:t>
            </w:r>
          </w:p>
        </w:tc>
      </w:tr>
      <w:tr>
        <w:tblPrEx>
          <w:tblCellMar>
            <w:top w:w="0" w:type="dxa"/>
            <w:left w:w="108" w:type="dxa"/>
            <w:bottom w:w="0" w:type="dxa"/>
            <w:right w:w="108" w:type="dxa"/>
          </w:tblCellMar>
        </w:tblPrEx>
        <w:trPr>
          <w:trHeight w:val="2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9</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“证照分离”</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《“证照分离”数据共享方案、市场监管部门涉企经营许可电子证件数据规范》</w:t>
            </w:r>
          </w:p>
        </w:tc>
      </w:tr>
      <w:tr>
        <w:tblPrEx>
          <w:tblCellMar>
            <w:top w:w="0" w:type="dxa"/>
            <w:left w:w="108" w:type="dxa"/>
            <w:bottom w:w="0" w:type="dxa"/>
            <w:right w:w="108" w:type="dxa"/>
          </w:tblCellMar>
        </w:tblPrEx>
        <w:trPr>
          <w:trHeight w:val="4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10</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简化住所（主要经营场所）登记</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《工商总局关于做好新形势下企业登记注册工作有关问题的通知》</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《关于做好电子商务经营者登记工作的意见》</w:t>
            </w:r>
          </w:p>
        </w:tc>
      </w:tr>
      <w:tr>
        <w:tblPrEx>
          <w:tblCellMar>
            <w:top w:w="0" w:type="dxa"/>
            <w:left w:w="108" w:type="dxa"/>
            <w:bottom w:w="0" w:type="dxa"/>
            <w:right w:w="108" w:type="dxa"/>
          </w:tblCellMar>
        </w:tblPrEx>
        <w:trPr>
          <w:trHeight w:val="2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11</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实名登记</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《关于做好企业登记身份信息管理信息化建设工作的通知》</w:t>
            </w:r>
          </w:p>
        </w:tc>
      </w:tr>
      <w:tr>
        <w:tblPrEx>
          <w:tblCellMar>
            <w:top w:w="0" w:type="dxa"/>
            <w:left w:w="108" w:type="dxa"/>
            <w:bottom w:w="0" w:type="dxa"/>
            <w:right w:w="108" w:type="dxa"/>
          </w:tblCellMar>
        </w:tblPrEx>
        <w:trPr>
          <w:trHeight w:val="4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12</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注销便利化、简易注销</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《GS51-2017 企业简易注销登记数据规范》</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《GS58-2019注销便利化工作数据规范》</w:t>
            </w:r>
          </w:p>
        </w:tc>
      </w:tr>
      <w:tr>
        <w:tblPrEx>
          <w:tblCellMar>
            <w:top w:w="0" w:type="dxa"/>
            <w:left w:w="108" w:type="dxa"/>
            <w:bottom w:w="0" w:type="dxa"/>
            <w:right w:w="108" w:type="dxa"/>
          </w:tblCellMar>
        </w:tblPrEx>
        <w:trPr>
          <w:trHeight w:val="4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13</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取消企业集团核准登记等4项涉及市场监管职能的行政许可</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《GS57-2018 取消企业集团核准登记等4项行政许可等事项数据规范》</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《关于做好取消企业集团核准登记等4项行政许可等事项衔接工作的通知》</w:t>
            </w:r>
          </w:p>
        </w:tc>
      </w:tr>
      <w:tr>
        <w:tblPrEx>
          <w:tblCellMar>
            <w:top w:w="0" w:type="dxa"/>
            <w:left w:w="108" w:type="dxa"/>
            <w:bottom w:w="0" w:type="dxa"/>
            <w:right w:w="108" w:type="dxa"/>
          </w:tblCellMar>
        </w:tblPrEx>
        <w:trPr>
          <w:trHeight w:val="4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14</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统一社会信用代码</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GB 32100-2015 《法人和其他组织统一社会信用代码编码规则》</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GB 32100-2015XG1-2016 《法人和其他组织统一社会信用代码编码规则》国家标准第1号修改单</w:t>
            </w:r>
          </w:p>
        </w:tc>
      </w:tr>
      <w:tr>
        <w:tblPrEx>
          <w:tblCellMar>
            <w:top w:w="0" w:type="dxa"/>
            <w:left w:w="108" w:type="dxa"/>
            <w:bottom w:w="0" w:type="dxa"/>
            <w:right w:w="108" w:type="dxa"/>
          </w:tblCellMar>
        </w:tblPrEx>
        <w:trPr>
          <w:trHeight w:val="2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15</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国民经济行业分类</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《GB/T 4754-2017  国民经济行业分类》</w:t>
            </w:r>
          </w:p>
        </w:tc>
      </w:tr>
      <w:tr>
        <w:tblPrEx>
          <w:tblCellMar>
            <w:top w:w="0" w:type="dxa"/>
            <w:left w:w="108" w:type="dxa"/>
            <w:bottom w:w="0" w:type="dxa"/>
            <w:right w:w="108" w:type="dxa"/>
          </w:tblCellMar>
        </w:tblPrEx>
        <w:trPr>
          <w:trHeight w:val="72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16</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外商投资负面清单</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外商投资信息报告</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《关于贯彻落实&lt;外商投资法&gt;做好外商投资企业登记注册工作的通知》</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《市场监管总局 商务部 外汇局关于做好年报“多报合一”改革有关工作的通知》</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《商务部办公厅 市场监管总局办公厅关于进一步完善外商投资信息报告制度 加强和完善事中事后监管工作的通知》</w:t>
            </w:r>
          </w:p>
        </w:tc>
      </w:tr>
      <w:tr>
        <w:tblPrEx>
          <w:tblCellMar>
            <w:top w:w="0" w:type="dxa"/>
            <w:left w:w="108" w:type="dxa"/>
            <w:bottom w:w="0" w:type="dxa"/>
            <w:right w:w="108" w:type="dxa"/>
          </w:tblCellMar>
        </w:tblPrEx>
        <w:trPr>
          <w:trHeight w:val="4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17</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市场监管行政许可和政务服务</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《市场监管总局办公厅关于推进市场监管部门行政许可服务便民化的通知》</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《市场监管总局办公厅关于做好第一批“跨省通办”事项工作的通知》</w:t>
            </w:r>
          </w:p>
        </w:tc>
      </w:tr>
      <w:tr>
        <w:tblPrEx>
          <w:tblCellMar>
            <w:top w:w="0" w:type="dxa"/>
            <w:left w:w="108" w:type="dxa"/>
            <w:bottom w:w="0" w:type="dxa"/>
            <w:right w:w="108" w:type="dxa"/>
          </w:tblCellMar>
        </w:tblPrEx>
        <w:trPr>
          <w:trHeight w:val="28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18</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小微企业名录</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《市场监管总局办公厅关于修订小微企业名录判定标准和数据规范的通知》</w:t>
            </w:r>
          </w:p>
        </w:tc>
      </w:tr>
      <w:tr>
        <w:tblPrEx>
          <w:tblCellMar>
            <w:top w:w="0" w:type="dxa"/>
            <w:left w:w="108" w:type="dxa"/>
            <w:bottom w:w="0" w:type="dxa"/>
            <w:right w:w="108" w:type="dxa"/>
          </w:tblCellMar>
        </w:tblPrEx>
        <w:trPr>
          <w:trHeight w:val="720" w:hRule="atLeast"/>
        </w:trPr>
        <w:tc>
          <w:tcPr>
            <w:tcW w:w="424" w:type="pc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center"/>
              <w:rPr>
                <w:rFonts w:ascii="宋体" w:hAnsi="宋体" w:cs="宋体"/>
                <w:color w:val="000000"/>
                <w:kern w:val="0"/>
                <w:sz w:val="18"/>
                <w:szCs w:val="18"/>
              </w:rPr>
            </w:pPr>
            <w:r>
              <w:rPr>
                <w:rFonts w:hint="eastAsia" w:ascii="宋体" w:hAnsi="宋体" w:cs="宋体"/>
                <w:color w:val="000000"/>
                <w:kern w:val="0"/>
                <w:sz w:val="18"/>
                <w:szCs w:val="18"/>
              </w:rPr>
              <w:t>19</w:t>
            </w:r>
          </w:p>
        </w:tc>
        <w:tc>
          <w:tcPr>
            <w:tcW w:w="965"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信息共享、汇集</w:t>
            </w:r>
          </w:p>
        </w:tc>
        <w:tc>
          <w:tcPr>
            <w:tcW w:w="3611" w:type="pct"/>
            <w:tcBorders>
              <w:top w:val="nil"/>
              <w:left w:val="nil"/>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《工商总局 税务总局关于加强信息共享和联合监管的通知》</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《工商总局、商务部、海关总署关于印发&lt;推进“多证合一”改革 加强部门信息共享合作备忘录&gt;的通知》</w:t>
            </w:r>
          </w:p>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《市场监管总局办公厅关于提升信息化水平统一规范市场主体登记注册工作的通知》</w:t>
            </w:r>
          </w:p>
        </w:tc>
      </w:tr>
    </w:tbl>
    <w:p>
      <w:pPr>
        <w:pStyle w:val="5"/>
      </w:pPr>
      <w:r>
        <w:rPr>
          <w:rFonts w:hint="eastAsia"/>
        </w:rPr>
        <w:t>市场主体数据质量评价方法</w:t>
      </w:r>
    </w:p>
    <w:p>
      <w:pPr>
        <w:pStyle w:val="6"/>
      </w:pPr>
      <w:r>
        <w:rPr>
          <w:rFonts w:hint="eastAsia"/>
        </w:rPr>
        <w:t>概述</w:t>
      </w:r>
    </w:p>
    <w:p>
      <w:r>
        <w:rPr>
          <w:rFonts w:hint="eastAsia"/>
        </w:rPr>
        <w:t>数据质量评价方法主要分为定性方法、定量方法和综合方法。定性方法主要依靠评判者的主观判断。定量方法则提供客观的数量分析方法，结果直观。综合方法是将定性和定量两种方法有机结合。</w:t>
      </w:r>
    </w:p>
    <w:p>
      <w:pPr>
        <w:pStyle w:val="6"/>
      </w:pPr>
      <w:r>
        <w:t>定性方法</w:t>
      </w:r>
    </w:p>
    <w:p>
      <w:r>
        <w:rPr>
          <w:rFonts w:hint="eastAsia"/>
        </w:rPr>
        <w:t>定性方法一般基于一定的评价准则和要求，根据评价的目的和用户对象的需求，从定性的角度来进行描述与评价。评价结果有等级制、百分制或其他表示。</w:t>
      </w:r>
    </w:p>
    <w:p>
      <w:r>
        <w:rPr>
          <w:rFonts w:hint="eastAsia"/>
        </w:rPr>
        <w:t>采用定性评价方法时，一般会根据评价的目的和服务对象的需求，依据一定的准则和要求，确定相关评价标准或评价指标，建立赋值规则，再通过评价者、专家和用户等相关方打分或评定，汇总计算得出评价结果。</w:t>
      </w:r>
    </w:p>
    <w:p>
      <w:pPr>
        <w:pStyle w:val="6"/>
      </w:pPr>
      <w:r>
        <w:t>定量方法</w:t>
      </w:r>
    </w:p>
    <w:p>
      <w:r>
        <w:rPr>
          <w:rFonts w:hint="eastAsia"/>
        </w:rPr>
        <w:t>定量方法提供客观的数量分析方法，结果直观、具体。通过量化数值对评价对象进行优选、判别或分析。评价结果通常是由数值表示。</w:t>
      </w:r>
    </w:p>
    <w:p>
      <w:r>
        <w:rPr>
          <w:rFonts w:hint="eastAsia"/>
        </w:rPr>
        <w:t>采用定量评价方法时，一般会根据评价的目的和服务对象的具体环境，通过一定的技术手段或者获取方式，建立采集范围、计量单位，直接获取客观数据值，然后按照评价方案，汇总计算得出评价结果。</w:t>
      </w:r>
    </w:p>
    <w:p>
      <w:pPr>
        <w:pStyle w:val="6"/>
      </w:pPr>
      <w:r>
        <w:t>综合方法</w:t>
      </w:r>
    </w:p>
    <w:p>
      <w:r>
        <w:rPr>
          <w:rFonts w:hint="eastAsia"/>
        </w:rPr>
        <w:t>综合方法将定性和定量两种方法有机结合，从两个角度对数据资源质量进行综合性评价。</w:t>
      </w:r>
    </w:p>
    <w:p>
      <w:pPr>
        <w:pStyle w:val="5"/>
      </w:pPr>
      <w:r>
        <w:rPr>
          <w:rFonts w:hint="eastAsia"/>
        </w:rPr>
        <w:t>市场主体数据质量评价指标计算示例</w:t>
      </w:r>
    </w:p>
    <w:p>
      <w:pPr>
        <w:pStyle w:val="6"/>
      </w:pPr>
      <w:r>
        <w:rPr>
          <w:rFonts w:hint="eastAsia"/>
        </w:rPr>
        <w:t>权重设定</w:t>
      </w:r>
    </w:p>
    <w:p>
      <w:r>
        <w:rPr>
          <w:rFonts w:hint="eastAsia"/>
        </w:rPr>
        <w:t>各级市场监管部门结合本级信息化建设情况、历史数据质量检查结果、阶段性重点检查需求等不同因素，为数据项、指标维度等</w:t>
      </w:r>
      <w:r>
        <w:t>设定不同的权重。应确保同一级别的数据评价项和维度的权重和为</w:t>
      </w:r>
      <w:r>
        <w:rPr>
          <w:rFonts w:hint="eastAsia"/>
        </w:rPr>
        <w:t>1。</w:t>
      </w:r>
    </w:p>
    <w:p>
      <w:pPr>
        <w:pStyle w:val="6"/>
      </w:pPr>
      <w:r>
        <w:t>计算示例</w:t>
      </w:r>
    </w:p>
    <w:p>
      <w:r>
        <w:rPr>
          <w:rFonts w:hint="eastAsia"/>
        </w:rPr>
        <w:t>a</w:t>
      </w:r>
      <w:r>
        <w:t>)</w:t>
      </w:r>
      <w:r>
        <w:rPr>
          <w:rFonts w:hint="eastAsia"/>
        </w:rPr>
        <w:t>数据项</w:t>
      </w:r>
    </w:p>
    <w:p>
      <w:r>
        <w:rPr>
          <w:rFonts w:hint="eastAsia"/>
        </w:rPr>
        <w:t>假定某单位完整性评价的各数据项权重和评价结果（即完整率）如下表。</w:t>
      </w:r>
    </w:p>
    <w:tbl>
      <w:tblPr>
        <w:tblStyle w:val="30"/>
        <w:tblW w:w="9066" w:type="dxa"/>
        <w:jc w:val="center"/>
        <w:tblLayout w:type="fixed"/>
        <w:tblCellMar>
          <w:top w:w="0" w:type="dxa"/>
          <w:left w:w="108" w:type="dxa"/>
          <w:bottom w:w="0" w:type="dxa"/>
          <w:right w:w="108" w:type="dxa"/>
        </w:tblCellMar>
      </w:tblPr>
      <w:tblGrid>
        <w:gridCol w:w="988"/>
        <w:gridCol w:w="3827"/>
        <w:gridCol w:w="1418"/>
        <w:gridCol w:w="1842"/>
        <w:gridCol w:w="991"/>
      </w:tblGrid>
      <w:tr>
        <w:tblPrEx>
          <w:tblCellMar>
            <w:top w:w="0" w:type="dxa"/>
            <w:left w:w="108" w:type="dxa"/>
            <w:bottom w:w="0" w:type="dxa"/>
            <w:right w:w="108" w:type="dxa"/>
          </w:tblCellMar>
        </w:tblPrEx>
        <w:trPr>
          <w:trHeight w:val="285" w:hRule="atLeast"/>
          <w:jc w:val="center"/>
        </w:trPr>
        <w:tc>
          <w:tcPr>
            <w:tcW w:w="4815" w:type="dxa"/>
            <w:gridSpan w:val="2"/>
            <w:tcBorders>
              <w:top w:val="single" w:color="auto" w:sz="4" w:space="0"/>
              <w:left w:val="single" w:color="auto" w:sz="4" w:space="0"/>
              <w:bottom w:val="single" w:color="auto" w:sz="4" w:space="0"/>
              <w:right w:val="single" w:color="auto" w:sz="4" w:space="0"/>
            </w:tcBorders>
            <w:shd w:val="clear" w:color="auto" w:fill="FFFFFF" w:themeFill="background1"/>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数据项</w:t>
            </w:r>
          </w:p>
        </w:tc>
        <w:tc>
          <w:tcPr>
            <w:tcW w:w="1418" w:type="dxa"/>
            <w:tcBorders>
              <w:top w:val="single" w:color="auto" w:sz="4" w:space="0"/>
              <w:left w:val="single" w:color="auto" w:sz="4" w:space="0"/>
              <w:bottom w:val="single" w:color="auto" w:sz="4" w:space="0"/>
              <w:right w:val="single" w:color="auto" w:sz="4" w:space="0"/>
            </w:tcBorders>
            <w:shd w:val="clear" w:color="auto" w:fill="FFFFFF" w:themeFill="background1"/>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权重（%）</w:t>
            </w:r>
          </w:p>
        </w:tc>
        <w:tc>
          <w:tcPr>
            <w:tcW w:w="1842" w:type="dxa"/>
            <w:tcBorders>
              <w:top w:val="single" w:color="auto" w:sz="4" w:space="0"/>
              <w:left w:val="single" w:color="auto" w:sz="4" w:space="0"/>
              <w:bottom w:val="single" w:color="auto" w:sz="4" w:space="0"/>
              <w:right w:val="single" w:color="auto" w:sz="4" w:space="0"/>
            </w:tcBorders>
            <w:shd w:val="clear" w:color="auto" w:fill="FFFFFF" w:themeFill="background1"/>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评价结果（%）</w:t>
            </w:r>
          </w:p>
        </w:tc>
        <w:tc>
          <w:tcPr>
            <w:tcW w:w="991" w:type="dxa"/>
            <w:tcBorders>
              <w:top w:val="single" w:color="auto" w:sz="4" w:space="0"/>
              <w:left w:val="single" w:color="auto" w:sz="4" w:space="0"/>
              <w:bottom w:val="single" w:color="auto" w:sz="4" w:space="0"/>
              <w:right w:val="single" w:color="auto" w:sz="4" w:space="0"/>
            </w:tcBorders>
            <w:shd w:val="clear" w:color="auto" w:fill="FFFFFF" w:themeFill="background1"/>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得分</w:t>
            </w:r>
          </w:p>
        </w:tc>
      </w:tr>
      <w:tr>
        <w:tblPrEx>
          <w:tblCellMar>
            <w:top w:w="0" w:type="dxa"/>
            <w:left w:w="108" w:type="dxa"/>
            <w:bottom w:w="0" w:type="dxa"/>
            <w:right w:w="108" w:type="dxa"/>
          </w:tblCellMar>
        </w:tblPrEx>
        <w:trPr>
          <w:trHeight w:val="285" w:hRule="atLeast"/>
          <w:jc w:val="center"/>
        </w:trPr>
        <w:tc>
          <w:tcPr>
            <w:tcW w:w="988" w:type="dxa"/>
            <w:vMerge w:val="restart"/>
            <w:tcBorders>
              <w:top w:val="nil"/>
              <w:left w:val="single" w:color="auto" w:sz="4" w:space="0"/>
              <w:bottom w:val="single" w:color="auto" w:sz="4" w:space="0"/>
              <w:right w:val="single" w:color="auto" w:sz="4" w:space="0"/>
            </w:tcBorders>
            <w:shd w:val="clear" w:color="auto" w:fill="auto"/>
            <w:vAlign w:val="center"/>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完整性</w:t>
            </w:r>
          </w:p>
        </w:tc>
        <w:tc>
          <w:tcPr>
            <w:tcW w:w="3827" w:type="dxa"/>
            <w:tcBorders>
              <w:top w:val="nil"/>
              <w:left w:val="nil"/>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企业名称</w:t>
            </w:r>
          </w:p>
        </w:tc>
        <w:tc>
          <w:tcPr>
            <w:tcW w:w="1418" w:type="dxa"/>
            <w:tcBorders>
              <w:top w:val="single" w:color="auto" w:sz="4" w:space="0"/>
              <w:left w:val="nil"/>
              <w:bottom w:val="single" w:color="auto" w:sz="4" w:space="0"/>
              <w:right w:val="single" w:color="auto" w:sz="4" w:space="0"/>
            </w:tcBorders>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w:t>
            </w:r>
          </w:p>
        </w:tc>
        <w:tc>
          <w:tcPr>
            <w:tcW w:w="1842" w:type="dxa"/>
            <w:tcBorders>
              <w:top w:val="nil"/>
              <w:left w:val="single" w:color="auto" w:sz="4" w:space="0"/>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80</w:t>
            </w:r>
          </w:p>
        </w:tc>
        <w:tc>
          <w:tcPr>
            <w:tcW w:w="991" w:type="dxa"/>
            <w:tcBorders>
              <w:top w:val="nil"/>
              <w:left w:val="single" w:color="auto" w:sz="4" w:space="0"/>
              <w:bottom w:val="single" w:color="auto" w:sz="4" w:space="0"/>
              <w:right w:val="single" w:color="auto" w:sz="4" w:space="0"/>
            </w:tcBorders>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80</w:t>
            </w:r>
          </w:p>
        </w:tc>
      </w:tr>
      <w:tr>
        <w:tblPrEx>
          <w:tblCellMar>
            <w:top w:w="0" w:type="dxa"/>
            <w:left w:w="108" w:type="dxa"/>
            <w:bottom w:w="0" w:type="dxa"/>
            <w:right w:w="108" w:type="dxa"/>
          </w:tblCellMar>
        </w:tblPrEx>
        <w:trPr>
          <w:trHeight w:val="285" w:hRule="atLeast"/>
          <w:jc w:val="center"/>
        </w:trPr>
        <w:tc>
          <w:tcPr>
            <w:tcW w:w="988" w:type="dxa"/>
            <w:vMerge w:val="continue"/>
            <w:tcBorders>
              <w:top w:val="nil"/>
              <w:left w:val="single" w:color="auto" w:sz="4" w:space="0"/>
              <w:bottom w:val="single" w:color="auto" w:sz="4" w:space="0"/>
              <w:right w:val="single" w:color="auto" w:sz="4" w:space="0"/>
            </w:tcBorders>
            <w:vAlign w:val="center"/>
          </w:tcPr>
          <w:p>
            <w:pPr>
              <w:widowControl/>
              <w:ind w:firstLine="32" w:firstLineChars="18"/>
              <w:jc w:val="left"/>
              <w:rPr>
                <w:rFonts w:ascii="宋体" w:hAnsi="宋体" w:cs="宋体"/>
                <w:color w:val="000000"/>
                <w:kern w:val="0"/>
                <w:sz w:val="18"/>
                <w:szCs w:val="18"/>
              </w:rPr>
            </w:pPr>
          </w:p>
        </w:tc>
        <w:tc>
          <w:tcPr>
            <w:tcW w:w="3827" w:type="dxa"/>
            <w:tcBorders>
              <w:top w:val="nil"/>
              <w:left w:val="nil"/>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统一社会信用代码</w:t>
            </w:r>
          </w:p>
        </w:tc>
        <w:tc>
          <w:tcPr>
            <w:tcW w:w="1418" w:type="dxa"/>
            <w:tcBorders>
              <w:top w:val="single" w:color="auto" w:sz="4" w:space="0"/>
              <w:left w:val="nil"/>
              <w:bottom w:val="single" w:color="auto" w:sz="4" w:space="0"/>
              <w:right w:val="single" w:color="auto" w:sz="4" w:space="0"/>
            </w:tcBorders>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w:t>
            </w:r>
          </w:p>
        </w:tc>
        <w:tc>
          <w:tcPr>
            <w:tcW w:w="1842" w:type="dxa"/>
            <w:tcBorders>
              <w:top w:val="nil"/>
              <w:left w:val="single" w:color="auto" w:sz="4" w:space="0"/>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80</w:t>
            </w:r>
          </w:p>
        </w:tc>
        <w:tc>
          <w:tcPr>
            <w:tcW w:w="991" w:type="dxa"/>
            <w:tcBorders>
              <w:top w:val="nil"/>
              <w:left w:val="single" w:color="auto" w:sz="4" w:space="0"/>
              <w:bottom w:val="single" w:color="auto" w:sz="4" w:space="0"/>
              <w:right w:val="single" w:color="auto" w:sz="4" w:space="0"/>
            </w:tcBorders>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80</w:t>
            </w:r>
          </w:p>
        </w:tc>
      </w:tr>
      <w:tr>
        <w:tblPrEx>
          <w:tblCellMar>
            <w:top w:w="0" w:type="dxa"/>
            <w:left w:w="108" w:type="dxa"/>
            <w:bottom w:w="0" w:type="dxa"/>
            <w:right w:w="108" w:type="dxa"/>
          </w:tblCellMar>
        </w:tblPrEx>
        <w:trPr>
          <w:trHeight w:val="285" w:hRule="atLeast"/>
          <w:jc w:val="center"/>
        </w:trPr>
        <w:tc>
          <w:tcPr>
            <w:tcW w:w="988" w:type="dxa"/>
            <w:vMerge w:val="continue"/>
            <w:tcBorders>
              <w:top w:val="nil"/>
              <w:left w:val="single" w:color="auto" w:sz="4" w:space="0"/>
              <w:bottom w:val="single" w:color="auto" w:sz="4" w:space="0"/>
              <w:right w:val="single" w:color="auto" w:sz="4" w:space="0"/>
            </w:tcBorders>
            <w:vAlign w:val="center"/>
          </w:tcPr>
          <w:p>
            <w:pPr>
              <w:widowControl/>
              <w:ind w:firstLine="32" w:firstLineChars="18"/>
              <w:jc w:val="left"/>
              <w:rPr>
                <w:rFonts w:ascii="宋体" w:hAnsi="宋体" w:cs="宋体"/>
                <w:color w:val="000000"/>
                <w:kern w:val="0"/>
                <w:sz w:val="18"/>
                <w:szCs w:val="18"/>
              </w:rPr>
            </w:pPr>
          </w:p>
        </w:tc>
        <w:tc>
          <w:tcPr>
            <w:tcW w:w="3827" w:type="dxa"/>
            <w:tcBorders>
              <w:top w:val="nil"/>
              <w:left w:val="nil"/>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住所</w:t>
            </w:r>
          </w:p>
        </w:tc>
        <w:tc>
          <w:tcPr>
            <w:tcW w:w="1418" w:type="dxa"/>
            <w:tcBorders>
              <w:top w:val="single" w:color="auto" w:sz="4" w:space="0"/>
              <w:left w:val="nil"/>
              <w:bottom w:val="single" w:color="auto" w:sz="4" w:space="0"/>
              <w:right w:val="single" w:color="auto" w:sz="4" w:space="0"/>
            </w:tcBorders>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w:t>
            </w:r>
          </w:p>
        </w:tc>
        <w:tc>
          <w:tcPr>
            <w:tcW w:w="1842" w:type="dxa"/>
            <w:tcBorders>
              <w:top w:val="nil"/>
              <w:left w:val="single" w:color="auto" w:sz="4" w:space="0"/>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60</w:t>
            </w:r>
          </w:p>
        </w:tc>
        <w:tc>
          <w:tcPr>
            <w:tcW w:w="991" w:type="dxa"/>
            <w:tcBorders>
              <w:top w:val="nil"/>
              <w:left w:val="single" w:color="auto" w:sz="4" w:space="0"/>
              <w:bottom w:val="single" w:color="auto" w:sz="4" w:space="0"/>
              <w:right w:val="single" w:color="auto" w:sz="4" w:space="0"/>
            </w:tcBorders>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60</w:t>
            </w:r>
          </w:p>
        </w:tc>
      </w:tr>
      <w:tr>
        <w:tblPrEx>
          <w:tblCellMar>
            <w:top w:w="0" w:type="dxa"/>
            <w:left w:w="108" w:type="dxa"/>
            <w:bottom w:w="0" w:type="dxa"/>
            <w:right w:w="108" w:type="dxa"/>
          </w:tblCellMar>
        </w:tblPrEx>
        <w:trPr>
          <w:trHeight w:val="285" w:hRule="atLeast"/>
          <w:jc w:val="center"/>
        </w:trPr>
        <w:tc>
          <w:tcPr>
            <w:tcW w:w="988" w:type="dxa"/>
            <w:vMerge w:val="continue"/>
            <w:tcBorders>
              <w:top w:val="nil"/>
              <w:left w:val="single" w:color="auto" w:sz="4" w:space="0"/>
              <w:bottom w:val="single" w:color="auto" w:sz="4" w:space="0"/>
              <w:right w:val="single" w:color="auto" w:sz="4" w:space="0"/>
            </w:tcBorders>
            <w:vAlign w:val="center"/>
          </w:tcPr>
          <w:p>
            <w:pPr>
              <w:widowControl/>
              <w:ind w:firstLine="32" w:firstLineChars="18"/>
              <w:jc w:val="left"/>
              <w:rPr>
                <w:rFonts w:ascii="宋体" w:hAnsi="宋体" w:cs="宋体"/>
                <w:color w:val="000000"/>
                <w:kern w:val="0"/>
                <w:sz w:val="18"/>
                <w:szCs w:val="18"/>
              </w:rPr>
            </w:pPr>
          </w:p>
        </w:tc>
        <w:tc>
          <w:tcPr>
            <w:tcW w:w="3827" w:type="dxa"/>
            <w:tcBorders>
              <w:top w:val="nil"/>
              <w:left w:val="nil"/>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法定代表人（负责人）及证件号码</w:t>
            </w:r>
          </w:p>
        </w:tc>
        <w:tc>
          <w:tcPr>
            <w:tcW w:w="1418" w:type="dxa"/>
            <w:tcBorders>
              <w:top w:val="single" w:color="auto" w:sz="4" w:space="0"/>
              <w:left w:val="nil"/>
              <w:bottom w:val="single" w:color="auto" w:sz="4" w:space="0"/>
              <w:right w:val="single" w:color="auto" w:sz="4" w:space="0"/>
            </w:tcBorders>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20</w:t>
            </w:r>
          </w:p>
        </w:tc>
        <w:tc>
          <w:tcPr>
            <w:tcW w:w="1842" w:type="dxa"/>
            <w:tcBorders>
              <w:top w:val="nil"/>
              <w:left w:val="single" w:color="auto" w:sz="4" w:space="0"/>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90</w:t>
            </w:r>
          </w:p>
        </w:tc>
        <w:tc>
          <w:tcPr>
            <w:tcW w:w="991" w:type="dxa"/>
            <w:tcBorders>
              <w:top w:val="nil"/>
              <w:left w:val="single" w:color="auto" w:sz="4" w:space="0"/>
              <w:bottom w:val="single" w:color="auto" w:sz="4" w:space="0"/>
              <w:right w:val="single" w:color="auto" w:sz="4" w:space="0"/>
            </w:tcBorders>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90</w:t>
            </w:r>
          </w:p>
        </w:tc>
      </w:tr>
      <w:tr>
        <w:tblPrEx>
          <w:tblCellMar>
            <w:top w:w="0" w:type="dxa"/>
            <w:left w:w="108" w:type="dxa"/>
            <w:bottom w:w="0" w:type="dxa"/>
            <w:right w:w="108" w:type="dxa"/>
          </w:tblCellMar>
        </w:tblPrEx>
        <w:trPr>
          <w:trHeight w:val="285" w:hRule="atLeast"/>
          <w:jc w:val="center"/>
        </w:trPr>
        <w:tc>
          <w:tcPr>
            <w:tcW w:w="988" w:type="dxa"/>
            <w:vMerge w:val="continue"/>
            <w:tcBorders>
              <w:top w:val="nil"/>
              <w:left w:val="single" w:color="auto" w:sz="4" w:space="0"/>
              <w:bottom w:val="single" w:color="auto" w:sz="4" w:space="0"/>
              <w:right w:val="single" w:color="auto" w:sz="4" w:space="0"/>
            </w:tcBorders>
            <w:vAlign w:val="center"/>
          </w:tcPr>
          <w:p>
            <w:pPr>
              <w:widowControl/>
              <w:ind w:firstLine="32" w:firstLineChars="18"/>
              <w:jc w:val="left"/>
              <w:rPr>
                <w:rFonts w:ascii="宋体" w:hAnsi="宋体" w:cs="宋体"/>
                <w:color w:val="000000"/>
                <w:kern w:val="0"/>
                <w:sz w:val="18"/>
                <w:szCs w:val="18"/>
              </w:rPr>
            </w:pPr>
          </w:p>
        </w:tc>
        <w:tc>
          <w:tcPr>
            <w:tcW w:w="3827" w:type="dxa"/>
            <w:tcBorders>
              <w:top w:val="nil"/>
              <w:left w:val="nil"/>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注册资本（金）</w:t>
            </w:r>
          </w:p>
        </w:tc>
        <w:tc>
          <w:tcPr>
            <w:tcW w:w="1418" w:type="dxa"/>
            <w:tcBorders>
              <w:top w:val="single" w:color="auto" w:sz="4" w:space="0"/>
              <w:left w:val="nil"/>
              <w:bottom w:val="single" w:color="auto" w:sz="4" w:space="0"/>
              <w:right w:val="single" w:color="auto" w:sz="4" w:space="0"/>
            </w:tcBorders>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w:t>
            </w:r>
          </w:p>
        </w:tc>
        <w:tc>
          <w:tcPr>
            <w:tcW w:w="1842" w:type="dxa"/>
            <w:tcBorders>
              <w:top w:val="nil"/>
              <w:left w:val="single" w:color="auto" w:sz="4" w:space="0"/>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80</w:t>
            </w:r>
          </w:p>
        </w:tc>
        <w:tc>
          <w:tcPr>
            <w:tcW w:w="991" w:type="dxa"/>
            <w:tcBorders>
              <w:top w:val="nil"/>
              <w:left w:val="single" w:color="auto" w:sz="4" w:space="0"/>
              <w:bottom w:val="single" w:color="auto" w:sz="4" w:space="0"/>
              <w:right w:val="single" w:color="auto" w:sz="4" w:space="0"/>
            </w:tcBorders>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80</w:t>
            </w:r>
          </w:p>
        </w:tc>
      </w:tr>
      <w:tr>
        <w:tblPrEx>
          <w:tblCellMar>
            <w:top w:w="0" w:type="dxa"/>
            <w:left w:w="108" w:type="dxa"/>
            <w:bottom w:w="0" w:type="dxa"/>
            <w:right w:w="108" w:type="dxa"/>
          </w:tblCellMar>
        </w:tblPrEx>
        <w:trPr>
          <w:trHeight w:val="285" w:hRule="atLeast"/>
          <w:jc w:val="center"/>
        </w:trPr>
        <w:tc>
          <w:tcPr>
            <w:tcW w:w="988" w:type="dxa"/>
            <w:vMerge w:val="continue"/>
            <w:tcBorders>
              <w:top w:val="nil"/>
              <w:left w:val="single" w:color="auto" w:sz="4" w:space="0"/>
              <w:bottom w:val="single" w:color="auto" w:sz="4" w:space="0"/>
              <w:right w:val="single" w:color="auto" w:sz="4" w:space="0"/>
            </w:tcBorders>
            <w:vAlign w:val="center"/>
          </w:tcPr>
          <w:p>
            <w:pPr>
              <w:widowControl/>
              <w:ind w:firstLine="32" w:firstLineChars="18"/>
              <w:jc w:val="left"/>
              <w:rPr>
                <w:rFonts w:ascii="宋体" w:hAnsi="宋体" w:cs="宋体"/>
                <w:color w:val="000000"/>
                <w:kern w:val="0"/>
                <w:sz w:val="18"/>
                <w:szCs w:val="18"/>
              </w:rPr>
            </w:pPr>
          </w:p>
        </w:tc>
        <w:tc>
          <w:tcPr>
            <w:tcW w:w="3827" w:type="dxa"/>
            <w:tcBorders>
              <w:top w:val="nil"/>
              <w:left w:val="nil"/>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企业类型</w:t>
            </w:r>
          </w:p>
        </w:tc>
        <w:tc>
          <w:tcPr>
            <w:tcW w:w="1418" w:type="dxa"/>
            <w:tcBorders>
              <w:top w:val="single" w:color="auto" w:sz="4" w:space="0"/>
              <w:left w:val="nil"/>
              <w:bottom w:val="single" w:color="auto" w:sz="4" w:space="0"/>
              <w:right w:val="single" w:color="auto" w:sz="4" w:space="0"/>
            </w:tcBorders>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w:t>
            </w:r>
          </w:p>
        </w:tc>
        <w:tc>
          <w:tcPr>
            <w:tcW w:w="1842" w:type="dxa"/>
            <w:tcBorders>
              <w:top w:val="nil"/>
              <w:left w:val="single" w:color="auto" w:sz="4" w:space="0"/>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80</w:t>
            </w:r>
          </w:p>
        </w:tc>
        <w:tc>
          <w:tcPr>
            <w:tcW w:w="991" w:type="dxa"/>
            <w:tcBorders>
              <w:top w:val="nil"/>
              <w:left w:val="single" w:color="auto" w:sz="4" w:space="0"/>
              <w:bottom w:val="single" w:color="auto" w:sz="4" w:space="0"/>
              <w:right w:val="single" w:color="auto" w:sz="4" w:space="0"/>
            </w:tcBorders>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80</w:t>
            </w:r>
          </w:p>
        </w:tc>
      </w:tr>
      <w:tr>
        <w:tblPrEx>
          <w:tblCellMar>
            <w:top w:w="0" w:type="dxa"/>
            <w:left w:w="108" w:type="dxa"/>
            <w:bottom w:w="0" w:type="dxa"/>
            <w:right w:w="108" w:type="dxa"/>
          </w:tblCellMar>
        </w:tblPrEx>
        <w:trPr>
          <w:trHeight w:val="285" w:hRule="atLeast"/>
          <w:jc w:val="center"/>
        </w:trPr>
        <w:tc>
          <w:tcPr>
            <w:tcW w:w="988" w:type="dxa"/>
            <w:vMerge w:val="continue"/>
            <w:tcBorders>
              <w:top w:val="nil"/>
              <w:left w:val="single" w:color="auto" w:sz="4" w:space="0"/>
              <w:bottom w:val="single" w:color="auto" w:sz="4" w:space="0"/>
              <w:right w:val="single" w:color="auto" w:sz="4" w:space="0"/>
            </w:tcBorders>
            <w:vAlign w:val="center"/>
          </w:tcPr>
          <w:p>
            <w:pPr>
              <w:widowControl/>
              <w:ind w:firstLine="32" w:firstLineChars="18"/>
              <w:jc w:val="left"/>
              <w:rPr>
                <w:rFonts w:ascii="宋体" w:hAnsi="宋体" w:cs="宋体"/>
                <w:color w:val="000000"/>
                <w:kern w:val="0"/>
                <w:sz w:val="18"/>
                <w:szCs w:val="18"/>
              </w:rPr>
            </w:pPr>
          </w:p>
        </w:tc>
        <w:tc>
          <w:tcPr>
            <w:tcW w:w="3827" w:type="dxa"/>
            <w:tcBorders>
              <w:top w:val="nil"/>
              <w:left w:val="nil"/>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股东及出资额</w:t>
            </w:r>
          </w:p>
        </w:tc>
        <w:tc>
          <w:tcPr>
            <w:tcW w:w="1418" w:type="dxa"/>
            <w:tcBorders>
              <w:top w:val="single" w:color="auto" w:sz="4" w:space="0"/>
              <w:left w:val="nil"/>
              <w:bottom w:val="single" w:color="auto" w:sz="4" w:space="0"/>
              <w:right w:val="single" w:color="auto" w:sz="4" w:space="0"/>
            </w:tcBorders>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w:t>
            </w:r>
          </w:p>
        </w:tc>
        <w:tc>
          <w:tcPr>
            <w:tcW w:w="1842" w:type="dxa"/>
            <w:tcBorders>
              <w:top w:val="nil"/>
              <w:left w:val="single" w:color="auto" w:sz="4" w:space="0"/>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90</w:t>
            </w:r>
          </w:p>
        </w:tc>
        <w:tc>
          <w:tcPr>
            <w:tcW w:w="991" w:type="dxa"/>
            <w:tcBorders>
              <w:top w:val="nil"/>
              <w:left w:val="single" w:color="auto" w:sz="4" w:space="0"/>
              <w:bottom w:val="single" w:color="auto" w:sz="4" w:space="0"/>
              <w:right w:val="single" w:color="auto" w:sz="4" w:space="0"/>
            </w:tcBorders>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90</w:t>
            </w:r>
          </w:p>
        </w:tc>
      </w:tr>
      <w:tr>
        <w:tblPrEx>
          <w:tblCellMar>
            <w:top w:w="0" w:type="dxa"/>
            <w:left w:w="108" w:type="dxa"/>
            <w:bottom w:w="0" w:type="dxa"/>
            <w:right w:w="108" w:type="dxa"/>
          </w:tblCellMar>
        </w:tblPrEx>
        <w:trPr>
          <w:trHeight w:val="285" w:hRule="atLeast"/>
          <w:jc w:val="center"/>
        </w:trPr>
        <w:tc>
          <w:tcPr>
            <w:tcW w:w="988" w:type="dxa"/>
            <w:vMerge w:val="continue"/>
            <w:tcBorders>
              <w:top w:val="nil"/>
              <w:left w:val="single" w:color="auto" w:sz="4" w:space="0"/>
              <w:bottom w:val="single" w:color="auto" w:sz="4" w:space="0"/>
              <w:right w:val="single" w:color="auto" w:sz="4" w:space="0"/>
            </w:tcBorders>
            <w:vAlign w:val="center"/>
          </w:tcPr>
          <w:p>
            <w:pPr>
              <w:widowControl/>
              <w:ind w:firstLine="32" w:firstLineChars="18"/>
              <w:jc w:val="left"/>
              <w:rPr>
                <w:rFonts w:ascii="宋体" w:hAnsi="宋体" w:cs="宋体"/>
                <w:color w:val="000000"/>
                <w:kern w:val="0"/>
                <w:sz w:val="18"/>
                <w:szCs w:val="18"/>
              </w:rPr>
            </w:pPr>
          </w:p>
        </w:tc>
        <w:tc>
          <w:tcPr>
            <w:tcW w:w="3827" w:type="dxa"/>
            <w:tcBorders>
              <w:top w:val="nil"/>
              <w:left w:val="nil"/>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经营范围</w:t>
            </w:r>
          </w:p>
        </w:tc>
        <w:tc>
          <w:tcPr>
            <w:tcW w:w="1418" w:type="dxa"/>
            <w:tcBorders>
              <w:top w:val="single" w:color="auto" w:sz="4" w:space="0"/>
              <w:left w:val="nil"/>
              <w:bottom w:val="single" w:color="auto" w:sz="4" w:space="0"/>
              <w:right w:val="single" w:color="auto" w:sz="4" w:space="0"/>
            </w:tcBorders>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20</w:t>
            </w:r>
          </w:p>
        </w:tc>
        <w:tc>
          <w:tcPr>
            <w:tcW w:w="1842" w:type="dxa"/>
            <w:tcBorders>
              <w:top w:val="nil"/>
              <w:left w:val="single" w:color="auto" w:sz="4" w:space="0"/>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65</w:t>
            </w:r>
          </w:p>
        </w:tc>
        <w:tc>
          <w:tcPr>
            <w:tcW w:w="991" w:type="dxa"/>
            <w:tcBorders>
              <w:top w:val="nil"/>
              <w:left w:val="single" w:color="auto" w:sz="4" w:space="0"/>
              <w:bottom w:val="single" w:color="auto" w:sz="4" w:space="0"/>
              <w:right w:val="single" w:color="auto" w:sz="4" w:space="0"/>
            </w:tcBorders>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65</w:t>
            </w:r>
          </w:p>
        </w:tc>
      </w:tr>
      <w:tr>
        <w:tblPrEx>
          <w:tblCellMar>
            <w:top w:w="0" w:type="dxa"/>
            <w:left w:w="108" w:type="dxa"/>
            <w:bottom w:w="0" w:type="dxa"/>
            <w:right w:w="108" w:type="dxa"/>
          </w:tblCellMar>
        </w:tblPrEx>
        <w:trPr>
          <w:trHeight w:val="285" w:hRule="atLeast"/>
          <w:jc w:val="center"/>
        </w:trPr>
        <w:tc>
          <w:tcPr>
            <w:tcW w:w="988" w:type="dxa"/>
            <w:vMerge w:val="continue"/>
            <w:tcBorders>
              <w:top w:val="nil"/>
              <w:left w:val="single" w:color="auto" w:sz="4" w:space="0"/>
              <w:bottom w:val="single" w:color="auto" w:sz="4" w:space="0"/>
              <w:right w:val="single" w:color="auto" w:sz="4" w:space="0"/>
            </w:tcBorders>
            <w:vAlign w:val="center"/>
          </w:tcPr>
          <w:p>
            <w:pPr>
              <w:widowControl/>
              <w:ind w:firstLine="32" w:firstLineChars="18"/>
              <w:jc w:val="left"/>
              <w:rPr>
                <w:rFonts w:ascii="宋体" w:hAnsi="宋体" w:cs="宋体"/>
                <w:color w:val="000000"/>
                <w:kern w:val="0"/>
                <w:sz w:val="18"/>
                <w:szCs w:val="18"/>
              </w:rPr>
            </w:pPr>
          </w:p>
        </w:tc>
        <w:tc>
          <w:tcPr>
            <w:tcW w:w="3827" w:type="dxa"/>
            <w:tcBorders>
              <w:top w:val="nil"/>
              <w:left w:val="nil"/>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总</w:t>
            </w:r>
            <w:r>
              <w:rPr>
                <w:rFonts w:ascii="宋体" w:hAnsi="宋体" w:cs="宋体"/>
                <w:color w:val="000000"/>
                <w:kern w:val="0"/>
                <w:sz w:val="18"/>
                <w:szCs w:val="18"/>
              </w:rPr>
              <w:t>计</w:t>
            </w:r>
          </w:p>
        </w:tc>
        <w:tc>
          <w:tcPr>
            <w:tcW w:w="1418" w:type="dxa"/>
            <w:tcBorders>
              <w:top w:val="single" w:color="auto" w:sz="4" w:space="0"/>
              <w:left w:val="nil"/>
              <w:bottom w:val="single" w:color="auto" w:sz="4" w:space="0"/>
              <w:right w:val="single" w:color="auto" w:sz="4" w:space="0"/>
            </w:tcBorders>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00</w:t>
            </w:r>
          </w:p>
        </w:tc>
        <w:tc>
          <w:tcPr>
            <w:tcW w:w="1842" w:type="dxa"/>
            <w:tcBorders>
              <w:top w:val="nil"/>
              <w:left w:val="single" w:color="auto" w:sz="4" w:space="0"/>
              <w:bottom w:val="single" w:color="auto" w:sz="4" w:space="0"/>
              <w:right w:val="single" w:color="auto" w:sz="4" w:space="0"/>
            </w:tcBorders>
            <w:shd w:val="clear" w:color="auto" w:fill="auto"/>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7</w:t>
            </w:r>
            <w:r>
              <w:rPr>
                <w:rFonts w:ascii="宋体" w:hAnsi="宋体" w:cs="宋体"/>
                <w:color w:val="000000"/>
                <w:kern w:val="0"/>
                <w:sz w:val="18"/>
                <w:szCs w:val="18"/>
              </w:rPr>
              <w:t>8</w:t>
            </w:r>
          </w:p>
        </w:tc>
        <w:tc>
          <w:tcPr>
            <w:tcW w:w="991" w:type="dxa"/>
            <w:tcBorders>
              <w:top w:val="nil"/>
              <w:left w:val="single" w:color="auto" w:sz="4" w:space="0"/>
              <w:bottom w:val="single" w:color="auto" w:sz="4" w:space="0"/>
              <w:right w:val="single" w:color="auto" w:sz="4" w:space="0"/>
            </w:tcBorders>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7</w:t>
            </w:r>
            <w:r>
              <w:rPr>
                <w:rFonts w:ascii="宋体" w:hAnsi="宋体" w:cs="宋体"/>
                <w:color w:val="000000"/>
                <w:kern w:val="0"/>
                <w:sz w:val="18"/>
                <w:szCs w:val="18"/>
              </w:rPr>
              <w:t>8</w:t>
            </w:r>
          </w:p>
        </w:tc>
      </w:tr>
    </w:tbl>
    <w:p>
      <w:r>
        <w:rPr>
          <w:rFonts w:hint="eastAsia"/>
        </w:rPr>
        <w:t>其每项得分为完整率×1</w:t>
      </w:r>
      <w:r>
        <w:t>00</w:t>
      </w:r>
      <w:r>
        <w:rPr>
          <w:rFonts w:hint="eastAsia"/>
        </w:rPr>
        <w:t>。如</w:t>
      </w:r>
      <w:r>
        <w:t>企业名称完整性评价结果</w:t>
      </w:r>
      <w:r>
        <w:rPr>
          <w:rFonts w:hint="eastAsia"/>
        </w:rPr>
        <w:t>为8</w:t>
      </w:r>
      <w:r>
        <w:t>0</w:t>
      </w:r>
      <w:r>
        <w:rPr>
          <w:rFonts w:hint="eastAsia"/>
        </w:rPr>
        <w:t>%，</w:t>
      </w:r>
      <w:r>
        <w:t>则企业名称数据项完整性得分为</w:t>
      </w:r>
      <w:r>
        <w:rPr>
          <w:rFonts w:hint="eastAsia"/>
        </w:rPr>
        <w:t>8</w:t>
      </w:r>
      <w:r>
        <w:t>0分</w:t>
      </w:r>
      <w:r>
        <w:rPr>
          <w:rFonts w:hint="eastAsia"/>
        </w:rPr>
        <w:t>。</w:t>
      </w:r>
    </w:p>
    <w:p>
      <w:r>
        <w:rPr>
          <w:rFonts w:hint="eastAsia"/>
        </w:rPr>
        <w:t>该单位完整性评价得分为各数据项得分×权重系数后求和。具体得分为：</w:t>
      </w:r>
    </w:p>
    <w:p>
      <w:r>
        <w:rPr>
          <w:rFonts w:hint="eastAsia"/>
        </w:rPr>
        <w:t>80×0.1＋8</w:t>
      </w:r>
      <w:r>
        <w:t>0</w:t>
      </w:r>
      <w:r>
        <w:rPr>
          <w:rFonts w:hint="eastAsia"/>
        </w:rPr>
        <w:t>×0.1＋60×0.1＋90×0.</w:t>
      </w:r>
      <w:r>
        <w:t>2</w:t>
      </w:r>
      <w:r>
        <w:rPr>
          <w:rFonts w:hint="eastAsia"/>
        </w:rPr>
        <w:t>＋80×0.1＋80×0.1＋90×0.1＋</w:t>
      </w:r>
      <w:r>
        <w:t>65</w:t>
      </w:r>
      <w:r>
        <w:rPr>
          <w:rFonts w:hint="eastAsia"/>
        </w:rPr>
        <w:t>×0.</w:t>
      </w:r>
      <w:r>
        <w:t>2</w:t>
      </w:r>
      <w:r>
        <w:rPr>
          <w:rFonts w:hint="eastAsia"/>
        </w:rPr>
        <w:t>=7</w:t>
      </w:r>
      <w:r>
        <w:t>8</w:t>
      </w:r>
      <w:r>
        <w:rPr>
          <w:rFonts w:hint="eastAsia"/>
        </w:rPr>
        <w:t>（分）</w:t>
      </w:r>
    </w:p>
    <w:p>
      <w:r>
        <w:rPr>
          <w:rFonts w:hint="eastAsia"/>
        </w:rPr>
        <w:t>b</w:t>
      </w:r>
      <w:r>
        <w:t xml:space="preserve">) </w:t>
      </w:r>
      <w:r>
        <w:rPr>
          <w:rFonts w:hint="eastAsia"/>
        </w:rPr>
        <w:t>指标</w:t>
      </w:r>
      <w:r>
        <w:t>维度</w:t>
      </w:r>
    </w:p>
    <w:p>
      <w:r>
        <w:rPr>
          <w:rFonts w:hint="eastAsia"/>
        </w:rPr>
        <w:t>假定该单位各指标维度的权重和评价结果如下表：</w:t>
      </w:r>
    </w:p>
    <w:tbl>
      <w:tblPr>
        <w:tblStyle w:val="31"/>
        <w:tblW w:w="8189"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5"/>
        <w:gridCol w:w="2732"/>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指标维度</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权重（%）</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评价结果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完整性</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30</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准确性</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3</w:t>
            </w:r>
            <w:r>
              <w:rPr>
                <w:rFonts w:ascii="宋体" w:hAnsi="宋体" w:cs="宋体"/>
                <w:color w:val="000000"/>
                <w:kern w:val="0"/>
                <w:sz w:val="18"/>
                <w:szCs w:val="18"/>
              </w:rPr>
              <w:t>0</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8</w:t>
            </w:r>
            <w:r>
              <w:rPr>
                <w:rFonts w:ascii="宋体" w:hAnsi="宋体" w:cs="宋体"/>
                <w:color w:val="000000"/>
                <w:kern w:val="0"/>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规范性</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20</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9</w:t>
            </w:r>
            <w:r>
              <w:rPr>
                <w:rFonts w:ascii="宋体" w:hAnsi="宋体" w:cs="宋体"/>
                <w:color w:val="000000"/>
                <w:kern w:val="0"/>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及时性</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9</w:t>
            </w:r>
            <w:r>
              <w:rPr>
                <w:rFonts w:ascii="宋体" w:hAnsi="宋体" w:cs="宋体"/>
                <w:color w:val="000000"/>
                <w:kern w:val="0"/>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真实性</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9</w:t>
            </w:r>
            <w:r>
              <w:rPr>
                <w:rFonts w:ascii="宋体" w:hAnsi="宋体" w:cs="宋体"/>
                <w:color w:val="000000"/>
                <w:kern w:val="0"/>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总计</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00</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89</w:t>
            </w:r>
          </w:p>
        </w:tc>
      </w:tr>
    </w:tbl>
    <w:p>
      <w:r>
        <w:rPr>
          <w:rFonts w:hint="eastAsia"/>
        </w:rPr>
        <w:t>该单位数据质量规则评价得分为各指标维度得分×权重系数后求和。具体得分为：</w:t>
      </w:r>
    </w:p>
    <w:p>
      <w:r>
        <w:t>78</w:t>
      </w:r>
      <w:r>
        <w:rPr>
          <w:rFonts w:hint="eastAsia"/>
        </w:rPr>
        <w:t>×0.</w:t>
      </w:r>
      <w:r>
        <w:t>3</w:t>
      </w:r>
      <w:r>
        <w:rPr>
          <w:rFonts w:hint="eastAsia"/>
        </w:rPr>
        <w:t>＋8</w:t>
      </w:r>
      <w:r>
        <w:t>5</w:t>
      </w:r>
      <w:r>
        <w:rPr>
          <w:rFonts w:hint="eastAsia"/>
        </w:rPr>
        <w:t>×0.</w:t>
      </w:r>
      <w:r>
        <w:t>3</w:t>
      </w:r>
      <w:r>
        <w:rPr>
          <w:rFonts w:hint="eastAsia"/>
        </w:rPr>
        <w:t>＋</w:t>
      </w:r>
      <w:r>
        <w:t>9</w:t>
      </w:r>
      <w:r>
        <w:rPr>
          <w:rFonts w:hint="eastAsia"/>
        </w:rPr>
        <w:t>0×0.</w:t>
      </w:r>
      <w:r>
        <w:t>2</w:t>
      </w:r>
      <w:r>
        <w:rPr>
          <w:rFonts w:hint="eastAsia"/>
        </w:rPr>
        <w:t>＋9</w:t>
      </w:r>
      <w:r>
        <w:t>5</w:t>
      </w:r>
      <w:r>
        <w:rPr>
          <w:rFonts w:hint="eastAsia"/>
        </w:rPr>
        <w:t>×0.</w:t>
      </w:r>
      <w:r>
        <w:t>1</w:t>
      </w:r>
      <w:r>
        <w:rPr>
          <w:rFonts w:hint="eastAsia"/>
        </w:rPr>
        <w:t>＋90×0.1=</w:t>
      </w:r>
      <w:r>
        <w:t>85.4</w:t>
      </w:r>
      <w:r>
        <w:rPr>
          <w:rFonts w:hint="eastAsia"/>
        </w:rPr>
        <w:t>（分）</w:t>
      </w:r>
    </w:p>
    <w:p>
      <w:r>
        <w:rPr>
          <w:rFonts w:hint="eastAsia"/>
        </w:rPr>
        <w:t>c）其它</w:t>
      </w:r>
      <w:r>
        <w:t>评价项</w:t>
      </w:r>
    </w:p>
    <w:p>
      <w:r>
        <w:t>如该单位评价期内向上级单位数据共享</w:t>
      </w:r>
      <w:r>
        <w:rPr>
          <w:rFonts w:hint="eastAsia"/>
        </w:rPr>
        <w:t>1</w:t>
      </w:r>
      <w:r>
        <w:t>0次</w:t>
      </w:r>
      <w:r>
        <w:rPr>
          <w:rFonts w:hint="eastAsia"/>
        </w:rPr>
        <w:t>，</w:t>
      </w:r>
      <w:r>
        <w:t>成功</w:t>
      </w:r>
      <w:r>
        <w:rPr>
          <w:rFonts w:hint="eastAsia"/>
        </w:rPr>
        <w:t>9次，则数据共享得分为9</w:t>
      </w:r>
      <w:r>
        <w:t>0分</w:t>
      </w:r>
      <w:r>
        <w:rPr>
          <w:rFonts w:hint="eastAsia"/>
        </w:rPr>
        <w:t>。综合该单位其它评价项的权重和评价结果，该单位数据评价结果总得分为：</w:t>
      </w:r>
    </w:p>
    <w:p>
      <w:r>
        <w:t>9</w:t>
      </w:r>
      <w:r>
        <w:rPr>
          <w:rFonts w:hint="eastAsia"/>
        </w:rPr>
        <w:t>0×0.</w:t>
      </w:r>
      <w:r>
        <w:t>2</w:t>
      </w:r>
      <w:r>
        <w:rPr>
          <w:rFonts w:hint="eastAsia"/>
        </w:rPr>
        <w:t>＋8</w:t>
      </w:r>
      <w:r>
        <w:t>5</w:t>
      </w:r>
      <w:r>
        <w:rPr>
          <w:rFonts w:hint="eastAsia"/>
        </w:rPr>
        <w:t>×0.</w:t>
      </w:r>
      <w:r>
        <w:t>2</w:t>
      </w:r>
      <w:r>
        <w:rPr>
          <w:rFonts w:hint="eastAsia"/>
        </w:rPr>
        <w:t>＋</w:t>
      </w:r>
      <w:r>
        <w:t>9</w:t>
      </w:r>
      <w:r>
        <w:rPr>
          <w:rFonts w:hint="eastAsia"/>
        </w:rPr>
        <w:t>0×0.</w:t>
      </w:r>
      <w:r>
        <w:t>2</w:t>
      </w:r>
      <w:r>
        <w:rPr>
          <w:rFonts w:hint="eastAsia"/>
        </w:rPr>
        <w:t>＋</w:t>
      </w:r>
      <w:r>
        <w:t>85.4</w:t>
      </w:r>
      <w:r>
        <w:rPr>
          <w:rFonts w:hint="eastAsia"/>
        </w:rPr>
        <w:t>×0.</w:t>
      </w:r>
      <w:r>
        <w:t>4</w:t>
      </w:r>
      <w:r>
        <w:rPr>
          <w:rFonts w:hint="eastAsia"/>
        </w:rPr>
        <w:t>=</w:t>
      </w:r>
      <w:r>
        <w:t>87.16</w:t>
      </w:r>
      <w:r>
        <w:rPr>
          <w:rFonts w:hint="eastAsia"/>
        </w:rPr>
        <w:t>（分）</w:t>
      </w:r>
    </w:p>
    <w:tbl>
      <w:tblPr>
        <w:tblStyle w:val="31"/>
        <w:tblW w:w="8189"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5"/>
        <w:gridCol w:w="2732"/>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指标维度</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权重（%）</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评价结果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数据采集</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20</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数据汇集</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20</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8</w:t>
            </w:r>
            <w:r>
              <w:rPr>
                <w:rFonts w:ascii="宋体" w:hAnsi="宋体" w:cs="宋体"/>
                <w:color w:val="000000"/>
                <w:kern w:val="0"/>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数据共享</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20</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9</w:t>
            </w:r>
            <w:r>
              <w:rPr>
                <w:rFonts w:ascii="宋体" w:hAnsi="宋体" w:cs="宋体"/>
                <w:color w:val="000000"/>
                <w:kern w:val="0"/>
                <w:sz w:val="18"/>
                <w:szCs w:val="1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trPr>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数据质量规则</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40</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85.4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5"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总计</w:t>
            </w:r>
          </w:p>
        </w:tc>
        <w:tc>
          <w:tcPr>
            <w:tcW w:w="2732" w:type="dxa"/>
            <w:vAlign w:val="bottom"/>
          </w:tcPr>
          <w:p>
            <w:pPr>
              <w:widowControl/>
              <w:ind w:firstLine="32" w:firstLineChars="18"/>
              <w:jc w:val="left"/>
              <w:rPr>
                <w:rFonts w:ascii="宋体" w:hAnsi="宋体" w:cs="宋体"/>
                <w:color w:val="000000"/>
                <w:kern w:val="0"/>
                <w:sz w:val="18"/>
                <w:szCs w:val="18"/>
              </w:rPr>
            </w:pPr>
            <w:r>
              <w:rPr>
                <w:rFonts w:hint="eastAsia" w:ascii="宋体" w:hAnsi="宋体" w:cs="宋体"/>
                <w:color w:val="000000"/>
                <w:kern w:val="0"/>
                <w:sz w:val="18"/>
                <w:szCs w:val="18"/>
              </w:rPr>
              <w:t>1</w:t>
            </w:r>
            <w:r>
              <w:rPr>
                <w:rFonts w:ascii="宋体" w:hAnsi="宋体" w:cs="宋体"/>
                <w:color w:val="000000"/>
                <w:kern w:val="0"/>
                <w:sz w:val="18"/>
                <w:szCs w:val="18"/>
              </w:rPr>
              <w:t>00</w:t>
            </w:r>
          </w:p>
        </w:tc>
        <w:tc>
          <w:tcPr>
            <w:tcW w:w="2732" w:type="dxa"/>
            <w:vAlign w:val="bottom"/>
          </w:tcPr>
          <w:p>
            <w:pPr>
              <w:widowControl/>
              <w:ind w:firstLine="32" w:firstLineChars="18"/>
              <w:jc w:val="left"/>
              <w:rPr>
                <w:rFonts w:ascii="宋体" w:hAnsi="宋体" w:cs="宋体"/>
                <w:color w:val="000000"/>
                <w:kern w:val="0"/>
                <w:sz w:val="18"/>
                <w:szCs w:val="18"/>
              </w:rPr>
            </w:pPr>
            <w:r>
              <w:rPr>
                <w:rFonts w:ascii="宋体" w:hAnsi="宋体" w:cs="宋体"/>
                <w:color w:val="000000"/>
                <w:kern w:val="0"/>
                <w:sz w:val="18"/>
                <w:szCs w:val="18"/>
              </w:rPr>
              <w:t>87.16</w:t>
            </w:r>
          </w:p>
        </w:tc>
      </w:tr>
    </w:tbl>
    <w:p>
      <w:r>
        <w:t>将各单位的各项评价得分综合汇总后</w:t>
      </w:r>
      <w:r>
        <w:rPr>
          <w:rFonts w:hint="eastAsia"/>
        </w:rPr>
        <w:t>，可以此进行评价排名。</w:t>
      </w:r>
    </w:p>
    <w:p>
      <w:pPr>
        <w:widowControl/>
        <w:spacing w:line="240" w:lineRule="auto"/>
        <w:ind w:firstLine="0" w:firstLineChars="0"/>
        <w:jc w:val="left"/>
      </w:pPr>
      <w:r>
        <w:br w:type="page"/>
      </w:r>
    </w:p>
    <w:bookmarkEnd w:id="263"/>
    <w:p>
      <w:pPr>
        <w:pStyle w:val="4"/>
        <w:bidi w:val="0"/>
      </w:pPr>
      <w:bookmarkStart w:id="279" w:name="_Toc5678"/>
      <w:r>
        <w:rPr>
          <w:rFonts w:hint="eastAsia"/>
        </w:rPr>
        <w:t>监管大脑主题库应用平台</w:t>
      </w:r>
      <w:bookmarkEnd w:id="259"/>
      <w:bookmarkEnd w:id="279"/>
    </w:p>
    <w:p>
      <w:pPr>
        <w:pStyle w:val="5"/>
        <w:bidi w:val="0"/>
      </w:pPr>
      <w:bookmarkStart w:id="280" w:name="_Toc81828603"/>
      <w:r>
        <w:rPr>
          <w:rFonts w:hint="eastAsia"/>
        </w:rPr>
        <w:t>概述</w:t>
      </w:r>
    </w:p>
    <w:p>
      <w:r>
        <w:rPr>
          <w:rFonts w:hint="eastAsia"/>
        </w:rPr>
        <w:t>监管大脑主题库应用平台，从市场主体业务情况出发，通过数据处理、主题库和监管大脑主题的建设，展示全局宏观各项业务状况，辅助领导“揽全局、抓问题、定计划、督落实”，提供一站式决策支持。</w:t>
      </w:r>
    </w:p>
    <w:p>
      <w:r>
        <w:rPr>
          <w:rFonts w:hint="eastAsia"/>
        </w:rPr>
        <w:t>监管大脑主题库应用平台，为市场监管局领导设计，聚焦其关注的重点业务和热点风险，从小屏到大屏，从静态到动态，从粗放到精细，分角色、分主题、分场景、分层级可视化展示全局宏观各项业务办理和风险监测状况，实现市场监管工作的各项业务状况和发展态势的总览分析，展现市场监管智慧化发展水平，体现市场监管决策和服务改革创新。</w:t>
      </w:r>
    </w:p>
    <w:p>
      <w:pPr>
        <w:pStyle w:val="5"/>
      </w:pPr>
      <w:r>
        <w:rPr>
          <w:rFonts w:hint="eastAsia"/>
        </w:rPr>
        <w:t>组成</w:t>
      </w:r>
    </w:p>
    <w:p>
      <w:pPr>
        <w:ind w:left="0" w:leftChars="0" w:firstLine="1680" w:firstLineChars="700"/>
      </w:pPr>
      <w:r>
        <w:object>
          <v:shape id="_x0000_i1028" o:spt="75" type="#_x0000_t75" style="height:223.65pt;width:343.4pt;" o:ole="t" filled="f" o:preferrelative="t" stroked="f" coordsize="21600,21600">
            <v:path/>
            <v:fill on="f" focussize="0,0"/>
            <v:stroke on="f"/>
            <v:imagedata r:id="rId30" o:title=""/>
            <o:lock v:ext="edit" aspectratio="t"/>
            <w10:wrap type="none"/>
            <w10:anchorlock/>
          </v:shape>
          <o:OLEObject Type="Embed" ProgID="Visio.Drawing.15" ShapeID="_x0000_i1028" DrawAspect="Content" ObjectID="_1468075728" r:id="rId29">
            <o:LockedField>false</o:LockedField>
          </o:OLEObject>
        </w:object>
      </w:r>
    </w:p>
    <w:p>
      <w:pPr>
        <w:pStyle w:val="5"/>
      </w:pPr>
      <w:r>
        <w:rPr>
          <w:rFonts w:hint="eastAsia"/>
        </w:rPr>
        <w:t>监管数据处理</w:t>
      </w:r>
    </w:p>
    <w:p>
      <w:pPr>
        <w:pStyle w:val="6"/>
      </w:pPr>
      <w:r>
        <w:rPr>
          <w:rFonts w:hint="eastAsia"/>
        </w:rPr>
        <w:t>概述</w:t>
      </w:r>
    </w:p>
    <w:p>
      <w:pPr>
        <w:rPr>
          <w:rFonts w:ascii="Times New Roman" w:hAnsi="Times New Roman" w:cs="Times New Roman"/>
          <w:color w:val="auto"/>
          <w:kern w:val="24"/>
        </w:rPr>
      </w:pPr>
      <w:r>
        <w:rPr>
          <w:rFonts w:hint="eastAsia"/>
        </w:rPr>
        <w:t>利用当前黑龙江省市场监管数据中心系统，对数据进行清洗、治理、转换，提升监管数据中心资源的权威性、鲜活性、基准性。最终形成标准规范的可利用数据。</w:t>
      </w:r>
    </w:p>
    <w:p>
      <w:pPr>
        <w:pStyle w:val="12"/>
      </w:pPr>
      <w:r>
        <w:rPr>
          <w:rFonts w:hint="eastAsia"/>
        </w:rPr>
        <w:t>具体内容如下：</w:t>
      </w:r>
    </w:p>
    <w:p>
      <w:pPr>
        <w:pStyle w:val="6"/>
      </w:pPr>
      <w:r>
        <w:rPr>
          <w:rFonts w:hint="eastAsia"/>
        </w:rPr>
        <w:t>数据处理</w:t>
      </w:r>
    </w:p>
    <w:p>
      <w:pPr>
        <w:pStyle w:val="12"/>
      </w:pPr>
      <w:r>
        <w:rPr>
          <w:rFonts w:hint="eastAsia"/>
        </w:rPr>
        <w:t>数据处理模块在一体化数据平台建设中，实现对数据的采集、存储、检索、加工、变换和传输，是在大量数据中抽取并挖掘出有价值和意义的数据。数据处理贯穿数据中心建设的整个过程，是一体化数据平台建设的重要部分。主要由数据预处理、数据校核、数据清洗等功能组成。</w:t>
      </w:r>
    </w:p>
    <w:p>
      <w:pPr>
        <w:pStyle w:val="7"/>
      </w:pPr>
      <w:r>
        <w:rPr>
          <w:rFonts w:hint="eastAsia"/>
        </w:rPr>
        <w:t>数据预处理</w:t>
      </w:r>
    </w:p>
    <w:p>
      <w:pPr>
        <w:pStyle w:val="12"/>
      </w:pPr>
      <w:r>
        <w:rPr>
          <w:rFonts w:hint="eastAsia"/>
        </w:rPr>
        <w:t>原始数据中一般存在数据不一致、数据重复、含噪声、空缺值等问题，在进行数据利用时，经常会对数据做一些预处理工作。</w:t>
      </w:r>
    </w:p>
    <w:p>
      <w:pPr>
        <w:pStyle w:val="7"/>
      </w:pPr>
      <w:r>
        <w:rPr>
          <w:rFonts w:hint="eastAsia"/>
        </w:rPr>
        <w:t>数据清洗</w:t>
      </w:r>
    </w:p>
    <w:p>
      <w:pPr>
        <w:pStyle w:val="12"/>
      </w:pPr>
      <w:r>
        <w:rPr>
          <w:rFonts w:hint="eastAsia"/>
        </w:rPr>
        <w:t>数据清洗整合负责对数据进行清洗与确认，使之与所要求的数据标准、逻辑关系与质量相符合。包括缺失数据、错误数据、重复数据的清洗处理等。</w:t>
      </w:r>
    </w:p>
    <w:p>
      <w:pPr>
        <w:pStyle w:val="12"/>
      </w:pPr>
      <w:r>
        <w:rPr>
          <w:rFonts w:hint="eastAsia"/>
        </w:rPr>
        <w:t>数据清洗整合负责对数据进行清洗与确认，及时识别出问题数据，并通过以下功能进行问题数据的处理，使之与所要求的数据标准、逻辑关系与质量相符合。</w:t>
      </w:r>
    </w:p>
    <w:p>
      <w:pPr>
        <w:pStyle w:val="12"/>
      </w:pPr>
      <w:r>
        <w:rPr>
          <w:rFonts w:hint="eastAsia"/>
        </w:rPr>
        <w:t>数据清洗从名字上也看的出就是把“脏”的“洗掉”，指发现并纠正数据文件中可识别的错误的最后一道程序。因为数据仓库中的数据是面向某一主题的数据的集合，这些数据从多个业务系统中抽取而来，包含历史数据，这样就避免不了有的数据是错误数据、有的数据相互之间有冲突，这些错误的或有冲突的数据显然是我们不想要的，称为“脏数据”。我们要按照一定的规则把“脏数据”“洗掉”，这就是数据清洗。而数据清洗的任务是过滤那些不符合要求的数据，将过滤的结果交给业务主管部门，确认是否过滤掉，还是由业务单位修正之后再进行抽取。不符合要求的数据主要是有不完整的数据、错误的数据、重复的数据三大类。</w:t>
      </w:r>
    </w:p>
    <w:p>
      <w:pPr>
        <w:pStyle w:val="12"/>
      </w:pPr>
      <w:r>
        <w:rPr>
          <w:rFonts w:hint="eastAsia"/>
        </w:rPr>
        <w:t>针对这三类不符合要求的数据进行数据清洗的主要识别和处理功能介绍如下：</w:t>
      </w:r>
    </w:p>
    <w:p>
      <w:pPr>
        <w:pStyle w:val="12"/>
      </w:pPr>
      <w:r>
        <w:rPr>
          <w:rFonts w:hint="eastAsia"/>
        </w:rPr>
        <w:t>（</w:t>
      </w:r>
      <w:r>
        <w:t>1</w:t>
      </w:r>
      <w:r>
        <w:rPr>
          <w:rFonts w:hint="eastAsia"/>
        </w:rPr>
        <w:t>）不完整的数据清洗</w:t>
      </w:r>
    </w:p>
    <w:p>
      <w:pPr>
        <w:pStyle w:val="12"/>
      </w:pPr>
      <w:r>
        <w:rPr>
          <w:rFonts w:hint="eastAsia"/>
        </w:rPr>
        <w:t>这一类数据主要是一些应该有的信息缺失，如企业的名称、法人的名称、主体的区域信息缺失、业务系统中主表与明细表不能匹配等。对于这一类数据过滤出来，要求在规定的时间内补全。补全后才写入数据仓库。</w:t>
      </w:r>
    </w:p>
    <w:p>
      <w:pPr>
        <w:pStyle w:val="12"/>
      </w:pPr>
      <w:r>
        <w:rPr>
          <w:rFonts w:hint="eastAsia"/>
        </w:rPr>
        <w:t>（</w:t>
      </w:r>
      <w:r>
        <w:t>2</w:t>
      </w:r>
      <w:r>
        <w:rPr>
          <w:rFonts w:hint="eastAsia"/>
        </w:rPr>
        <w:t>）错误的数据清洗</w:t>
      </w:r>
    </w:p>
    <w:p>
      <w:pPr>
        <w:pStyle w:val="12"/>
      </w:pPr>
      <w:r>
        <w:rPr>
          <w:rFonts w:hint="eastAsia"/>
        </w:rPr>
        <w:t>这一类错误产生的原因是业务系统不够健全，在接收输入后没有进行判断直接写入后台数据库造成的，比如数值数据输成全角数字字符、字符串数据后面有一个回车操作、日期格式不正确、日期越界等。这一类错误需要去业务系统数据库用</w:t>
      </w:r>
      <w:r>
        <w:t>SQL</w:t>
      </w:r>
      <w:r>
        <w:rPr>
          <w:rFonts w:hint="eastAsia"/>
        </w:rPr>
        <w:t>的方式挑出来，交给业务主管部门要求限期修正，修正之后再抽取。</w:t>
      </w:r>
    </w:p>
    <w:p>
      <w:pPr>
        <w:pStyle w:val="12"/>
      </w:pPr>
      <w:r>
        <w:rPr>
          <w:rFonts w:hint="eastAsia"/>
        </w:rPr>
        <w:t>（</w:t>
      </w:r>
      <w:r>
        <w:t>3</w:t>
      </w:r>
      <w:r>
        <w:rPr>
          <w:rFonts w:hint="eastAsia"/>
        </w:rPr>
        <w:t>）重复数据清洗</w:t>
      </w:r>
    </w:p>
    <w:p>
      <w:pPr>
        <w:pStyle w:val="12"/>
      </w:pPr>
      <w:r>
        <w:rPr>
          <w:rFonts w:hint="eastAsia"/>
        </w:rPr>
        <w:t>对于这一类数据——特别是维表中会出现这种情况——将重复数据记录的所有字段导出来，确认并整理。</w:t>
      </w:r>
    </w:p>
    <w:p>
      <w:pPr>
        <w:pStyle w:val="7"/>
      </w:pPr>
      <w:r>
        <w:rPr>
          <w:rFonts w:hint="eastAsia"/>
        </w:rPr>
        <w:t>数据校核</w:t>
      </w:r>
    </w:p>
    <w:p>
      <w:pPr>
        <w:pStyle w:val="12"/>
      </w:pPr>
      <w:r>
        <w:rPr>
          <w:rFonts w:hint="eastAsia"/>
        </w:rPr>
        <w:t>数据校核主要是针对数据预处理产生的批次数据进行质量检查，数据校核是市场监督管理局在数据应用前必须完成校核过程，校核未通过的数据记入问题数据，校核通过的数据可进行数据应用。</w:t>
      </w:r>
    </w:p>
    <w:p>
      <w:pPr>
        <w:pStyle w:val="7"/>
      </w:pPr>
      <w:r>
        <w:rPr>
          <w:rFonts w:hint="eastAsia"/>
        </w:rPr>
        <w:t>数据存储</w:t>
      </w:r>
    </w:p>
    <w:p>
      <w:pPr>
        <w:pStyle w:val="14"/>
        <w:ind w:firstLine="480"/>
        <w:rPr>
          <w:rFonts w:hint="eastAsia"/>
        </w:rPr>
      </w:pPr>
      <w:r>
        <w:rPr>
          <w:rFonts w:hint="eastAsia"/>
        </w:rPr>
        <w:t>数据中心基于分布式、集群式等多种存储方案，构建资源目录分类管理体系，构建监管事项库、监管对象库、监管人员库、检查清单库、知识库等主题库，实现数据资源的主题化存储，支撑智慧市监综合服务平台实现“横向”业务全覆盖，“纵向”业务全贯通。</w:t>
      </w:r>
    </w:p>
    <w:p>
      <w:pPr>
        <w:pStyle w:val="7"/>
      </w:pPr>
      <w:r>
        <w:rPr>
          <w:rFonts w:hint="eastAsia"/>
        </w:rPr>
        <w:t>数据管理</w:t>
      </w:r>
    </w:p>
    <w:p>
      <w:pPr>
        <w:pStyle w:val="14"/>
        <w:ind w:firstLine="480"/>
        <w:rPr>
          <w:rFonts w:hint="eastAsia"/>
        </w:rPr>
      </w:pPr>
      <w:r>
        <w:rPr>
          <w:rFonts w:hint="eastAsia"/>
        </w:rPr>
        <w:t>数据中心以数据应用为导向、以数据治理为核心，基于技术性、业务性检测，提供数据的对账校核等服务，形成完整的数据质量报告与闭环治理机制并不断完善，通过可靠的数据治理手段提升数据在使用中的价值，提高数据管理效率，保障数据的及时性、完整性、规范性、安全性。</w:t>
      </w:r>
    </w:p>
    <w:p>
      <w:pPr>
        <w:pStyle w:val="6"/>
      </w:pPr>
      <w:r>
        <w:rPr>
          <w:rFonts w:hint="eastAsia"/>
        </w:rPr>
        <w:t>数据治理</w:t>
      </w:r>
    </w:p>
    <w:p>
      <w:pPr>
        <w:pStyle w:val="12"/>
      </w:pPr>
      <w:r>
        <w:rPr>
          <w:rFonts w:hint="eastAsia"/>
        </w:rPr>
        <w:t>数据治理是提监管数据信息的清洗及比对服务，通过数据处理形成市监局真实、鲜活、完备和权威的监管数据信息。对于经过清洗和比对的结果数据通过一体化数据平台数据交换平台反馈给各级涉企部门的前置数据库，供各级涉企部门进行核查。</w:t>
      </w:r>
    </w:p>
    <w:p>
      <w:pPr>
        <w:pStyle w:val="7"/>
      </w:pPr>
      <w:r>
        <w:rPr>
          <w:rFonts w:hint="eastAsia"/>
        </w:rPr>
        <w:t>数据轨迹追溯</w:t>
      </w:r>
    </w:p>
    <w:p>
      <w:pPr>
        <w:pStyle w:val="12"/>
      </w:pPr>
      <w:r>
        <w:rPr>
          <w:rFonts w:hint="eastAsia"/>
        </w:rPr>
        <w:t>数据轨迹追溯就是要通过建立一套机制，能够精确地将一笔业务数据在不同的时间点上在数据中心的变化痕迹进行有效的采集、管理和展现，为数据管理提供服务，验证数据的权威性。</w:t>
      </w:r>
    </w:p>
    <w:p>
      <w:pPr>
        <w:pStyle w:val="7"/>
      </w:pPr>
      <w:r>
        <w:rPr>
          <w:rFonts w:hint="eastAsia"/>
        </w:rPr>
        <w:t>统一数据监控</w:t>
      </w:r>
    </w:p>
    <w:p>
      <w:pPr>
        <w:pStyle w:val="12"/>
      </w:pPr>
      <w:r>
        <w:rPr>
          <w:rFonts w:hint="eastAsia"/>
        </w:rPr>
        <w:t>在数据治理系统中，统一数据监控是基础功能。统一数据监控实时采集数据处理过程的各个监控点上的质量信息，执行数据监控流程，进行数据稽核诊断，然后直观展现检查结果</w:t>
      </w:r>
      <w:r>
        <w:t xml:space="preserve">, </w:t>
      </w:r>
      <w:r>
        <w:rPr>
          <w:rFonts w:hint="eastAsia"/>
        </w:rPr>
        <w:t>并及时向数据监控人员报告数据现状。该系统可使数据管理人员方便、及时、全面地掌握环节、各层次的数据状况，并对问题进行追溯分析，协助数据管理人员及时发现问题、定位问题和解决问题。</w:t>
      </w:r>
    </w:p>
    <w:p>
      <w:pPr>
        <w:pStyle w:val="12"/>
      </w:pPr>
      <w:r>
        <w:rPr>
          <w:rFonts w:hint="eastAsia"/>
        </w:rPr>
        <w:t>统一数据监控主要实现以下几点目标：</w:t>
      </w:r>
    </w:p>
    <w:p>
      <w:pPr>
        <w:pStyle w:val="12"/>
      </w:pPr>
      <w:r>
        <w:t>1</w:t>
      </w:r>
      <w:r>
        <w:rPr>
          <w:rFonts w:hint="eastAsia"/>
        </w:rPr>
        <w:t>）初步实现数据汇总全流程各个环节的全程监控；</w:t>
      </w:r>
    </w:p>
    <w:p>
      <w:pPr>
        <w:pStyle w:val="12"/>
      </w:pPr>
      <w:r>
        <w:t>2</w:t>
      </w:r>
      <w:r>
        <w:rPr>
          <w:rFonts w:hint="eastAsia"/>
        </w:rPr>
        <w:t>）及时发现数据问题、及时定位问题、及时解决问题；</w:t>
      </w:r>
    </w:p>
    <w:p>
      <w:pPr>
        <w:pStyle w:val="12"/>
      </w:pPr>
      <w:r>
        <w:t>3</w:t>
      </w:r>
      <w:r>
        <w:rPr>
          <w:rFonts w:hint="eastAsia"/>
        </w:rPr>
        <w:t>）积累数据管理经验，提升和强化数据管理平台的能力。</w:t>
      </w:r>
    </w:p>
    <w:p>
      <w:pPr>
        <w:pStyle w:val="12"/>
      </w:pPr>
      <w:r>
        <w:rPr>
          <w:rFonts w:hint="eastAsia"/>
        </w:rPr>
        <w:t>在统一数据监控中，所采集的数据汇总的监控信息量大且纷繁复杂，需要提供可视化的数据查看分析工具，以便于用户直观的了解数据所反映的系统、数据状况。监控可视化展现功能将每个数据项作为一个图形元素表示，将数据的各个属性值以多维数据的形式表示，可以从不同的维度观察数字信息，利用图表和仪表盘等形式实现数据的可视化，帮助用户对海量的监控信息能快速、精确、科学的理解数据含义，提高数据分析能力，从而对数据进行更深入的观察和分析。</w:t>
      </w:r>
    </w:p>
    <w:p>
      <w:pPr>
        <w:pStyle w:val="12"/>
      </w:pPr>
      <w:r>
        <w:rPr>
          <w:rFonts w:hint="eastAsia"/>
        </w:rPr>
        <w:t>数据监控实时采集数据处理过程的各个监控点上的质量信息，执行数据监控流程，进行数据稽核诊断，然后直观展现检查结果，并及时向数据监控人员报告数据现状。该系统可使数据管理人员方便、及时、全面地掌握环节、各层次的数据状况，并对问题进行追溯分析，协助数据管理人员及时发现问题、定位问题和解决问题。</w:t>
      </w:r>
    </w:p>
    <w:p>
      <w:pPr>
        <w:pStyle w:val="7"/>
      </w:pPr>
      <w:r>
        <w:rPr>
          <w:rFonts w:hint="eastAsia"/>
        </w:rPr>
        <w:t>数据对账</w:t>
      </w:r>
    </w:p>
    <w:p>
      <w:pPr>
        <w:pStyle w:val="12"/>
      </w:pPr>
      <w:r>
        <w:rPr>
          <w:rFonts w:hint="eastAsia"/>
        </w:rPr>
        <w:t>数据对账是为了在第一时间发现数据在传输的过程中的数据量偏差以及数据不一致问题，便于及时的进行问题查找，问题修正。</w:t>
      </w:r>
    </w:p>
    <w:p>
      <w:pPr>
        <w:pStyle w:val="7"/>
        <w:rPr>
          <w:color w:val="auto"/>
        </w:rPr>
      </w:pPr>
      <w:r>
        <w:rPr>
          <w:rFonts w:hint="eastAsia"/>
        </w:rPr>
        <w:t>数据标准归集</w:t>
      </w:r>
    </w:p>
    <w:p>
      <w:pPr>
        <w:pStyle w:val="14"/>
        <w:ind w:firstLine="480"/>
        <w:rPr>
          <w:rFonts w:hint="eastAsia"/>
        </w:rPr>
      </w:pPr>
      <w:r>
        <w:rPr>
          <w:rFonts w:hint="eastAsia"/>
        </w:rPr>
        <w:t>智慧监管一体化平台标准数据规范将归集后的业务数据转换为符合数据中心标准规范结构的标准化数据。</w:t>
      </w:r>
    </w:p>
    <w:p>
      <w:pPr>
        <w:pStyle w:val="7"/>
      </w:pPr>
      <w:r>
        <w:rPr>
          <w:rFonts w:hint="eastAsia"/>
        </w:rPr>
        <w:t>数据字典归集</w:t>
      </w:r>
    </w:p>
    <w:p>
      <w:pPr>
        <w:pStyle w:val="14"/>
        <w:ind w:firstLine="480"/>
        <w:rPr>
          <w:rFonts w:hint="eastAsia"/>
        </w:rPr>
      </w:pPr>
      <w:r>
        <w:rPr>
          <w:rFonts w:hint="eastAsia"/>
        </w:rPr>
        <w:t>对各业务系统的数据字典归集和完善，有效提升归集数据的有效性、可用性比例，缩短数据分析周期。</w:t>
      </w:r>
    </w:p>
    <w:p>
      <w:pPr>
        <w:pStyle w:val="7"/>
      </w:pPr>
      <w:r>
        <w:rPr>
          <w:rFonts w:hint="eastAsia"/>
        </w:rPr>
        <w:t>数据标准化处理</w:t>
      </w:r>
    </w:p>
    <w:p>
      <w:pPr>
        <w:pStyle w:val="14"/>
        <w:ind w:firstLine="480"/>
        <w:rPr>
          <w:rFonts w:hint="eastAsia"/>
        </w:rPr>
      </w:pPr>
      <w:r>
        <w:rPr>
          <w:rFonts w:hint="eastAsia"/>
        </w:rPr>
        <w:t>数据标准化处理主要包括以下工作内容：</w:t>
      </w:r>
    </w:p>
    <w:p>
      <w:pPr>
        <w:pStyle w:val="14"/>
        <w:ind w:firstLine="480"/>
      </w:pPr>
      <w:r>
        <w:rPr>
          <w:rFonts w:hint="eastAsia"/>
        </w:rPr>
        <w:t>业务逻辑转换：将归集的数据的业务逻辑进行整合或拆分，将其结构整合为符合标准库数据规范的数据结构。</w:t>
      </w:r>
    </w:p>
    <w:p>
      <w:pPr>
        <w:pStyle w:val="14"/>
        <w:ind w:firstLine="480"/>
      </w:pPr>
      <w:r>
        <w:rPr>
          <w:rFonts w:hint="eastAsia"/>
        </w:rPr>
        <w:t>数据类型转换：通过数据类型的配置和管理，完成对数据类型的转换，包括数字向字符型转换，字符型向数据型转换，日期向字符型转换等。</w:t>
      </w:r>
    </w:p>
    <w:p>
      <w:pPr>
        <w:pStyle w:val="14"/>
        <w:ind w:firstLine="480"/>
      </w:pPr>
      <w:r>
        <w:rPr>
          <w:rFonts w:hint="eastAsia"/>
        </w:rPr>
        <w:t>字段名称转换：依据业务数据字典到数据标准字典的字段对应关系，实现标准字段值标准化管理的过程。</w:t>
      </w:r>
    </w:p>
    <w:p>
      <w:pPr>
        <w:pStyle w:val="14"/>
        <w:ind w:firstLine="480"/>
      </w:pPr>
      <w:r>
        <w:rPr>
          <w:rFonts w:hint="eastAsia"/>
        </w:rPr>
        <w:t>代码转换：将归集的业务数据中的数据代码集统一转换为符合数据规范的统一代码集，满足代码规范性要求。</w:t>
      </w:r>
    </w:p>
    <w:p>
      <w:pPr>
        <w:pStyle w:val="14"/>
        <w:ind w:firstLine="480"/>
      </w:pPr>
      <w:r>
        <w:rPr>
          <w:rFonts w:hint="eastAsia"/>
        </w:rPr>
        <w:t>数据加载：数据装载将转换和加工后的汇总库的业务数据装载到目的库中，通常是</w:t>
      </w:r>
      <w:r>
        <w:t>ETL</w:t>
      </w:r>
      <w:r>
        <w:rPr>
          <w:rFonts w:hint="eastAsia"/>
        </w:rPr>
        <w:t>过程的最后步骤。装载数据的技术方案取决于所执行操作的数据类型、数据量及时效性要求。</w:t>
      </w:r>
    </w:p>
    <w:p>
      <w:pPr>
        <w:pStyle w:val="7"/>
      </w:pPr>
      <w:r>
        <w:rPr>
          <w:rFonts w:hint="eastAsia"/>
        </w:rPr>
        <w:t>数据质量管理</w:t>
      </w:r>
    </w:p>
    <w:p>
      <w:pPr>
        <w:pStyle w:val="12"/>
      </w:pPr>
      <w:r>
        <w:rPr>
          <w:rFonts w:hint="eastAsia"/>
        </w:rPr>
        <w:t>在监管大数据中心建成后，监管数据质量问题就是特别重要议题，实施数据质量检查与监控，全面提升整体监管数据质量，确保数据开展分析应用、跨区域联网应用和部门之间数据交互利用的准确性、完整性和及时性。</w:t>
      </w:r>
    </w:p>
    <w:p>
      <w:pPr>
        <w:pStyle w:val="12"/>
      </w:pPr>
      <w:r>
        <w:rPr>
          <w:rFonts w:hint="eastAsia"/>
        </w:rPr>
        <w:t>数据质量管理主要是实现数据质量流程可视化，对标准数据库数据进行质量评估，并根据市场、监管等业务数据规则、特性，判定数据完整性、规范有效性、计算逻辑合规性、一致性、关联性等，甄别数据质量，并可形成数据质量评估报告，为数据采集转换、统计分析和数据修正提供依据。通过数据质量管理子系统的建设，围绕数据质量管理的主题，从数据质量管理机制建设层面，提供、全面的数据质量检查和保障的服务。</w:t>
      </w:r>
    </w:p>
    <w:p>
      <w:pPr>
        <w:pStyle w:val="12"/>
      </w:pPr>
      <w:r>
        <w:rPr>
          <w:rFonts w:hint="eastAsia"/>
        </w:rPr>
        <w:t>检查规则管理提供各类信息实体的检查规则的配置管理和查询。包括对检查数据源设定、检查对象设定、检查规则管理、任务执行以及任务监控等在内的工作进行全过程管理。</w:t>
      </w:r>
    </w:p>
    <w:p>
      <w:pPr>
        <w:pStyle w:val="12"/>
      </w:pPr>
      <w:r>
        <w:rPr>
          <w:rFonts w:hint="eastAsia"/>
        </w:rPr>
        <w:t>检查规则管理模块主要由数据源设定、检查对象设定、检查规则管理、检查任务执行、检查任务监控功能组成。</w:t>
      </w:r>
    </w:p>
    <w:p>
      <w:pPr>
        <w:pStyle w:val="12"/>
      </w:pPr>
      <w:r>
        <w:rPr>
          <w:rFonts w:hint="eastAsia"/>
        </w:rPr>
        <w:t>（</w:t>
      </w:r>
      <w:r>
        <w:t>1</w:t>
      </w:r>
      <w:r>
        <w:rPr>
          <w:rFonts w:hint="eastAsia"/>
        </w:rPr>
        <w:t>）数据源设定</w:t>
      </w:r>
    </w:p>
    <w:p>
      <w:pPr>
        <w:pStyle w:val="12"/>
      </w:pPr>
      <w:r>
        <w:rPr>
          <w:rFonts w:hint="eastAsia"/>
        </w:rPr>
        <w:t>本项目中的检查主要是针对与存放在关系型数据库中的数据进行质量检查。提供可视化操作界面完成对于关系型数据库的数据源创建，包括数据源新建、修改以及删除等操作。</w:t>
      </w:r>
    </w:p>
    <w:p>
      <w:pPr>
        <w:pStyle w:val="12"/>
      </w:pPr>
      <w:r>
        <w:rPr>
          <w:rFonts w:hint="eastAsia"/>
        </w:rPr>
        <w:t>（</w:t>
      </w:r>
      <w:r>
        <w:t>2</w:t>
      </w:r>
      <w:r>
        <w:rPr>
          <w:rFonts w:hint="eastAsia"/>
        </w:rPr>
        <w:t>）检查对象设定</w:t>
      </w:r>
    </w:p>
    <w:p>
      <w:pPr>
        <w:pStyle w:val="12"/>
      </w:pPr>
      <w:r>
        <w:rPr>
          <w:rFonts w:hint="eastAsia"/>
        </w:rPr>
        <w:t>根据检查的业务范围，创建不同的检查对象，便于后期针对不同的业务数据进行检查，提高检查的便利性和准确性。</w:t>
      </w:r>
    </w:p>
    <w:p>
      <w:pPr>
        <w:pStyle w:val="12"/>
      </w:pPr>
      <w:r>
        <w:rPr>
          <w:rFonts w:hint="eastAsia"/>
        </w:rPr>
        <w:t>（</w:t>
      </w:r>
      <w:r>
        <w:t>3</w:t>
      </w:r>
      <w:r>
        <w:rPr>
          <w:rFonts w:hint="eastAsia"/>
        </w:rPr>
        <w:t>）检查规则管理</w:t>
      </w:r>
    </w:p>
    <w:p>
      <w:pPr>
        <w:pStyle w:val="12"/>
      </w:pPr>
      <w:r>
        <w:rPr>
          <w:rFonts w:hint="eastAsia"/>
        </w:rPr>
        <w:t>数据质量检查指标项：用户可以根据自身要求调整数据质量检查指标项，系统根据用户选择的检查指标项进行数据质量检查。</w:t>
      </w:r>
    </w:p>
    <w:p>
      <w:pPr>
        <w:pStyle w:val="12"/>
      </w:pPr>
      <w:r>
        <w:rPr>
          <w:rFonts w:hint="eastAsia"/>
        </w:rPr>
        <w:t>（</w:t>
      </w:r>
      <w:r>
        <w:t>4</w:t>
      </w:r>
      <w:r>
        <w:rPr>
          <w:rFonts w:hint="eastAsia"/>
        </w:rPr>
        <w:t>）检查任务执行</w:t>
      </w:r>
    </w:p>
    <w:p>
      <w:pPr>
        <w:pStyle w:val="12"/>
      </w:pPr>
      <w:r>
        <w:rPr>
          <w:rFonts w:hint="eastAsia"/>
        </w:rPr>
        <w:t>对任务运行规则进行定义，设置运行频率、开始运行时间，是否启用情况等。也可以选择立即执行。</w:t>
      </w:r>
    </w:p>
    <w:p>
      <w:pPr>
        <w:pStyle w:val="12"/>
      </w:pPr>
      <w:r>
        <w:rPr>
          <w:rFonts w:hint="eastAsia"/>
        </w:rPr>
        <w:t>（</w:t>
      </w:r>
      <w:r>
        <w:t>5</w:t>
      </w:r>
      <w:r>
        <w:rPr>
          <w:rFonts w:hint="eastAsia"/>
        </w:rPr>
        <w:t>）检查任务监控</w:t>
      </w:r>
    </w:p>
    <w:p>
      <w:pPr>
        <w:pStyle w:val="12"/>
      </w:pPr>
      <w:r>
        <w:rPr>
          <w:rFonts w:hint="eastAsia"/>
        </w:rPr>
        <w:t>对任务运行情况进行监控。可以查询任务运行情况，如在执行过程中可以查看任务执行阶段，如已执行完成，可以查看任务完成时间、完成情况等信息。</w:t>
      </w:r>
    </w:p>
    <w:p>
      <w:pPr>
        <w:pStyle w:val="12"/>
      </w:pPr>
      <w:r>
        <w:rPr>
          <w:rFonts w:hint="eastAsia"/>
        </w:rPr>
        <w:t>执行异常处理。如任务在执行过程中出现异常，系统自动记录异常日志，记录发生错误的指标项，并能在工作任务中及时提醒。管理人员可以对错误指标项进行重评。</w:t>
      </w:r>
    </w:p>
    <w:p>
      <w:pPr>
        <w:pStyle w:val="12"/>
      </w:pPr>
      <w:r>
        <w:rPr>
          <w:rFonts w:hint="eastAsia"/>
        </w:rPr>
        <w:t>（</w:t>
      </w:r>
      <w:r>
        <w:t>6</w:t>
      </w:r>
      <w:r>
        <w:rPr>
          <w:rFonts w:hint="eastAsia"/>
        </w:rPr>
        <w:t>）数据质量检查</w:t>
      </w:r>
    </w:p>
    <w:p>
      <w:pPr>
        <w:pStyle w:val="12"/>
      </w:pPr>
      <w:r>
        <w:rPr>
          <w:rFonts w:hint="eastAsia"/>
        </w:rPr>
        <w:t>按照相关数据质量检查的规范标准，对数据中心数据进行质量检查，发现问题数据及时进行反馈，并督促数据源头对问题数据进行修正，确保数据中心的质量。</w:t>
      </w:r>
    </w:p>
    <w:p>
      <w:pPr>
        <w:pStyle w:val="12"/>
      </w:pPr>
      <w:r>
        <w:rPr>
          <w:rFonts w:hint="eastAsia"/>
        </w:rPr>
        <w:t>数据质量检查模块主要用于对数据中心的数据质量进行检查。本项目中涉及到的检查分为两大类，一类为数据类质量检查，一类为业务类质量检查。</w:t>
      </w:r>
    </w:p>
    <w:p>
      <w:pPr>
        <w:pStyle w:val="12"/>
      </w:pPr>
      <w:r>
        <w:t>1</w:t>
      </w:r>
      <w:r>
        <w:rPr>
          <w:rFonts w:hint="eastAsia"/>
        </w:rPr>
        <w:t>）数据类质量检查</w:t>
      </w:r>
    </w:p>
    <w:p>
      <w:pPr>
        <w:pStyle w:val="12"/>
      </w:pPr>
      <w:r>
        <w:rPr>
          <w:rFonts w:hint="eastAsia"/>
        </w:rPr>
        <w:t>将数据类质量检查分为数据完整性检查、数据规范性检查、数据关联性检查、数据冗余性检查。这类检查规则具有普遍通用性，可以在不了解具体业务的情况下，完成上述类别的检查。</w:t>
      </w:r>
    </w:p>
    <w:p>
      <w:pPr>
        <w:pStyle w:val="12"/>
      </w:pPr>
      <w:r>
        <w:t>2</w:t>
      </w:r>
      <w:r>
        <w:rPr>
          <w:rFonts w:hint="eastAsia"/>
        </w:rPr>
        <w:t>）业务类质量检查</w:t>
      </w:r>
    </w:p>
    <w:p>
      <w:pPr>
        <w:pStyle w:val="12"/>
      </w:pPr>
      <w:r>
        <w:rPr>
          <w:rFonts w:hint="eastAsia"/>
        </w:rPr>
        <w:t>业务类质量检查规则，主要是分为指标特殊性检查、同环比检查、多采集检查、维度合法性检查、维度完整性检查。这类检查规则主要是针对业务数据的准确性进行检查，跟业务关联性强，在行业通用性上稍差。</w:t>
      </w:r>
    </w:p>
    <w:p>
      <w:pPr>
        <w:pStyle w:val="12"/>
      </w:pPr>
      <w:r>
        <w:rPr>
          <w:rFonts w:hint="eastAsia"/>
        </w:rPr>
        <w:t>（</w:t>
      </w:r>
      <w:r>
        <w:t>7</w:t>
      </w:r>
      <w:r>
        <w:rPr>
          <w:rFonts w:hint="eastAsia"/>
        </w:rPr>
        <w:t>）数据质量检查结果</w:t>
      </w:r>
    </w:p>
    <w:p>
      <w:pPr>
        <w:pStyle w:val="12"/>
      </w:pPr>
      <w:r>
        <w:rPr>
          <w:rFonts w:hint="eastAsia"/>
        </w:rPr>
        <w:t>可以对数据质量检查的结果进行查询、导出等，同时可以对单条检查规则结果进行趋势分析以及明细查询。</w:t>
      </w:r>
    </w:p>
    <w:p>
      <w:pPr>
        <w:pStyle w:val="12"/>
      </w:pPr>
      <w:r>
        <w:rPr>
          <w:rFonts w:hint="eastAsia"/>
        </w:rPr>
        <w:t>（</w:t>
      </w:r>
      <w:r>
        <w:t>8</w:t>
      </w:r>
      <w:r>
        <w:rPr>
          <w:rFonts w:hint="eastAsia"/>
        </w:rPr>
        <w:t>）数据质量分析</w:t>
      </w:r>
    </w:p>
    <w:p>
      <w:pPr>
        <w:pStyle w:val="12"/>
      </w:pPr>
      <w:r>
        <w:rPr>
          <w:rFonts w:hint="eastAsia"/>
        </w:rPr>
        <w:t>综合评价数据质量问题的趋势，总结检查中发现的重点、难点问题。帮助管理层人员全面了解数据质量状况，及时掌握数据质量变化情况，为管理和决策提供及时高效的参考信息服务。</w:t>
      </w:r>
    </w:p>
    <w:p>
      <w:pPr>
        <w:pStyle w:val="12"/>
      </w:pPr>
      <w:r>
        <w:rPr>
          <w:rFonts w:hint="eastAsia"/>
        </w:rPr>
        <w:t>（</w:t>
      </w:r>
      <w:r>
        <w:t>9</w:t>
      </w:r>
      <w:r>
        <w:rPr>
          <w:rFonts w:hint="eastAsia"/>
        </w:rPr>
        <w:t>）质量分析结果查看</w:t>
      </w:r>
    </w:p>
    <w:p>
      <w:pPr>
        <w:pStyle w:val="12"/>
      </w:pPr>
      <w:r>
        <w:rPr>
          <w:rFonts w:hint="eastAsia"/>
        </w:rPr>
        <w:t>根据出现问题的类别给出经常出现问题排序，根据问题类型给出问题类别目录，根据问题出现业务部门给出经常出现问题的系统。</w:t>
      </w:r>
    </w:p>
    <w:p>
      <w:pPr>
        <w:pStyle w:val="12"/>
      </w:pPr>
      <w:r>
        <w:rPr>
          <w:rFonts w:hint="eastAsia"/>
        </w:rPr>
        <w:t>同时基于上述统计结果，根据数据质量评价体系得出趋势图、分布图、统计图、平衡图等表现形式。</w:t>
      </w:r>
    </w:p>
    <w:p>
      <w:pPr>
        <w:pStyle w:val="12"/>
      </w:pPr>
      <w:r>
        <w:rPr>
          <w:rFonts w:hint="eastAsia"/>
        </w:rPr>
        <w:t>（</w:t>
      </w:r>
      <w:r>
        <w:t>10</w:t>
      </w:r>
      <w:r>
        <w:rPr>
          <w:rFonts w:hint="eastAsia"/>
        </w:rPr>
        <w:t>）分地区结果分析</w:t>
      </w:r>
    </w:p>
    <w:p>
      <w:pPr>
        <w:pStyle w:val="12"/>
      </w:pPr>
      <w:r>
        <w:rPr>
          <w:rFonts w:hint="eastAsia"/>
        </w:rPr>
        <w:t>分地区检查结果展示为地区、检查记录数、错误记录数、正确率等信息，同时按照地市分析各地市正确率情况。</w:t>
      </w:r>
    </w:p>
    <w:p>
      <w:pPr>
        <w:pStyle w:val="12"/>
      </w:pPr>
      <w:r>
        <w:rPr>
          <w:rFonts w:hint="eastAsia"/>
        </w:rPr>
        <w:t>（</w:t>
      </w:r>
      <w:r>
        <w:t>11</w:t>
      </w:r>
      <w:r>
        <w:rPr>
          <w:rFonts w:hint="eastAsia"/>
        </w:rPr>
        <w:t>）分模块结果分析</w:t>
      </w:r>
    </w:p>
    <w:p>
      <w:pPr>
        <w:pStyle w:val="12"/>
      </w:pPr>
      <w:r>
        <w:rPr>
          <w:rFonts w:hint="eastAsia"/>
        </w:rPr>
        <w:t>分模块检查结果展示为检查模块、检查记录数、错误记录数、正确率等信息，同时按照模块展示各模块正确率情况。</w:t>
      </w:r>
    </w:p>
    <w:p>
      <w:pPr>
        <w:pStyle w:val="12"/>
      </w:pPr>
      <w:r>
        <w:rPr>
          <w:rFonts w:hint="eastAsia"/>
        </w:rPr>
        <w:t>（</w:t>
      </w:r>
      <w:r>
        <w:t>12</w:t>
      </w:r>
      <w:r>
        <w:rPr>
          <w:rFonts w:hint="eastAsia"/>
        </w:rPr>
        <w:t>）分类型结果分析</w:t>
      </w:r>
    </w:p>
    <w:p>
      <w:pPr>
        <w:pStyle w:val="12"/>
      </w:pPr>
      <w:r>
        <w:rPr>
          <w:rFonts w:hint="eastAsia"/>
        </w:rPr>
        <w:t>分类检查结果展示为检查类型、检查记录数、错误记录数、正确率等信息，同时按照类型展示各检查类型的正确率情况。</w:t>
      </w:r>
    </w:p>
    <w:p>
      <w:pPr>
        <w:pStyle w:val="5"/>
      </w:pPr>
      <w:r>
        <w:rPr>
          <w:rFonts w:hint="eastAsia"/>
        </w:rPr>
        <w:t>业务主题库</w:t>
      </w:r>
    </w:p>
    <w:p>
      <w:pPr>
        <w:pStyle w:val="6"/>
      </w:pPr>
      <w:r>
        <w:rPr>
          <w:rFonts w:hint="eastAsia"/>
        </w:rPr>
        <w:t>概述</w:t>
      </w:r>
    </w:p>
    <w:p>
      <w:pPr>
        <w:pStyle w:val="14"/>
        <w:ind w:firstLine="480"/>
      </w:pPr>
      <w:r>
        <w:rPr>
          <w:rFonts w:hint="eastAsia"/>
          <w:color w:val="333333"/>
          <w:kern w:val="0"/>
        </w:rPr>
        <w:t>业务</w:t>
      </w:r>
      <w:r>
        <w:rPr>
          <w:color w:val="333333"/>
          <w:kern w:val="0"/>
        </w:rPr>
        <w:t>主题</w:t>
      </w:r>
      <w:r>
        <w:rPr>
          <w:rFonts w:hint="eastAsia"/>
          <w:color w:val="333333"/>
          <w:kern w:val="0"/>
        </w:rPr>
        <w:t>库以需求和应用</w:t>
      </w:r>
      <w:r>
        <w:rPr>
          <w:rFonts w:hint="eastAsia"/>
        </w:rPr>
        <w:t>场景为目标，对数据进行梳理，建设市场主体主题库、企业发展指数主题库、企业生存状况主题库、企业外来投资主题库、创业主题库、企业活跃度主题库</w:t>
      </w:r>
      <w:r>
        <w:rPr>
          <w:rFonts w:hint="eastAsia"/>
          <w:color w:val="333333"/>
          <w:kern w:val="0"/>
        </w:rPr>
        <w:t>等不同业务主题库，为监管大脑主题业务分析展示提供数据支撑。</w:t>
      </w:r>
    </w:p>
    <w:p>
      <w:pPr>
        <w:pStyle w:val="14"/>
        <w:ind w:firstLine="480"/>
        <w:rPr>
          <w:color w:val="333333"/>
          <w:kern w:val="0"/>
        </w:rPr>
      </w:pPr>
      <w:r>
        <w:rPr>
          <w:rFonts w:hint="eastAsia"/>
          <w:color w:val="333333"/>
          <w:kern w:val="0"/>
        </w:rPr>
        <w:t>业务主题库</w:t>
      </w:r>
      <w:r>
        <w:rPr>
          <w:color w:val="333333"/>
          <w:kern w:val="0"/>
        </w:rPr>
        <w:t>是透过</w:t>
      </w:r>
      <w:r>
        <w:rPr>
          <w:rFonts w:hint="eastAsia"/>
          <w:color w:val="333333"/>
          <w:kern w:val="0"/>
        </w:rPr>
        <w:t>总览的方式，</w:t>
      </w:r>
      <w:r>
        <w:rPr>
          <w:color w:val="333333"/>
          <w:kern w:val="0"/>
        </w:rPr>
        <w:t>将不同业务流程信息进行汇总、分类然后对其进行分析利用的。</w:t>
      </w:r>
      <w:r>
        <w:rPr>
          <w:rFonts w:hint="eastAsia"/>
          <w:color w:val="333333"/>
          <w:kern w:val="0"/>
        </w:rPr>
        <w:t>通过业务主题数据库的建立，实现数据环境的提升和信息系统的提升，积极稳步地推进数据的分析和应用。</w:t>
      </w:r>
    </w:p>
    <w:p>
      <w:r>
        <w:rPr>
          <w:rFonts w:hint="eastAsia"/>
        </w:rPr>
        <w:t>业务主题库与</w:t>
      </w:r>
      <w:r>
        <w:rPr>
          <w:rFonts w:hint="eastAsia"/>
          <w:color w:val="333333"/>
          <w:kern w:val="0"/>
        </w:rPr>
        <w:t>监管大脑主题业务分析主要的业务关系如下：</w:t>
      </w:r>
    </w:p>
    <w:p>
      <w:pPr>
        <w:ind w:left="0" w:leftChars="0" w:firstLine="960" w:firstLineChars="400"/>
      </w:pPr>
      <w:r>
        <w:drawing>
          <wp:inline distT="0" distB="0" distL="0" distR="0">
            <wp:extent cx="4941570" cy="2404745"/>
            <wp:effectExtent l="0" t="0" r="1143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941570" cy="2404745"/>
                    </a:xfrm>
                    <a:prstGeom prst="rect">
                      <a:avLst/>
                    </a:prstGeom>
                    <a:noFill/>
                  </pic:spPr>
                </pic:pic>
              </a:graphicData>
            </a:graphic>
          </wp:inline>
        </w:drawing>
      </w:r>
    </w:p>
    <w:p>
      <w:pPr>
        <w:pStyle w:val="6"/>
      </w:pPr>
      <w:r>
        <w:rPr>
          <w:rFonts w:hint="eastAsia"/>
        </w:rPr>
        <w:t>市场主体主题库</w:t>
      </w:r>
    </w:p>
    <w:p>
      <w:pPr>
        <w:pStyle w:val="7"/>
      </w:pPr>
      <w:r>
        <w:rPr>
          <w:rFonts w:hint="eastAsia"/>
        </w:rPr>
        <w:t>面向主题</w:t>
      </w:r>
    </w:p>
    <w:p>
      <w:r>
        <w:rPr>
          <w:rFonts w:hint="eastAsia"/>
        </w:rPr>
        <w:t>面向主题：依据主体登记信息构建，重点关注各类市场主体趋势、结构构成、分布特点等，涉及企业进入、退出、迁移、经营变化等情况。</w:t>
      </w:r>
    </w:p>
    <w:p>
      <w:pPr>
        <w:pStyle w:val="7"/>
      </w:pPr>
      <w:r>
        <w:rPr>
          <w:rFonts w:hint="eastAsia"/>
        </w:rPr>
        <w:t>数据源表</w:t>
      </w:r>
    </w:p>
    <w:p>
      <w:r>
        <w:rPr>
          <w:rFonts w:hint="eastAsia"/>
        </w:rPr>
        <w:t>主体基本信息汇总表、注销信息表、吊销信息表、外商投资企业资金信息、企业变更信息表、许可信息表、个体工商户基本信息表、个体工商户经营者基本信息、个体工商户吊销信息、个体工商户注销信息、个体工商户许可证信息表、个体工商户许可经营项目信息表、各类维度码表等。</w:t>
      </w:r>
    </w:p>
    <w:p>
      <w:pPr>
        <w:pStyle w:val="7"/>
      </w:pPr>
      <w:r>
        <w:rPr>
          <w:rFonts w:hint="eastAsia"/>
        </w:rPr>
        <w:t>维度</w:t>
      </w:r>
    </w:p>
    <w:p>
      <w:r>
        <w:rPr>
          <w:rFonts w:hint="eastAsia"/>
        </w:rPr>
        <w:t>维度：时间、主体类型、所有制、区域、行业、企业状态、资金规模、投资总额规模、注吊销、登记机关、管辖地、企业年龄、外资国别、内资企业股东来源、个体经营者来源、农专成员类型、农专成员规模、农专业务范围、农专出资规模、出资方式、出质人类型、质权人类型、经营活动类别、许可企业状态、外资股东来源、个体身份类型、许可行业等。</w:t>
      </w:r>
    </w:p>
    <w:p>
      <w:pPr>
        <w:pStyle w:val="7"/>
      </w:pPr>
      <w:r>
        <w:rPr>
          <w:rFonts w:hint="eastAsia"/>
        </w:rPr>
        <w:t>度量值</w:t>
      </w:r>
    </w:p>
    <w:p>
      <w:r>
        <w:rPr>
          <w:rFonts w:hint="eastAsia"/>
        </w:rPr>
        <w:t>度量值：市场主体数量、市场主体注册资本、企业数量、企业注册资本、个体工商户数量、个体工商户注册资本、农民专业合作社数量、农民专业合作社注册资本。</w:t>
      </w:r>
    </w:p>
    <w:p>
      <w:pPr>
        <w:pStyle w:val="7"/>
      </w:pPr>
      <w:r>
        <w:rPr>
          <w:rFonts w:hint="eastAsia"/>
        </w:rPr>
        <w:t>数据来源</w:t>
      </w:r>
    </w:p>
    <w:p>
      <w:r>
        <w:rPr>
          <w:rFonts w:hint="eastAsia"/>
        </w:rPr>
        <w:t>数据来源：省市场监管局。</w:t>
      </w:r>
    </w:p>
    <w:p>
      <w:pPr>
        <w:pStyle w:val="6"/>
      </w:pPr>
      <w:r>
        <w:rPr>
          <w:rFonts w:hint="eastAsia"/>
        </w:rPr>
        <w:t>企业发展指数主题库</w:t>
      </w:r>
    </w:p>
    <w:p>
      <w:pPr>
        <w:pStyle w:val="7"/>
      </w:pPr>
      <w:r>
        <w:rPr>
          <w:rFonts w:hint="eastAsia"/>
        </w:rPr>
        <w:t>面向主题</w:t>
      </w:r>
    </w:p>
    <w:p>
      <w:r>
        <w:rPr>
          <w:rFonts w:hint="eastAsia"/>
        </w:rPr>
        <w:t>面向主题：全国及</w:t>
      </w:r>
      <w:r>
        <w:t>各省市</w:t>
      </w:r>
      <w:r>
        <w:rPr>
          <w:rFonts w:hint="eastAsia"/>
        </w:rPr>
        <w:t>部分宏观经济数据以及市场监管企业数据，建设企业发展工商指数主题库。主要分析研究企业发展变化与GDP、财政收入等经济指标的相互关联和相互影响的规律。主题库除了纳入市场监管数据外，还需要纳入宏观经济数据，需要从工商指标中，提炼多个与宏观经济指标相关性高的指标，纳入模型中进行合成，形成企业发展指数。</w:t>
      </w:r>
    </w:p>
    <w:p>
      <w:pPr>
        <w:pStyle w:val="7"/>
      </w:pPr>
      <w:r>
        <w:rPr>
          <w:rFonts w:hint="eastAsia"/>
        </w:rPr>
        <w:t>数据源表</w:t>
      </w:r>
    </w:p>
    <w:p>
      <w:r>
        <w:rPr>
          <w:rFonts w:hint="eastAsia"/>
        </w:rPr>
        <w:t>数据源表：体基本信息汇总表、注销信息表、吊销信息表、外商投资企业资金信息、企业变更信息表、自然投资人详细信息表、企业投资信息表、主要人员信息表、区域经济统计数据表、其他相关维度码表。</w:t>
      </w:r>
    </w:p>
    <w:p>
      <w:pPr>
        <w:pStyle w:val="7"/>
      </w:pPr>
      <w:r>
        <w:rPr>
          <w:rFonts w:hint="eastAsia"/>
        </w:rPr>
        <w:t>维度</w:t>
      </w:r>
    </w:p>
    <w:p>
      <w:r>
        <w:rPr>
          <w:rFonts w:hint="eastAsia"/>
        </w:rPr>
        <w:t>维度：时间、主体类型、所有制、区域、行业、企业状态、资金规模。</w:t>
      </w:r>
    </w:p>
    <w:p>
      <w:pPr>
        <w:pStyle w:val="7"/>
      </w:pPr>
      <w:r>
        <w:rPr>
          <w:rFonts w:hint="eastAsia"/>
        </w:rPr>
        <w:t>度量值</w:t>
      </w:r>
    </w:p>
    <w:p>
      <w:r>
        <w:rPr>
          <w:rFonts w:hint="eastAsia"/>
        </w:rPr>
        <w:t>度量值：企业户数、企业注册资本、新设分支数量、退出企业数量、退出企业注册资本。</w:t>
      </w:r>
    </w:p>
    <w:p>
      <w:pPr>
        <w:pStyle w:val="7"/>
      </w:pPr>
      <w:r>
        <w:rPr>
          <w:rFonts w:hint="eastAsia"/>
        </w:rPr>
        <w:t>数据来源</w:t>
      </w:r>
    </w:p>
    <w:p>
      <w:r>
        <w:rPr>
          <w:rFonts w:hint="eastAsia"/>
        </w:rPr>
        <w:t>数据来源：省市场监管局、省统计局、</w:t>
      </w:r>
      <w:r>
        <w:t>统计局公开网站</w:t>
      </w:r>
      <w:r>
        <w:rPr>
          <w:rFonts w:hint="eastAsia"/>
        </w:rPr>
        <w:t>。</w:t>
      </w:r>
    </w:p>
    <w:p>
      <w:pPr>
        <w:pStyle w:val="6"/>
      </w:pPr>
      <w:r>
        <w:rPr>
          <w:rFonts w:hint="eastAsia"/>
        </w:rPr>
        <w:t>企业生存状况主题库</w:t>
      </w:r>
    </w:p>
    <w:p>
      <w:pPr>
        <w:pStyle w:val="7"/>
      </w:pPr>
      <w:r>
        <w:rPr>
          <w:rFonts w:hint="eastAsia"/>
        </w:rPr>
        <w:t>面向主题</w:t>
      </w:r>
    </w:p>
    <w:p>
      <w:r>
        <w:rPr>
          <w:rFonts w:hint="eastAsia"/>
        </w:rPr>
        <w:t>面向主题：整合进入、退出等企业生命周期数据，建设企业生存状况主题库，常态化分析企业生命周期及生存状况。企业生存状况主题库不仅需要包括企业的进入、退出信息，还要与企业的属性信息结合到一起，为分析各类企业群体的企业生存状况提供数据基础。</w:t>
      </w:r>
    </w:p>
    <w:p>
      <w:pPr>
        <w:pStyle w:val="7"/>
      </w:pPr>
      <w:r>
        <w:rPr>
          <w:rFonts w:hint="eastAsia"/>
        </w:rPr>
        <w:t>数据源表</w:t>
      </w:r>
    </w:p>
    <w:p>
      <w:r>
        <w:rPr>
          <w:rFonts w:hint="eastAsia"/>
        </w:rPr>
        <w:t>数据源表：主体基本信息表、注销信息表、吊销信息表、外商投资企业资金信息表、企业变更信息表、经营异常名录信息表、自然投资人详细信息表、企业投资信息表、主要人员信息表、严重违法企业信息表、其他相关维度码表。</w:t>
      </w:r>
    </w:p>
    <w:p>
      <w:pPr>
        <w:pStyle w:val="7"/>
      </w:pPr>
      <w:r>
        <w:rPr>
          <w:rFonts w:hint="eastAsia"/>
        </w:rPr>
        <w:t>维度</w:t>
      </w:r>
    </w:p>
    <w:p>
      <w:r>
        <w:rPr>
          <w:rFonts w:hint="eastAsia"/>
        </w:rPr>
        <w:t>维度：时间、主体类型、所有制、区域、行业、企业状态、资金规模、登记机关、管辖地、企业年龄、企业寿命。</w:t>
      </w:r>
    </w:p>
    <w:p>
      <w:pPr>
        <w:pStyle w:val="7"/>
      </w:pPr>
      <w:r>
        <w:rPr>
          <w:rFonts w:hint="eastAsia"/>
        </w:rPr>
        <w:t>度量值</w:t>
      </w:r>
    </w:p>
    <w:p>
      <w:r>
        <w:rPr>
          <w:rFonts w:hint="eastAsia"/>
        </w:rPr>
        <w:t>度量值：当年存活率、累计存活率、期末户数、新设户数、注吊销户数。</w:t>
      </w:r>
    </w:p>
    <w:p>
      <w:pPr>
        <w:pStyle w:val="7"/>
      </w:pPr>
      <w:r>
        <w:rPr>
          <w:rFonts w:hint="eastAsia"/>
        </w:rPr>
        <w:t>数据来源</w:t>
      </w:r>
    </w:p>
    <w:p>
      <w:r>
        <w:rPr>
          <w:rFonts w:hint="eastAsia"/>
        </w:rPr>
        <w:t>数据来源：省市场监管局。</w:t>
      </w:r>
    </w:p>
    <w:p>
      <w:pPr>
        <w:pStyle w:val="6"/>
      </w:pPr>
      <w:r>
        <w:rPr>
          <w:rFonts w:hint="eastAsia"/>
        </w:rPr>
        <w:t>企业外来投资主题库</w:t>
      </w:r>
    </w:p>
    <w:p>
      <w:pPr>
        <w:pStyle w:val="7"/>
      </w:pPr>
      <w:r>
        <w:rPr>
          <w:rFonts w:hint="eastAsia"/>
        </w:rPr>
        <w:t>面向主题</w:t>
      </w:r>
    </w:p>
    <w:p>
      <w:r>
        <w:rPr>
          <w:rFonts w:hint="eastAsia"/>
        </w:rPr>
        <w:t>面向主题：整合全国企业外来投资相关数据，建设企业外来投资主题库。通过对全国各省市间投资的资本来源、投资特点、偏好，能够掌握全国各省市经济发展中相互推动作用。主题库数据来源主要包括全国企业的股东属性信息、全国企业属性信息、投资信息。</w:t>
      </w:r>
    </w:p>
    <w:p>
      <w:pPr>
        <w:pStyle w:val="7"/>
      </w:pPr>
      <w:r>
        <w:rPr>
          <w:rFonts w:hint="eastAsia"/>
        </w:rPr>
        <w:t>数据源表</w:t>
      </w:r>
    </w:p>
    <w:p>
      <w:r>
        <w:rPr>
          <w:rFonts w:hint="eastAsia"/>
        </w:rPr>
        <w:t>数据源表：主体基本信息汇总表、注销信息表、吊销信息表、外商投资企业资金信息表、自然投资人详细信息表、企业投资信息表、主要人员信息表、其他相关维度表。</w:t>
      </w:r>
    </w:p>
    <w:p>
      <w:pPr>
        <w:pStyle w:val="7"/>
      </w:pPr>
      <w:r>
        <w:rPr>
          <w:rFonts w:hint="eastAsia"/>
        </w:rPr>
        <w:t>维度</w:t>
      </w:r>
    </w:p>
    <w:p>
      <w:r>
        <w:rPr>
          <w:rFonts w:hint="eastAsia"/>
        </w:rPr>
        <w:t>维度：出资时间、被投企业成立时间、被投企业状态、被投企业行业、被投企业区域、被投企业类型、被投企业规模、被投企业年龄、股东类别、投资类型、控股方式、投资规模、合资方式、股东区域、企业股东状态、企业股东行业、企业股东类型、企业股东规模、企业股东年龄、企业股东成立时间。</w:t>
      </w:r>
    </w:p>
    <w:p>
      <w:pPr>
        <w:pStyle w:val="7"/>
      </w:pPr>
      <w:r>
        <w:rPr>
          <w:rFonts w:hint="eastAsia"/>
        </w:rPr>
        <w:t>度量值</w:t>
      </w:r>
    </w:p>
    <w:p>
      <w:r>
        <w:rPr>
          <w:rFonts w:hint="eastAsia"/>
        </w:rPr>
        <w:t>度量值：投资企业户数、投资资金、被投资企业户数、被投资企业注册资本、被投资企业从业人员。</w:t>
      </w:r>
    </w:p>
    <w:p>
      <w:pPr>
        <w:pStyle w:val="7"/>
      </w:pPr>
      <w:r>
        <w:rPr>
          <w:rFonts w:hint="eastAsia"/>
        </w:rPr>
        <w:t>数据来源</w:t>
      </w:r>
    </w:p>
    <w:p>
      <w:r>
        <w:rPr>
          <w:rFonts w:hint="eastAsia"/>
        </w:rPr>
        <w:t>数据来源：省市场监管局。</w:t>
      </w:r>
    </w:p>
    <w:p>
      <w:pPr>
        <w:pStyle w:val="6"/>
      </w:pPr>
      <w:r>
        <w:rPr>
          <w:rFonts w:hint="eastAsia"/>
        </w:rPr>
        <w:t>创业主题库</w:t>
      </w:r>
    </w:p>
    <w:p>
      <w:pPr>
        <w:pStyle w:val="7"/>
      </w:pPr>
      <w:r>
        <w:rPr>
          <w:rFonts w:hint="eastAsia"/>
        </w:rPr>
        <w:t>面向主题</w:t>
      </w:r>
    </w:p>
    <w:p>
      <w:r>
        <w:rPr>
          <w:rFonts w:hint="eastAsia"/>
        </w:rPr>
        <w:t>面向主题：利用权威标准，梳理形成创业的定义，从新设企业中，界定出创业企业。利用企业的登记信息和年报信息结合，分析创业企业以及创业者的特征。</w:t>
      </w:r>
    </w:p>
    <w:p>
      <w:pPr>
        <w:pStyle w:val="7"/>
      </w:pPr>
      <w:r>
        <w:rPr>
          <w:rFonts w:hint="eastAsia"/>
        </w:rPr>
        <w:t>数据源表</w:t>
      </w:r>
    </w:p>
    <w:p>
      <w:r>
        <w:rPr>
          <w:rFonts w:hint="eastAsia"/>
        </w:rPr>
        <w:t>数据源表：主体基本信息汇总表、股东表、法定代表人表、年报表、外商投资企业资金信息、企业变更信息表、许可信息表、个体工商户基本信息表、个体工商户经营者基本信息、个体工商户许可证信息表、个体工商户许可经营项目信息表、各类维度码表等。</w:t>
      </w:r>
    </w:p>
    <w:p>
      <w:pPr>
        <w:pStyle w:val="7"/>
      </w:pPr>
      <w:r>
        <w:rPr>
          <w:rFonts w:hint="eastAsia"/>
        </w:rPr>
        <w:t>维度</w:t>
      </w:r>
    </w:p>
    <w:p>
      <w:r>
        <w:rPr>
          <w:rFonts w:hint="eastAsia"/>
        </w:rPr>
        <w:t>维度：行业、企业类型、注册资本规模、区域、小微企业等。</w:t>
      </w:r>
    </w:p>
    <w:p>
      <w:pPr>
        <w:pStyle w:val="7"/>
      </w:pPr>
      <w:r>
        <w:rPr>
          <w:rFonts w:hint="eastAsia"/>
        </w:rPr>
        <w:t>度量值</w:t>
      </w:r>
    </w:p>
    <w:p>
      <w:r>
        <w:rPr>
          <w:rFonts w:hint="eastAsia"/>
        </w:rPr>
        <w:t>度量值：创业企业数量、创业企业占新设企业比例、创业企业注册资本、创业者出资额占比、创业者数量、创业者占新设企业自然人股东数比例、新设企业户数、每万人创业企业数量、期末企业自然人股东数、新设企业自然人股东数等。</w:t>
      </w:r>
    </w:p>
    <w:p>
      <w:pPr>
        <w:pStyle w:val="7"/>
      </w:pPr>
      <w:r>
        <w:rPr>
          <w:rFonts w:hint="eastAsia"/>
        </w:rPr>
        <w:t>数据来源</w:t>
      </w:r>
    </w:p>
    <w:p>
      <w:r>
        <w:rPr>
          <w:rFonts w:hint="eastAsia"/>
        </w:rPr>
        <w:t>数据来源：省市场监管局。</w:t>
      </w:r>
    </w:p>
    <w:p>
      <w:pPr>
        <w:pStyle w:val="6"/>
      </w:pPr>
      <w:r>
        <w:rPr>
          <w:rFonts w:hint="eastAsia"/>
        </w:rPr>
        <w:t>企业活跃度主题库</w:t>
      </w:r>
    </w:p>
    <w:p>
      <w:pPr>
        <w:pStyle w:val="7"/>
      </w:pPr>
      <w:r>
        <w:rPr>
          <w:rFonts w:hint="eastAsia"/>
        </w:rPr>
        <w:t>面向主题</w:t>
      </w:r>
    </w:p>
    <w:p>
      <w:r>
        <w:rPr>
          <w:rFonts w:hint="eastAsia"/>
        </w:rPr>
        <w:t>面向主题：全国及各省市部分宏观经济数据以及市场监管企业数据，建设企业发展工商指数模型库。主要分析研究企业发展变化与GDP、财政收入等经济指标的相互关联和相互影响的规律。模型库除了纳入市场监管数据外，还需要纳入宏观经济数据，需要从工商指标中，提炼多个与宏观经济指标相关性高的指标，纳入模型中进行合成，形成企业发展指数。</w:t>
      </w:r>
    </w:p>
    <w:p>
      <w:pPr>
        <w:pStyle w:val="7"/>
      </w:pPr>
      <w:r>
        <w:rPr>
          <w:rFonts w:hint="eastAsia"/>
        </w:rPr>
        <w:t>数据源表</w:t>
      </w:r>
    </w:p>
    <w:p>
      <w:r>
        <w:rPr>
          <w:rFonts w:hint="eastAsia"/>
        </w:rPr>
        <w:t>数据源表：主体基本信息汇总表、注销信息表、吊销信息表、外商投资企业资金信息、企业变更信息表、自然投资人详细信息表、企业投资信息表、主要人员信息表、区域经济统计数据表、其他相关维度码表。</w:t>
      </w:r>
    </w:p>
    <w:p>
      <w:pPr>
        <w:pStyle w:val="7"/>
      </w:pPr>
      <w:r>
        <w:rPr>
          <w:rFonts w:hint="eastAsia"/>
        </w:rPr>
        <w:t>维度</w:t>
      </w:r>
    </w:p>
    <w:p>
      <w:r>
        <w:rPr>
          <w:rFonts w:hint="eastAsia"/>
        </w:rPr>
        <w:t>维度：时间、主体类型、所有制、区域、行业、企业状态、资金规模。</w:t>
      </w:r>
    </w:p>
    <w:p>
      <w:pPr>
        <w:pStyle w:val="7"/>
      </w:pPr>
      <w:r>
        <w:rPr>
          <w:rFonts w:hint="eastAsia"/>
        </w:rPr>
        <w:t>度量值</w:t>
      </w:r>
    </w:p>
    <w:p>
      <w:r>
        <w:rPr>
          <w:rFonts w:hint="eastAsia"/>
        </w:rPr>
        <w:t>度量值：活跃企业数量、不活跃企业数量、企业总数、活跃度、活跃分值。</w:t>
      </w:r>
    </w:p>
    <w:p>
      <w:pPr>
        <w:pStyle w:val="7"/>
      </w:pPr>
      <w:r>
        <w:rPr>
          <w:rFonts w:hint="eastAsia"/>
        </w:rPr>
        <w:t>数据来源</w:t>
      </w:r>
    </w:p>
    <w:p>
      <w:r>
        <w:rPr>
          <w:rFonts w:hint="eastAsia"/>
        </w:rPr>
        <w:t>数据来源：省市场监管局、省统计局、统计局公开网站。</w:t>
      </w:r>
    </w:p>
    <w:p>
      <w:r>
        <w:rPr>
          <w:rFonts w:hint="eastAsia"/>
        </w:rPr>
        <w:t>企业活跃度</w:t>
      </w:r>
    </w:p>
    <w:tbl>
      <w:tblPr>
        <w:tblStyle w:val="30"/>
        <w:tblW w:w="4665" w:type="pct"/>
        <w:jc w:val="center"/>
        <w:tblLayout w:type="autofit"/>
        <w:tblCellMar>
          <w:top w:w="0" w:type="dxa"/>
          <w:left w:w="108" w:type="dxa"/>
          <w:bottom w:w="0" w:type="dxa"/>
          <w:right w:w="108" w:type="dxa"/>
        </w:tblCellMar>
      </w:tblPr>
      <w:tblGrid>
        <w:gridCol w:w="1960"/>
        <w:gridCol w:w="2449"/>
        <w:gridCol w:w="2382"/>
        <w:gridCol w:w="1895"/>
      </w:tblGrid>
      <w:tr>
        <w:tblPrEx>
          <w:tblCellMar>
            <w:top w:w="0" w:type="dxa"/>
            <w:left w:w="108" w:type="dxa"/>
            <w:bottom w:w="0" w:type="dxa"/>
            <w:right w:w="108" w:type="dxa"/>
          </w:tblCellMar>
        </w:tblPrEx>
        <w:trPr>
          <w:trHeight w:val="270" w:hRule="atLeast"/>
          <w:jc w:val="center"/>
        </w:trPr>
        <w:tc>
          <w:tcPr>
            <w:tcW w:w="1128" w:type="pct"/>
            <w:tcBorders>
              <w:top w:val="single" w:color="auto" w:sz="4" w:space="0"/>
              <w:left w:val="single" w:color="auto" w:sz="4" w:space="0"/>
              <w:bottom w:val="single" w:color="auto" w:sz="4" w:space="0"/>
              <w:right w:val="single" w:color="auto" w:sz="4" w:space="0"/>
            </w:tcBorders>
            <w:shd w:val="clear" w:color="auto" w:fill="auto"/>
            <w:noWrap/>
            <w:vAlign w:val="center"/>
          </w:tcPr>
          <w:p>
            <w:pPr>
              <w:pStyle w:val="88"/>
            </w:pPr>
            <w:r>
              <w:rPr>
                <w:rFonts w:hint="eastAsia"/>
              </w:rPr>
              <w:t>名称</w:t>
            </w:r>
          </w:p>
        </w:tc>
        <w:tc>
          <w:tcPr>
            <w:tcW w:w="1410" w:type="pct"/>
            <w:tcBorders>
              <w:top w:val="single" w:color="auto" w:sz="4" w:space="0"/>
              <w:left w:val="nil"/>
              <w:bottom w:val="single" w:color="auto" w:sz="4" w:space="0"/>
              <w:right w:val="single" w:color="auto" w:sz="4" w:space="0"/>
            </w:tcBorders>
            <w:shd w:val="clear" w:color="auto" w:fill="auto"/>
            <w:noWrap/>
            <w:vAlign w:val="center"/>
          </w:tcPr>
          <w:p>
            <w:pPr>
              <w:pStyle w:val="88"/>
            </w:pPr>
            <w:r>
              <w:rPr>
                <w:rFonts w:hint="eastAsia"/>
              </w:rPr>
              <w:t>标题</w:t>
            </w:r>
          </w:p>
        </w:tc>
        <w:tc>
          <w:tcPr>
            <w:tcW w:w="1371" w:type="pct"/>
            <w:tcBorders>
              <w:top w:val="single" w:color="auto" w:sz="4" w:space="0"/>
              <w:left w:val="nil"/>
              <w:bottom w:val="single" w:color="auto" w:sz="4" w:space="0"/>
              <w:right w:val="single" w:color="auto" w:sz="4" w:space="0"/>
            </w:tcBorders>
            <w:shd w:val="clear" w:color="auto" w:fill="auto"/>
            <w:noWrap/>
            <w:vAlign w:val="center"/>
          </w:tcPr>
          <w:p>
            <w:pPr>
              <w:pStyle w:val="88"/>
            </w:pPr>
            <w:r>
              <w:rPr>
                <w:rFonts w:hint="eastAsia"/>
              </w:rPr>
              <w:t>类型(长度,小数)</w:t>
            </w:r>
          </w:p>
        </w:tc>
        <w:tc>
          <w:tcPr>
            <w:tcW w:w="1091" w:type="pct"/>
            <w:tcBorders>
              <w:top w:val="single" w:color="auto" w:sz="4" w:space="0"/>
              <w:left w:val="nil"/>
              <w:bottom w:val="single" w:color="auto" w:sz="4" w:space="0"/>
              <w:right w:val="single" w:color="auto" w:sz="4" w:space="0"/>
            </w:tcBorders>
            <w:shd w:val="clear" w:color="auto" w:fill="auto"/>
            <w:noWrap/>
            <w:vAlign w:val="center"/>
          </w:tcPr>
          <w:p>
            <w:pPr>
              <w:pStyle w:val="88"/>
            </w:pPr>
            <w:r>
              <w:rPr>
                <w:rFonts w:hint="eastAsia"/>
              </w:rPr>
              <w:t>关联维</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ID</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主体ID</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ENTNAME</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企业名称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字符(350)</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REGNO</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注册号</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UNISCID</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统一社会信用代码</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LEREP</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法定代表人</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字符(300)</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ZCZB</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注册资本</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INDUSTRYPHY</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行业</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行业代码</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ENTTYPE</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企业类型</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字符(4)</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企业类型</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ESTDATE</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成立日期</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时间戳</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日期(日期型)</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APPRDATE</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核准日期</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时间戳</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日期(日期型)</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EVATIME</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评定时间</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时间戳</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日期(日期型)</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STATE</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企业状态</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经营状态</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ENTTYPEPRO</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企业属性</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字符(25)</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企业属性</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OPLOCDISTRICT</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行政区划</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行政区划</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REGORG</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登记机关</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字符(25)</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登记机关</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GXDW</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管辖单位</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字符(25)</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登记机关</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PDND</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评定周期(1:年;2:季;)</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字符(15)</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QYGM</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企业规模</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字符(15)</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企业规模-活跃度</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CHNX</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存活年限</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字符(15)</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存活年限-活跃度</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ACTIVESTATE</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活跃状态</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字符(15)</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活跃度状态</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ACTIVESCORE</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活跃度总得分</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国税纳税状态</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A2</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地税纳税状态</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A3</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社保缴存状态</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A4</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公积金缴存状态</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A5</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企业变更备案次数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A6</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企业变更备案类别数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A7</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分支机构开设数量</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A8</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对外投资企业个数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A9</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对外投资总额</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A10</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投资次数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A11</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投资总额</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A12</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投资资本类变更类型数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A13</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投资资本类变更次数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A14</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迁移申请次数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A15</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分支机构注吊销数量</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A16</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欠缴社保月数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A17</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欠缴公积金月数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28"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A18</w:t>
            </w:r>
          </w:p>
        </w:tc>
        <w:tc>
          <w:tcPr>
            <w:tcW w:w="1410" w:type="pct"/>
            <w:tcBorders>
              <w:top w:val="nil"/>
              <w:left w:val="nil"/>
              <w:bottom w:val="single" w:color="auto" w:sz="4" w:space="0"/>
              <w:right w:val="single" w:color="auto" w:sz="4" w:space="0"/>
            </w:tcBorders>
            <w:shd w:val="clear" w:color="auto" w:fill="auto"/>
            <w:noWrap/>
            <w:vAlign w:val="center"/>
          </w:tcPr>
          <w:p>
            <w:pPr>
              <w:pStyle w:val="88"/>
            </w:pPr>
            <w:r>
              <w:rPr>
                <w:rFonts w:hint="eastAsia"/>
              </w:rPr>
              <w:t>搜索新闻结果数</w:t>
            </w:r>
          </w:p>
        </w:tc>
        <w:tc>
          <w:tcPr>
            <w:tcW w:w="1371"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091"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bl>
    <w:p>
      <w:pPr>
        <w:pStyle w:val="6"/>
      </w:pPr>
      <w:r>
        <w:rPr>
          <w:rFonts w:hint="eastAsia"/>
        </w:rPr>
        <w:t>小微企业扶持主题库</w:t>
      </w:r>
    </w:p>
    <w:p>
      <w:pPr>
        <w:pStyle w:val="7"/>
      </w:pPr>
      <w:r>
        <w:rPr>
          <w:rFonts w:hint="eastAsia"/>
        </w:rPr>
        <w:t>面向主题</w:t>
      </w:r>
    </w:p>
    <w:p>
      <w:r>
        <w:rPr>
          <w:rFonts w:hint="eastAsia"/>
        </w:rPr>
        <w:t>面向主题：利用综合业务平台、信用信息公示系统生成的企业基本信息、小微企业名录库，并且将年报信息、主体登记信息、扶持信息、违法违规信息相结合，形成多个指标。为分析小微企业扶持效果奠定数据基础。</w:t>
      </w:r>
    </w:p>
    <w:p>
      <w:pPr>
        <w:pStyle w:val="7"/>
      </w:pPr>
      <w:r>
        <w:rPr>
          <w:rFonts w:hint="eastAsia"/>
        </w:rPr>
        <w:t>数据源表</w:t>
      </w:r>
    </w:p>
    <w:p>
      <w:r>
        <w:rPr>
          <w:rFonts w:hint="eastAsia"/>
        </w:rPr>
        <w:t>数据源表：主体基本信息汇总表、注销信息表、吊销信息表、外商投资企业资金信息、企业变更信息表、经营异常名录信息表、自然投资人详细信息表、企业投资信息表、主要人员信息表、严重违法企业信息、行政处罚信息、公司年报信息表、非公司企业法人及合伙等年报信息表、分支机构及从事生产经营企业年报信息表、个体年报信息表、农民专业合作社年报信息表、小微企业名录基本信息表、小微企业名录年报信息表、企业享受扶持信息公示信息表、其他相关维度码表。</w:t>
      </w:r>
    </w:p>
    <w:p>
      <w:pPr>
        <w:pStyle w:val="7"/>
      </w:pPr>
      <w:r>
        <w:rPr>
          <w:rFonts w:hint="eastAsia"/>
        </w:rPr>
        <w:t>维度</w:t>
      </w:r>
    </w:p>
    <w:p>
      <w:r>
        <w:rPr>
          <w:rFonts w:hint="eastAsia"/>
        </w:rPr>
        <w:t>维度：时间、主体类型、区域、行业、企业状态、资金规模、登记机关、管辖地、企业年龄。</w:t>
      </w:r>
    </w:p>
    <w:p>
      <w:pPr>
        <w:pStyle w:val="7"/>
      </w:pPr>
      <w:r>
        <w:rPr>
          <w:rFonts w:hint="eastAsia"/>
        </w:rPr>
        <w:t>度量值</w:t>
      </w:r>
    </w:p>
    <w:p>
      <w:r>
        <w:rPr>
          <w:rFonts w:hint="eastAsia"/>
        </w:rPr>
        <w:t>度量值：期末户数、新设户数、注吊销户数、期末注册资本、新设注册资本、扶持企业户数、申请扶持企业户数、注吊销注册资本、利润总额、净利润、资产总额、负债总额、净资产总额、营业收入、纳税总额、从业人数。</w:t>
      </w:r>
    </w:p>
    <w:p>
      <w:pPr>
        <w:pStyle w:val="7"/>
      </w:pPr>
      <w:r>
        <w:rPr>
          <w:rFonts w:hint="eastAsia"/>
        </w:rPr>
        <w:t>数据来源</w:t>
      </w:r>
    </w:p>
    <w:p>
      <w:r>
        <w:rPr>
          <w:rFonts w:hint="eastAsia"/>
        </w:rPr>
        <w:t>数据来源：省市场监管局、其它部门</w:t>
      </w:r>
      <w:r>
        <w:t>数据</w:t>
      </w:r>
      <w:r>
        <w:rPr>
          <w:rFonts w:hint="eastAsia"/>
        </w:rPr>
        <w:t>。</w:t>
      </w:r>
    </w:p>
    <w:tbl>
      <w:tblPr>
        <w:tblStyle w:val="30"/>
        <w:tblW w:w="5000" w:type="pct"/>
        <w:jc w:val="center"/>
        <w:tblLayout w:type="autofit"/>
        <w:tblCellMar>
          <w:top w:w="0" w:type="dxa"/>
          <w:left w:w="108" w:type="dxa"/>
          <w:bottom w:w="0" w:type="dxa"/>
          <w:right w:w="108" w:type="dxa"/>
        </w:tblCellMar>
      </w:tblPr>
      <w:tblGrid>
        <w:gridCol w:w="2151"/>
        <w:gridCol w:w="1707"/>
        <w:gridCol w:w="2871"/>
        <w:gridCol w:w="2581"/>
      </w:tblGrid>
      <w:tr>
        <w:tblPrEx>
          <w:tblCellMar>
            <w:top w:w="0" w:type="dxa"/>
            <w:left w:w="108" w:type="dxa"/>
            <w:bottom w:w="0" w:type="dxa"/>
            <w:right w:w="108" w:type="dxa"/>
          </w:tblCellMar>
        </w:tblPrEx>
        <w:trPr>
          <w:trHeight w:val="270" w:hRule="atLeast"/>
          <w:jc w:val="center"/>
        </w:trPr>
        <w:tc>
          <w:tcPr>
            <w:tcW w:w="1155" w:type="pct"/>
            <w:tcBorders>
              <w:top w:val="single" w:color="auto" w:sz="4" w:space="0"/>
              <w:left w:val="single" w:color="auto" w:sz="4" w:space="0"/>
              <w:bottom w:val="single" w:color="auto" w:sz="4" w:space="0"/>
              <w:right w:val="single" w:color="auto" w:sz="4" w:space="0"/>
            </w:tcBorders>
            <w:shd w:val="clear" w:color="auto" w:fill="auto"/>
            <w:noWrap/>
            <w:vAlign w:val="center"/>
          </w:tcPr>
          <w:p>
            <w:pPr>
              <w:pStyle w:val="88"/>
            </w:pPr>
            <w:r>
              <w:rPr>
                <w:rFonts w:hint="eastAsia"/>
              </w:rPr>
              <w:t>名称</w:t>
            </w:r>
          </w:p>
        </w:tc>
        <w:tc>
          <w:tcPr>
            <w:tcW w:w="917" w:type="pct"/>
            <w:tcBorders>
              <w:top w:val="single" w:color="auto" w:sz="4" w:space="0"/>
              <w:left w:val="nil"/>
              <w:bottom w:val="single" w:color="auto" w:sz="4" w:space="0"/>
              <w:right w:val="single" w:color="auto" w:sz="4" w:space="0"/>
            </w:tcBorders>
            <w:shd w:val="clear" w:color="auto" w:fill="auto"/>
            <w:noWrap/>
            <w:vAlign w:val="center"/>
          </w:tcPr>
          <w:p>
            <w:pPr>
              <w:pStyle w:val="88"/>
            </w:pPr>
            <w:r>
              <w:rPr>
                <w:rFonts w:hint="eastAsia"/>
              </w:rPr>
              <w:t>聚集方式</w:t>
            </w:r>
          </w:p>
        </w:tc>
        <w:tc>
          <w:tcPr>
            <w:tcW w:w="1542" w:type="pct"/>
            <w:tcBorders>
              <w:top w:val="single" w:color="auto" w:sz="4" w:space="0"/>
              <w:left w:val="nil"/>
              <w:bottom w:val="single" w:color="auto" w:sz="4" w:space="0"/>
              <w:right w:val="single" w:color="auto" w:sz="4" w:space="0"/>
            </w:tcBorders>
            <w:shd w:val="clear" w:color="auto" w:fill="auto"/>
            <w:noWrap/>
            <w:vAlign w:val="center"/>
          </w:tcPr>
          <w:p>
            <w:pPr>
              <w:pStyle w:val="88"/>
            </w:pPr>
            <w:r>
              <w:rPr>
                <w:rFonts w:hint="eastAsia"/>
              </w:rPr>
              <w:t>类型(长度,小数)</w:t>
            </w:r>
          </w:p>
        </w:tc>
        <w:tc>
          <w:tcPr>
            <w:tcW w:w="1386" w:type="pct"/>
            <w:tcBorders>
              <w:top w:val="single" w:color="auto" w:sz="4" w:space="0"/>
              <w:left w:val="nil"/>
              <w:bottom w:val="single" w:color="auto" w:sz="4" w:space="0"/>
              <w:right w:val="single" w:color="auto" w:sz="4" w:space="0"/>
            </w:tcBorders>
            <w:shd w:val="clear" w:color="auto" w:fill="auto"/>
            <w:noWrap/>
            <w:vAlign w:val="center"/>
          </w:tcPr>
          <w:p>
            <w:pPr>
              <w:pStyle w:val="88"/>
            </w:pPr>
            <w:r>
              <w:rPr>
                <w:rFonts w:hint="eastAsia"/>
              </w:rPr>
              <w:t>关联维</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ID</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字符(50,0)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EXCHANGEDATE</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时间戳(0,0)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REGNO</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字符(50,0)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ENTTYPE</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字符(4,0)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企业类型</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ENTNAME</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字符(200,0)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ENTTRA</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字符(225,0)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ESTDATE</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日期(0,0)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年月日</w:t>
            </w:r>
          </w:p>
        </w:tc>
      </w:tr>
      <w:tr>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REGCAP</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REGORG</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字符(30,0)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登记机关</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FUNDAM</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CONAM</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JJHKLB</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整型</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经济户口类别</w:t>
            </w:r>
          </w:p>
        </w:tc>
      </w:tr>
      <w:tr>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QYGM</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企业规模</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QYGMMC</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EMPNUM</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XZQH</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字符(20,0)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行政区划</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VENDINC</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REGORGID</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登记机关</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QYGM_B</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HZRQQ</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时间戳(0,0)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日期(日期型)</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TSLX</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字符(3,0)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状态</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ZCZB</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QYGMXN</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DZ</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字符(300,0)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XZQH_DZ</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字符(6,0)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行政区划</w:t>
            </w:r>
          </w:p>
        </w:tc>
      </w:tr>
      <w:tr>
        <w:tblPrEx>
          <w:tblCellMar>
            <w:top w:w="0" w:type="dxa"/>
            <w:left w:w="108" w:type="dxa"/>
            <w:bottom w:w="0" w:type="dxa"/>
            <w:right w:w="108" w:type="dxa"/>
          </w:tblCellMar>
        </w:tblPrEx>
        <w:trPr>
          <w:trHeight w:val="270" w:hRule="atLeast"/>
          <w:jc w:val="center"/>
        </w:trPr>
        <w:tc>
          <w:tcPr>
            <w:tcW w:w="1155" w:type="pct"/>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INDUSTRY</w:t>
            </w:r>
          </w:p>
        </w:tc>
        <w:tc>
          <w:tcPr>
            <w:tcW w:w="917" w:type="pct"/>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1542" w:type="pct"/>
            <w:tcBorders>
              <w:top w:val="nil"/>
              <w:left w:val="nil"/>
              <w:bottom w:val="single" w:color="auto" w:sz="4" w:space="0"/>
              <w:right w:val="single" w:color="auto" w:sz="4" w:space="0"/>
            </w:tcBorders>
            <w:shd w:val="clear" w:color="auto" w:fill="auto"/>
            <w:noWrap/>
            <w:vAlign w:val="center"/>
          </w:tcPr>
          <w:p>
            <w:pPr>
              <w:pStyle w:val="88"/>
            </w:pPr>
            <w:r>
              <w:rPr>
                <w:rFonts w:hint="eastAsia"/>
              </w:rPr>
              <w:t>字符(9,0)</w:t>
            </w:r>
          </w:p>
        </w:tc>
        <w:tc>
          <w:tcPr>
            <w:tcW w:w="1386" w:type="pct"/>
            <w:tcBorders>
              <w:top w:val="nil"/>
              <w:left w:val="nil"/>
              <w:bottom w:val="single" w:color="auto" w:sz="4" w:space="0"/>
              <w:right w:val="single" w:color="auto" w:sz="4" w:space="0"/>
            </w:tcBorders>
            <w:shd w:val="clear" w:color="auto" w:fill="auto"/>
            <w:noWrap/>
            <w:vAlign w:val="center"/>
          </w:tcPr>
          <w:p>
            <w:pPr>
              <w:pStyle w:val="88"/>
            </w:pPr>
            <w:r>
              <w:rPr>
                <w:rFonts w:hint="eastAsia"/>
              </w:rPr>
              <w:t>行业代码</w:t>
            </w:r>
          </w:p>
        </w:tc>
      </w:tr>
    </w:tbl>
    <w:p/>
    <w:p>
      <w:pPr>
        <w:pStyle w:val="6"/>
      </w:pPr>
      <w:r>
        <w:rPr>
          <w:rFonts w:hint="eastAsia"/>
        </w:rPr>
        <w:t>企业年报分析主题库</w:t>
      </w:r>
    </w:p>
    <w:p>
      <w:pPr>
        <w:pStyle w:val="7"/>
      </w:pPr>
      <w:r>
        <w:rPr>
          <w:rFonts w:hint="eastAsia"/>
        </w:rPr>
        <w:t>面向主题</w:t>
      </w:r>
    </w:p>
    <w:p>
      <w:r>
        <w:rPr>
          <w:rFonts w:hint="eastAsia"/>
        </w:rPr>
        <w:t>面向主题：基于企业年报公示信息，与企业登记信息结合，面向企业年报分析需求，构建年报公示模型库。</w:t>
      </w:r>
    </w:p>
    <w:p>
      <w:pPr>
        <w:pStyle w:val="7"/>
      </w:pPr>
      <w:r>
        <w:rPr>
          <w:rFonts w:hint="eastAsia"/>
        </w:rPr>
        <w:t>数据源表</w:t>
      </w:r>
    </w:p>
    <w:p>
      <w:r>
        <w:rPr>
          <w:rFonts w:hint="eastAsia"/>
        </w:rPr>
        <w:t>数据源表：登记信息表、注吊销表、公司年报信息、非公司企业法人及合伙等年报信息、分支机构及从事生产经营企业年报信息、个体年报信息、农民专业合作社年报信息表、其他相关维度码表。</w:t>
      </w:r>
    </w:p>
    <w:p>
      <w:pPr>
        <w:pStyle w:val="7"/>
      </w:pPr>
      <w:r>
        <w:rPr>
          <w:rFonts w:hint="eastAsia"/>
        </w:rPr>
        <w:t>维度</w:t>
      </w:r>
    </w:p>
    <w:p>
      <w:r>
        <w:rPr>
          <w:rFonts w:hint="eastAsia"/>
        </w:rPr>
        <w:t>维度：行业，主体类型，区域，资金规模，年龄、年报年度、出资比例、公示程度。</w:t>
      </w:r>
    </w:p>
    <w:p>
      <w:pPr>
        <w:pStyle w:val="7"/>
      </w:pPr>
      <w:r>
        <w:rPr>
          <w:rFonts w:hint="eastAsia"/>
        </w:rPr>
        <w:t>度量值</w:t>
      </w:r>
    </w:p>
    <w:p>
      <w:r>
        <w:rPr>
          <w:rFonts w:hint="eastAsia"/>
        </w:rPr>
        <w:t>度量值：企业未年报量、企业已报量、未年报企业、年报率、年报信息异常类型、年报公示程度、补报年报监测、出资信息存在差异企业数。</w:t>
      </w:r>
    </w:p>
    <w:p>
      <w:pPr>
        <w:pStyle w:val="7"/>
      </w:pPr>
      <w:r>
        <w:rPr>
          <w:rFonts w:hint="eastAsia"/>
        </w:rPr>
        <w:t>数据来源</w:t>
      </w:r>
    </w:p>
    <w:p>
      <w:r>
        <w:rPr>
          <w:rFonts w:hint="eastAsia"/>
        </w:rPr>
        <w:t>数据来源：省市场监管局。</w:t>
      </w:r>
    </w:p>
    <w:p>
      <w:r>
        <w:rPr>
          <w:rFonts w:hint="eastAsia"/>
        </w:rPr>
        <w:t>年报基本信息</w:t>
      </w:r>
    </w:p>
    <w:tbl>
      <w:tblPr>
        <w:tblStyle w:val="30"/>
        <w:tblW w:w="8670" w:type="dxa"/>
        <w:tblInd w:w="93" w:type="dxa"/>
        <w:tblLayout w:type="autofit"/>
        <w:tblCellMar>
          <w:top w:w="0" w:type="dxa"/>
          <w:left w:w="108" w:type="dxa"/>
          <w:bottom w:w="0" w:type="dxa"/>
          <w:right w:w="108" w:type="dxa"/>
        </w:tblCellMar>
      </w:tblPr>
      <w:tblGrid>
        <w:gridCol w:w="2067"/>
        <w:gridCol w:w="1634"/>
        <w:gridCol w:w="2268"/>
        <w:gridCol w:w="2701"/>
      </w:tblGrid>
      <w:tr>
        <w:tblPrEx>
          <w:tblCellMar>
            <w:top w:w="0" w:type="dxa"/>
            <w:left w:w="108" w:type="dxa"/>
            <w:bottom w:w="0" w:type="dxa"/>
            <w:right w:w="108" w:type="dxa"/>
          </w:tblCellMar>
        </w:tblPrEx>
        <w:trPr>
          <w:trHeight w:val="270" w:hRule="atLeast"/>
        </w:trPr>
        <w:tc>
          <w:tcPr>
            <w:tcW w:w="2067" w:type="dxa"/>
            <w:tcBorders>
              <w:top w:val="single" w:color="auto" w:sz="4" w:space="0"/>
              <w:left w:val="single" w:color="auto" w:sz="4" w:space="0"/>
              <w:bottom w:val="single" w:color="auto" w:sz="4" w:space="0"/>
              <w:right w:val="single" w:color="auto" w:sz="4" w:space="0"/>
            </w:tcBorders>
            <w:shd w:val="clear" w:color="auto" w:fill="auto"/>
            <w:noWrap/>
            <w:vAlign w:val="center"/>
          </w:tcPr>
          <w:p>
            <w:pPr>
              <w:pStyle w:val="88"/>
            </w:pPr>
            <w:r>
              <w:rPr>
                <w:rFonts w:hint="eastAsia"/>
              </w:rPr>
              <w:t>名称</w:t>
            </w:r>
          </w:p>
        </w:tc>
        <w:tc>
          <w:tcPr>
            <w:tcW w:w="1634" w:type="dxa"/>
            <w:tcBorders>
              <w:top w:val="single" w:color="auto" w:sz="4" w:space="0"/>
              <w:left w:val="nil"/>
              <w:bottom w:val="single" w:color="auto" w:sz="4" w:space="0"/>
              <w:right w:val="single" w:color="auto" w:sz="4" w:space="0"/>
            </w:tcBorders>
            <w:shd w:val="clear" w:color="auto" w:fill="auto"/>
            <w:noWrap/>
            <w:vAlign w:val="center"/>
          </w:tcPr>
          <w:p>
            <w:pPr>
              <w:pStyle w:val="88"/>
            </w:pPr>
            <w:r>
              <w:rPr>
                <w:rFonts w:hint="eastAsia"/>
              </w:rPr>
              <w:t>聚集方式</w:t>
            </w:r>
          </w:p>
        </w:tc>
        <w:tc>
          <w:tcPr>
            <w:tcW w:w="2268" w:type="dxa"/>
            <w:tcBorders>
              <w:top w:val="single" w:color="auto" w:sz="4" w:space="0"/>
              <w:left w:val="nil"/>
              <w:bottom w:val="single" w:color="auto" w:sz="4" w:space="0"/>
              <w:right w:val="single" w:color="auto" w:sz="4" w:space="0"/>
            </w:tcBorders>
            <w:shd w:val="clear" w:color="auto" w:fill="auto"/>
            <w:noWrap/>
            <w:vAlign w:val="center"/>
          </w:tcPr>
          <w:p>
            <w:pPr>
              <w:pStyle w:val="88"/>
            </w:pPr>
            <w:r>
              <w:rPr>
                <w:rFonts w:hint="eastAsia"/>
              </w:rPr>
              <w:t>类型(长度,小数)</w:t>
            </w:r>
          </w:p>
        </w:tc>
        <w:tc>
          <w:tcPr>
            <w:tcW w:w="2701" w:type="dxa"/>
            <w:tcBorders>
              <w:top w:val="single" w:color="auto" w:sz="4" w:space="0"/>
              <w:left w:val="nil"/>
              <w:bottom w:val="single" w:color="auto" w:sz="4" w:space="0"/>
              <w:right w:val="single" w:color="auto" w:sz="4" w:space="0"/>
            </w:tcBorders>
            <w:shd w:val="clear" w:color="auto" w:fill="auto"/>
            <w:noWrap/>
            <w:vAlign w:val="center"/>
          </w:tcPr>
          <w:p>
            <w:pPr>
              <w:pStyle w:val="88"/>
            </w:pPr>
            <w:r>
              <w:rPr>
                <w:rFonts w:hint="eastAsia"/>
              </w:rPr>
              <w:t>关联维</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NB_ID</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字符(80)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NBXH</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ANCHEYEAR</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字符(4)</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ENTNAME</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字符(150)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NAME</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ANCHEDATE</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时间戳</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日期(日期型)</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BUSST</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TEL</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ADDR</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POSTALCODE</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字符(9)</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EMAIL</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字符(150)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EMPNUM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EMPNUMDIS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COLGRANUM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RETSOLNUM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DISPERNUM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DISEMPLNUM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COLEMPLNUM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RETEMPLNUM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UNEEMPLNUM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UNENUM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浮点(0,0)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FUNDAM</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RATGRO</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RATGROFLAG</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ASSGRO</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浮点(24,6)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ASSGRODIS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LIAGRO</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浮点(24,6)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LIAGRODIS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VENDINC</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浮点(24,6)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VENDINCFLAG</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MAIBUSINC</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浮点(24,6)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MAIBUSINCDIS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PROGRO</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浮点(24,6)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PROGRODIS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NETINC</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浮点(24,6)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NETINCDIS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RATGRODIS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TOTEQU</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浮点(24,6)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TOTEQUDIS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STATE</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WEBSITEFLAG</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是否有网站标志</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FOREIGNFLAG</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是否有对外投资企业标志</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ISWEB</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来源类型</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EMPNUMPLUS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浮点(19,0)</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VENDINCPLUS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r>
        <w:tblPrEx>
          <w:tblCellMar>
            <w:top w:w="0" w:type="dxa"/>
            <w:left w:w="108" w:type="dxa"/>
            <w:bottom w:w="0" w:type="dxa"/>
            <w:right w:w="108" w:type="dxa"/>
          </w:tblCellMar>
        </w:tblPrEx>
        <w:trPr>
          <w:trHeight w:val="270" w:hRule="atLeast"/>
        </w:trPr>
        <w:tc>
          <w:tcPr>
            <w:tcW w:w="2067" w:type="dxa"/>
            <w:tcBorders>
              <w:top w:val="nil"/>
              <w:left w:val="single" w:color="auto" w:sz="4" w:space="0"/>
              <w:bottom w:val="single" w:color="auto" w:sz="4" w:space="0"/>
              <w:right w:val="single" w:color="auto" w:sz="4" w:space="0"/>
            </w:tcBorders>
            <w:shd w:val="clear" w:color="auto" w:fill="auto"/>
            <w:noWrap/>
            <w:vAlign w:val="center"/>
          </w:tcPr>
          <w:p>
            <w:pPr>
              <w:pStyle w:val="88"/>
            </w:pPr>
            <w:r>
              <w:rPr>
                <w:rFonts w:hint="eastAsia"/>
              </w:rPr>
              <w:t>RATGROPLUS</w:t>
            </w:r>
          </w:p>
        </w:tc>
        <w:tc>
          <w:tcPr>
            <w:tcW w:w="1634" w:type="dxa"/>
            <w:tcBorders>
              <w:top w:val="nil"/>
              <w:left w:val="nil"/>
              <w:bottom w:val="single" w:color="auto" w:sz="4" w:space="0"/>
              <w:right w:val="single" w:color="auto" w:sz="4" w:space="0"/>
            </w:tcBorders>
            <w:shd w:val="clear" w:color="auto" w:fill="auto"/>
            <w:noWrap/>
            <w:vAlign w:val="center"/>
          </w:tcPr>
          <w:p>
            <w:pPr>
              <w:pStyle w:val="88"/>
            </w:pPr>
            <w:r>
              <w:rPr>
                <w:rFonts w:hint="eastAsia"/>
              </w:rPr>
              <w:t>自动</w:t>
            </w:r>
          </w:p>
        </w:tc>
        <w:tc>
          <w:tcPr>
            <w:tcW w:w="2268"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2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　</w:t>
            </w:r>
          </w:p>
        </w:tc>
      </w:tr>
    </w:tbl>
    <w:p>
      <w:pPr>
        <w:pStyle w:val="6"/>
      </w:pPr>
      <w:r>
        <w:rPr>
          <w:rFonts w:hint="eastAsia"/>
        </w:rPr>
        <w:t>主体抽查主题库</w:t>
      </w:r>
    </w:p>
    <w:p>
      <w:pPr>
        <w:pStyle w:val="7"/>
      </w:pPr>
      <w:r>
        <w:rPr>
          <w:rFonts w:hint="eastAsia"/>
        </w:rPr>
        <w:t>面向模型</w:t>
      </w:r>
    </w:p>
    <w:p>
      <w:r>
        <w:rPr>
          <w:rFonts w:hint="eastAsia"/>
        </w:rPr>
        <w:t>面向主题：抽查制度是商事制度改革后，市场监管转变监管方式的重要体现，是完善信用监管机制，构建事中事后监管模式的重要举措。通过对市场主体公示信息、经营行为抽查结果的分析，为领导全面了解市场主体信息真实性、准确性，公示的相关信息的及时性，掌握企业的经营状况、受罚情况提供依据，有效提高市场监管的针对性。抽查结果的分析一方面体现出市场监管的工作成效，另一方面，反映出市场秩序的动态变化情况。</w:t>
      </w:r>
    </w:p>
    <w:p>
      <w:pPr>
        <w:pStyle w:val="7"/>
      </w:pPr>
      <w:r>
        <w:rPr>
          <w:rFonts w:hint="eastAsia"/>
        </w:rPr>
        <w:t>数据源表</w:t>
      </w:r>
    </w:p>
    <w:p>
      <w:r>
        <w:rPr>
          <w:rFonts w:hint="eastAsia"/>
        </w:rPr>
        <w:t>数据源表：市场监管登记信息（含内外注吊销）表、企业法人信息表、企业投资人信息表、企业董事、监事信息表、企业分支机构信息表、企业变更登记信息表、企业注吊销登记信息表、企业年报信息表、企业信息公示系统自主公示信息表、市场主体抽查结果表。</w:t>
      </w:r>
    </w:p>
    <w:p>
      <w:pPr>
        <w:pStyle w:val="7"/>
      </w:pPr>
      <w:r>
        <w:rPr>
          <w:rFonts w:hint="eastAsia"/>
        </w:rPr>
        <w:t>维度</w:t>
      </w:r>
    </w:p>
    <w:p>
      <w:r>
        <w:rPr>
          <w:rFonts w:hint="eastAsia"/>
        </w:rPr>
        <w:t>维度：行业，主体类型，区域，资金规模，年龄、抽查事项、实施机关、抽查开始时间、抽查结束时间、抽查结果、抽查日期、抽查机关、处理意见、实施状态。</w:t>
      </w:r>
    </w:p>
    <w:p>
      <w:pPr>
        <w:pStyle w:val="7"/>
      </w:pPr>
      <w:r>
        <w:rPr>
          <w:rFonts w:hint="eastAsia"/>
        </w:rPr>
        <w:t>度量值</w:t>
      </w:r>
    </w:p>
    <w:p>
      <w:r>
        <w:rPr>
          <w:rFonts w:hint="eastAsia"/>
        </w:rPr>
        <w:t>度量值：抽查户数，已抽查户数，抽查中户数，未抽查户数，抽查合格率。</w:t>
      </w:r>
    </w:p>
    <w:p>
      <w:pPr>
        <w:pStyle w:val="7"/>
      </w:pPr>
      <w:r>
        <w:rPr>
          <w:rFonts w:hint="eastAsia"/>
        </w:rPr>
        <w:t>数据来源</w:t>
      </w:r>
    </w:p>
    <w:p>
      <w:r>
        <w:rPr>
          <w:rFonts w:hint="eastAsia"/>
        </w:rPr>
        <w:t>数据来源：省市场监管局。</w:t>
      </w:r>
    </w:p>
    <w:p>
      <w:pPr>
        <w:pStyle w:val="6"/>
      </w:pPr>
      <w:r>
        <w:rPr>
          <w:rFonts w:hint="eastAsia"/>
        </w:rPr>
        <w:t>经营异常名录主题库</w:t>
      </w:r>
    </w:p>
    <w:p>
      <w:pPr>
        <w:pStyle w:val="7"/>
      </w:pPr>
      <w:r>
        <w:rPr>
          <w:rFonts w:hint="eastAsia"/>
        </w:rPr>
        <w:t>面向主题</w:t>
      </w:r>
    </w:p>
    <w:p>
      <w:r>
        <w:rPr>
          <w:rFonts w:hint="eastAsia"/>
        </w:rPr>
        <w:t>面向主题：经营异常名录制度强化企业信用约束，促进企业诚信自律，扩大社会监督，是信用监管的保障措施，也是实现“严管”的基础制度。通过分析企业经营异常比例，反映企业经营活跃程度。分析经营异常企业的行业分布、地域分布、资金规模、主体类型以及生命周期特点，掌握全市经营异常企业状况，为下一步深化商事制度改革提供定量的、可靠的分析资料。</w:t>
      </w:r>
    </w:p>
    <w:p>
      <w:pPr>
        <w:pStyle w:val="7"/>
      </w:pPr>
      <w:r>
        <w:rPr>
          <w:rFonts w:hint="eastAsia"/>
        </w:rPr>
        <w:t>数据源表</w:t>
      </w:r>
    </w:p>
    <w:p>
      <w:r>
        <w:rPr>
          <w:rFonts w:hint="eastAsia"/>
        </w:rPr>
        <w:t>数据源表：市场监管登记信息表、企业法人信息表、企业投资人信息表、企业董事、监事信息表、企业分支机构信息表、企业变更登记信息表、企业注吊销登记信息表、企业年报信息表、企业经营异常名录表、企业经营异常移出信息表。</w:t>
      </w:r>
    </w:p>
    <w:p>
      <w:pPr>
        <w:pStyle w:val="7"/>
      </w:pPr>
      <w:r>
        <w:rPr>
          <w:rFonts w:hint="eastAsia"/>
        </w:rPr>
        <w:t>维度</w:t>
      </w:r>
    </w:p>
    <w:p>
      <w:r>
        <w:rPr>
          <w:rFonts w:hint="eastAsia"/>
        </w:rPr>
        <w:t>维度：行业，主体类型，区域，资金规模，年龄、作出列入决定机关、严重违法状态、经营异常名录状态、异常名录列入原因、列入时长。</w:t>
      </w:r>
    </w:p>
    <w:p>
      <w:pPr>
        <w:pStyle w:val="7"/>
      </w:pPr>
      <w:r>
        <w:rPr>
          <w:rFonts w:hint="eastAsia"/>
        </w:rPr>
        <w:t>度量值</w:t>
      </w:r>
    </w:p>
    <w:p>
      <w:r>
        <w:rPr>
          <w:rFonts w:hint="eastAsia"/>
        </w:rPr>
        <w:t>度量值：企业经营异常水平，列入户数，列入记录数，移出户数，移出记录数，移出率。</w:t>
      </w:r>
    </w:p>
    <w:p>
      <w:pPr>
        <w:pStyle w:val="7"/>
      </w:pPr>
      <w:r>
        <w:rPr>
          <w:rFonts w:hint="eastAsia"/>
        </w:rPr>
        <w:t>数据来源</w:t>
      </w:r>
    </w:p>
    <w:p>
      <w:r>
        <w:rPr>
          <w:rFonts w:hint="eastAsia"/>
        </w:rPr>
        <w:t>数据来源：省市场监管局。</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2675"/>
        <w:gridCol w:w="1843"/>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名称</w:t>
            </w:r>
          </w:p>
        </w:tc>
        <w:tc>
          <w:tcPr>
            <w:tcW w:w="2675" w:type="dxa"/>
            <w:shd w:val="clear" w:color="auto" w:fill="auto"/>
            <w:noWrap/>
            <w:vAlign w:val="center"/>
          </w:tcPr>
          <w:p>
            <w:pPr>
              <w:pStyle w:val="88"/>
            </w:pPr>
            <w:r>
              <w:rPr>
                <w:rFonts w:hint="eastAsia"/>
              </w:rPr>
              <w:t>标题</w:t>
            </w:r>
          </w:p>
        </w:tc>
        <w:tc>
          <w:tcPr>
            <w:tcW w:w="1843" w:type="dxa"/>
            <w:shd w:val="clear" w:color="auto" w:fill="auto"/>
            <w:noWrap/>
            <w:vAlign w:val="center"/>
          </w:tcPr>
          <w:p>
            <w:pPr>
              <w:pStyle w:val="88"/>
            </w:pPr>
            <w:r>
              <w:rPr>
                <w:rFonts w:hint="eastAsia"/>
              </w:rPr>
              <w:t>表达式/字段</w:t>
            </w:r>
          </w:p>
        </w:tc>
        <w:tc>
          <w:tcPr>
            <w:tcW w:w="2318" w:type="dxa"/>
            <w:shd w:val="clear" w:color="auto" w:fill="auto"/>
            <w:noWrap/>
            <w:vAlign w:val="center"/>
          </w:tcPr>
          <w:p>
            <w:pPr>
              <w:pStyle w:val="88"/>
            </w:pPr>
            <w:r>
              <w:rPr>
                <w:rFonts w:hint="eastAsia"/>
              </w:rPr>
              <w:t>类型(长度,小数)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ID</w:t>
            </w:r>
          </w:p>
        </w:tc>
        <w:tc>
          <w:tcPr>
            <w:tcW w:w="2675" w:type="dxa"/>
            <w:shd w:val="clear" w:color="auto" w:fill="auto"/>
            <w:noWrap/>
            <w:vAlign w:val="center"/>
          </w:tcPr>
          <w:p>
            <w:pPr>
              <w:pStyle w:val="88"/>
            </w:pPr>
            <w:r>
              <w:rPr>
                <w:rFonts w:hint="eastAsia"/>
              </w:rPr>
              <w:t>抽查企业基本表id</w:t>
            </w:r>
          </w:p>
        </w:tc>
        <w:tc>
          <w:tcPr>
            <w:tcW w:w="1843" w:type="dxa"/>
            <w:shd w:val="clear" w:color="auto" w:fill="auto"/>
            <w:noWrap/>
            <w:vAlign w:val="center"/>
          </w:tcPr>
          <w:p>
            <w:pPr>
              <w:pStyle w:val="88"/>
            </w:pPr>
            <w:r>
              <w:rPr>
                <w:rFonts w:hint="eastAsia"/>
              </w:rPr>
              <w:t>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RWID</w:t>
            </w:r>
          </w:p>
        </w:tc>
        <w:tc>
          <w:tcPr>
            <w:tcW w:w="2675" w:type="dxa"/>
            <w:shd w:val="clear" w:color="auto" w:fill="auto"/>
            <w:noWrap/>
            <w:vAlign w:val="center"/>
          </w:tcPr>
          <w:p>
            <w:pPr>
              <w:pStyle w:val="88"/>
            </w:pPr>
            <w:r>
              <w:rPr>
                <w:rFonts w:hint="eastAsia"/>
              </w:rPr>
              <w:t>任务id</w:t>
            </w:r>
          </w:p>
        </w:tc>
        <w:tc>
          <w:tcPr>
            <w:tcW w:w="1843" w:type="dxa"/>
            <w:shd w:val="clear" w:color="auto" w:fill="auto"/>
            <w:noWrap/>
            <w:vAlign w:val="center"/>
          </w:tcPr>
          <w:p>
            <w:pPr>
              <w:pStyle w:val="88"/>
            </w:pPr>
            <w:r>
              <w:rPr>
                <w:rFonts w:hint="eastAsia"/>
              </w:rPr>
              <w:t>RWID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CJRQ</w:t>
            </w:r>
          </w:p>
        </w:tc>
        <w:tc>
          <w:tcPr>
            <w:tcW w:w="2675" w:type="dxa"/>
            <w:shd w:val="clear" w:color="auto" w:fill="auto"/>
            <w:noWrap/>
            <w:vAlign w:val="center"/>
          </w:tcPr>
          <w:p>
            <w:pPr>
              <w:pStyle w:val="88"/>
            </w:pPr>
            <w:r>
              <w:rPr>
                <w:rFonts w:hint="eastAsia"/>
              </w:rPr>
              <w:t>创建日期</w:t>
            </w:r>
          </w:p>
        </w:tc>
        <w:tc>
          <w:tcPr>
            <w:tcW w:w="1843" w:type="dxa"/>
            <w:shd w:val="clear" w:color="auto" w:fill="auto"/>
            <w:noWrap/>
            <w:vAlign w:val="center"/>
          </w:tcPr>
          <w:p>
            <w:pPr>
              <w:pStyle w:val="88"/>
            </w:pPr>
            <w:r>
              <w:rPr>
                <w:rFonts w:hint="eastAsia"/>
              </w:rPr>
              <w:t>CJRQ</w:t>
            </w:r>
          </w:p>
        </w:tc>
        <w:tc>
          <w:tcPr>
            <w:tcW w:w="2318" w:type="dxa"/>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CREATEUSER</w:t>
            </w:r>
          </w:p>
        </w:tc>
        <w:tc>
          <w:tcPr>
            <w:tcW w:w="2675" w:type="dxa"/>
            <w:shd w:val="clear" w:color="auto" w:fill="auto"/>
            <w:noWrap/>
            <w:vAlign w:val="center"/>
          </w:tcPr>
          <w:p>
            <w:pPr>
              <w:pStyle w:val="88"/>
            </w:pPr>
          </w:p>
        </w:tc>
        <w:tc>
          <w:tcPr>
            <w:tcW w:w="1843" w:type="dxa"/>
            <w:shd w:val="clear" w:color="auto" w:fill="auto"/>
            <w:noWrap/>
            <w:vAlign w:val="center"/>
          </w:tcPr>
          <w:p>
            <w:pPr>
              <w:pStyle w:val="88"/>
            </w:pPr>
            <w:r>
              <w:rPr>
                <w:rFonts w:hint="eastAsia"/>
              </w:rPr>
              <w:t>CREATEUSER</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MARPRID</w:t>
            </w:r>
          </w:p>
        </w:tc>
        <w:tc>
          <w:tcPr>
            <w:tcW w:w="2675" w:type="dxa"/>
            <w:shd w:val="clear" w:color="auto" w:fill="auto"/>
            <w:noWrap/>
            <w:vAlign w:val="center"/>
          </w:tcPr>
          <w:p>
            <w:pPr>
              <w:pStyle w:val="88"/>
            </w:pPr>
            <w:r>
              <w:rPr>
                <w:rFonts w:hint="eastAsia"/>
              </w:rPr>
              <w:t>主体id</w:t>
            </w:r>
          </w:p>
        </w:tc>
        <w:tc>
          <w:tcPr>
            <w:tcW w:w="1843" w:type="dxa"/>
            <w:shd w:val="clear" w:color="auto" w:fill="auto"/>
            <w:noWrap/>
            <w:vAlign w:val="center"/>
          </w:tcPr>
          <w:p>
            <w:pPr>
              <w:pStyle w:val="88"/>
            </w:pPr>
            <w:r>
              <w:rPr>
                <w:rFonts w:hint="eastAsia"/>
              </w:rPr>
              <w:t>MARPRID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ENTNAME</w:t>
            </w:r>
          </w:p>
        </w:tc>
        <w:tc>
          <w:tcPr>
            <w:tcW w:w="2675" w:type="dxa"/>
            <w:shd w:val="clear" w:color="auto" w:fill="auto"/>
            <w:noWrap/>
            <w:vAlign w:val="center"/>
          </w:tcPr>
          <w:p>
            <w:pPr>
              <w:pStyle w:val="88"/>
            </w:pPr>
            <w:r>
              <w:rPr>
                <w:rFonts w:hint="eastAsia"/>
              </w:rPr>
              <w:t>企业名称</w:t>
            </w:r>
          </w:p>
        </w:tc>
        <w:tc>
          <w:tcPr>
            <w:tcW w:w="1843" w:type="dxa"/>
            <w:shd w:val="clear" w:color="auto" w:fill="auto"/>
            <w:noWrap/>
            <w:vAlign w:val="center"/>
          </w:tcPr>
          <w:p>
            <w:pPr>
              <w:pStyle w:val="88"/>
            </w:pPr>
            <w:r>
              <w:rPr>
                <w:rFonts w:hint="eastAsia"/>
              </w:rPr>
              <w:t>ENTNAME</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REGNO</w:t>
            </w:r>
          </w:p>
        </w:tc>
        <w:tc>
          <w:tcPr>
            <w:tcW w:w="2675" w:type="dxa"/>
            <w:shd w:val="clear" w:color="auto" w:fill="auto"/>
            <w:noWrap/>
            <w:vAlign w:val="center"/>
          </w:tcPr>
          <w:p>
            <w:pPr>
              <w:pStyle w:val="88"/>
            </w:pPr>
            <w:r>
              <w:rPr>
                <w:rFonts w:hint="eastAsia"/>
              </w:rPr>
              <w:t>注册号</w:t>
            </w:r>
          </w:p>
        </w:tc>
        <w:tc>
          <w:tcPr>
            <w:tcW w:w="1843" w:type="dxa"/>
            <w:shd w:val="clear" w:color="auto" w:fill="auto"/>
            <w:noWrap/>
            <w:vAlign w:val="center"/>
          </w:tcPr>
          <w:p>
            <w:pPr>
              <w:pStyle w:val="88"/>
            </w:pPr>
            <w:r>
              <w:rPr>
                <w:rFonts w:hint="eastAsia"/>
              </w:rPr>
              <w:t>REGNO</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UNISCID</w:t>
            </w:r>
          </w:p>
        </w:tc>
        <w:tc>
          <w:tcPr>
            <w:tcW w:w="2675" w:type="dxa"/>
            <w:shd w:val="clear" w:color="auto" w:fill="auto"/>
            <w:noWrap/>
            <w:vAlign w:val="center"/>
          </w:tcPr>
          <w:p>
            <w:pPr>
              <w:pStyle w:val="88"/>
            </w:pPr>
            <w:r>
              <w:rPr>
                <w:rFonts w:hint="eastAsia"/>
              </w:rPr>
              <w:t>统一社会信用代码</w:t>
            </w:r>
          </w:p>
        </w:tc>
        <w:tc>
          <w:tcPr>
            <w:tcW w:w="1843" w:type="dxa"/>
            <w:shd w:val="clear" w:color="auto" w:fill="auto"/>
            <w:noWrap/>
            <w:vAlign w:val="center"/>
          </w:tcPr>
          <w:p>
            <w:pPr>
              <w:pStyle w:val="88"/>
            </w:pPr>
            <w:r>
              <w:rPr>
                <w:rFonts w:hint="eastAsia"/>
              </w:rPr>
              <w:t>UNISCID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ADDRESS</w:t>
            </w:r>
          </w:p>
        </w:tc>
        <w:tc>
          <w:tcPr>
            <w:tcW w:w="2675" w:type="dxa"/>
            <w:shd w:val="clear" w:color="auto" w:fill="auto"/>
            <w:noWrap/>
            <w:vAlign w:val="center"/>
          </w:tcPr>
          <w:p>
            <w:pPr>
              <w:pStyle w:val="88"/>
            </w:pPr>
            <w:r>
              <w:rPr>
                <w:rFonts w:hint="eastAsia"/>
              </w:rPr>
              <w:t>地址</w:t>
            </w:r>
          </w:p>
        </w:tc>
        <w:tc>
          <w:tcPr>
            <w:tcW w:w="1843" w:type="dxa"/>
            <w:shd w:val="clear" w:color="auto" w:fill="auto"/>
            <w:noWrap/>
            <w:vAlign w:val="center"/>
          </w:tcPr>
          <w:p>
            <w:pPr>
              <w:pStyle w:val="88"/>
            </w:pPr>
            <w:r>
              <w:rPr>
                <w:rFonts w:hint="eastAsia"/>
              </w:rPr>
              <w:t>ADDRESS</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TELEPHONE</w:t>
            </w:r>
          </w:p>
        </w:tc>
        <w:tc>
          <w:tcPr>
            <w:tcW w:w="2675" w:type="dxa"/>
            <w:shd w:val="clear" w:color="auto" w:fill="auto"/>
            <w:noWrap/>
            <w:vAlign w:val="center"/>
          </w:tcPr>
          <w:p>
            <w:pPr>
              <w:pStyle w:val="88"/>
            </w:pPr>
            <w:r>
              <w:rPr>
                <w:rFonts w:hint="eastAsia"/>
              </w:rPr>
              <w:t>联系电话</w:t>
            </w:r>
          </w:p>
        </w:tc>
        <w:tc>
          <w:tcPr>
            <w:tcW w:w="1843" w:type="dxa"/>
            <w:shd w:val="clear" w:color="auto" w:fill="auto"/>
            <w:noWrap/>
            <w:vAlign w:val="center"/>
          </w:tcPr>
          <w:p>
            <w:pPr>
              <w:pStyle w:val="88"/>
            </w:pPr>
            <w:r>
              <w:rPr>
                <w:rFonts w:hint="eastAsia"/>
              </w:rPr>
              <w:t>TELEPHONE</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CCFM</w:t>
            </w:r>
          </w:p>
        </w:tc>
        <w:tc>
          <w:tcPr>
            <w:tcW w:w="2675" w:type="dxa"/>
            <w:shd w:val="clear" w:color="auto" w:fill="auto"/>
            <w:noWrap/>
            <w:vAlign w:val="center"/>
          </w:tcPr>
          <w:p>
            <w:pPr>
              <w:pStyle w:val="88"/>
            </w:pPr>
          </w:p>
        </w:tc>
        <w:tc>
          <w:tcPr>
            <w:tcW w:w="1843" w:type="dxa"/>
            <w:shd w:val="clear" w:color="auto" w:fill="auto"/>
            <w:noWrap/>
            <w:vAlign w:val="center"/>
          </w:tcPr>
          <w:p>
            <w:pPr>
              <w:pStyle w:val="88"/>
            </w:pPr>
            <w:r>
              <w:rPr>
                <w:rFonts w:hint="eastAsia"/>
              </w:rPr>
              <w:t>CCFM</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SXH</w:t>
            </w:r>
          </w:p>
        </w:tc>
        <w:tc>
          <w:tcPr>
            <w:tcW w:w="2675" w:type="dxa"/>
            <w:shd w:val="clear" w:color="auto" w:fill="auto"/>
            <w:noWrap/>
            <w:vAlign w:val="center"/>
          </w:tcPr>
          <w:p>
            <w:pPr>
              <w:pStyle w:val="88"/>
            </w:pPr>
            <w:r>
              <w:rPr>
                <w:rFonts w:hint="eastAsia"/>
              </w:rPr>
              <w:t>顺序号</w:t>
            </w:r>
          </w:p>
        </w:tc>
        <w:tc>
          <w:tcPr>
            <w:tcW w:w="1843" w:type="dxa"/>
            <w:shd w:val="clear" w:color="auto" w:fill="auto"/>
            <w:noWrap/>
            <w:vAlign w:val="center"/>
          </w:tcPr>
          <w:p>
            <w:pPr>
              <w:pStyle w:val="88"/>
            </w:pPr>
            <w:r>
              <w:rPr>
                <w:rFonts w:hint="eastAsia"/>
              </w:rPr>
              <w:t>SXH</w:t>
            </w:r>
          </w:p>
        </w:tc>
        <w:tc>
          <w:tcPr>
            <w:tcW w:w="2318" w:type="dxa"/>
            <w:shd w:val="clear" w:color="auto" w:fill="auto"/>
            <w:noWrap/>
            <w:vAlign w:val="center"/>
          </w:tcPr>
          <w:p>
            <w:pPr>
              <w:pStyle w:val="88"/>
            </w:pPr>
            <w:r>
              <w:rPr>
                <w:rFonts w:hint="eastAsia"/>
              </w:rPr>
              <w:t>字符(500)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ENTINFOLIBID</w:t>
            </w:r>
          </w:p>
        </w:tc>
        <w:tc>
          <w:tcPr>
            <w:tcW w:w="2675" w:type="dxa"/>
            <w:shd w:val="clear" w:color="auto" w:fill="auto"/>
            <w:noWrap/>
            <w:vAlign w:val="center"/>
          </w:tcPr>
          <w:p>
            <w:pPr>
              <w:pStyle w:val="88"/>
            </w:pPr>
            <w:r>
              <w:rPr>
                <w:rFonts w:hint="eastAsia"/>
              </w:rPr>
              <w:t>企业库表id</w:t>
            </w:r>
          </w:p>
        </w:tc>
        <w:tc>
          <w:tcPr>
            <w:tcW w:w="1843" w:type="dxa"/>
            <w:shd w:val="clear" w:color="auto" w:fill="auto"/>
            <w:noWrap/>
            <w:vAlign w:val="center"/>
          </w:tcPr>
          <w:p>
            <w:pPr>
              <w:pStyle w:val="88"/>
            </w:pPr>
            <w:r>
              <w:rPr>
                <w:rFonts w:hint="eastAsia"/>
              </w:rPr>
              <w:t>ENTINFOLIBID</w:t>
            </w:r>
          </w:p>
        </w:tc>
        <w:tc>
          <w:tcPr>
            <w:tcW w:w="2318" w:type="dxa"/>
            <w:shd w:val="clear" w:color="auto" w:fill="auto"/>
            <w:noWrap/>
            <w:vAlign w:val="center"/>
          </w:tcPr>
          <w:p>
            <w:pPr>
              <w:pStyle w:val="88"/>
            </w:pPr>
            <w:r>
              <w:rPr>
                <w:rFonts w:hint="eastAsia"/>
              </w:rPr>
              <w:t>字符(3600)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JCKID</w:t>
            </w:r>
          </w:p>
        </w:tc>
        <w:tc>
          <w:tcPr>
            <w:tcW w:w="2675" w:type="dxa"/>
            <w:shd w:val="clear" w:color="auto" w:fill="auto"/>
            <w:noWrap/>
            <w:vAlign w:val="center"/>
          </w:tcPr>
          <w:p>
            <w:pPr>
              <w:pStyle w:val="88"/>
            </w:pPr>
            <w:r>
              <w:rPr>
                <w:rFonts w:hint="eastAsia"/>
              </w:rPr>
              <w:t>抽查企业结果表id</w:t>
            </w:r>
          </w:p>
        </w:tc>
        <w:tc>
          <w:tcPr>
            <w:tcW w:w="1843" w:type="dxa"/>
            <w:shd w:val="clear" w:color="auto" w:fill="auto"/>
            <w:noWrap/>
            <w:vAlign w:val="center"/>
          </w:tcPr>
          <w:p>
            <w:pPr>
              <w:pStyle w:val="88"/>
            </w:pPr>
            <w:r>
              <w:rPr>
                <w:rFonts w:hint="eastAsia"/>
              </w:rPr>
              <w:t>JCKID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XZSXH</w:t>
            </w:r>
          </w:p>
        </w:tc>
        <w:tc>
          <w:tcPr>
            <w:tcW w:w="2675" w:type="dxa"/>
            <w:shd w:val="clear" w:color="auto" w:fill="auto"/>
            <w:noWrap/>
            <w:vAlign w:val="center"/>
          </w:tcPr>
          <w:p>
            <w:pPr>
              <w:pStyle w:val="88"/>
            </w:pPr>
            <w:r>
              <w:rPr>
                <w:rFonts w:hint="eastAsia"/>
              </w:rPr>
              <w:t>抽查企业结果表顺序号</w:t>
            </w:r>
          </w:p>
        </w:tc>
        <w:tc>
          <w:tcPr>
            <w:tcW w:w="1843" w:type="dxa"/>
            <w:shd w:val="clear" w:color="auto" w:fill="auto"/>
            <w:noWrap/>
            <w:vAlign w:val="center"/>
          </w:tcPr>
          <w:p>
            <w:pPr>
              <w:pStyle w:val="88"/>
            </w:pPr>
            <w:r>
              <w:rPr>
                <w:rFonts w:hint="eastAsia"/>
              </w:rPr>
              <w:t>XZSXH</w:t>
            </w:r>
          </w:p>
        </w:tc>
        <w:tc>
          <w:tcPr>
            <w:tcW w:w="2318" w:type="dxa"/>
            <w:shd w:val="clear" w:color="auto" w:fill="auto"/>
            <w:noWrap/>
            <w:vAlign w:val="center"/>
          </w:tcPr>
          <w:p>
            <w:pPr>
              <w:pStyle w:val="88"/>
            </w:pPr>
            <w:r>
              <w:rPr>
                <w:rFonts w:hint="eastAsia"/>
              </w:rPr>
              <w:t>字符(100)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ENTRY_TIME</w:t>
            </w:r>
          </w:p>
        </w:tc>
        <w:tc>
          <w:tcPr>
            <w:tcW w:w="2675" w:type="dxa"/>
            <w:shd w:val="clear" w:color="auto" w:fill="auto"/>
            <w:noWrap/>
            <w:vAlign w:val="center"/>
          </w:tcPr>
          <w:p>
            <w:pPr>
              <w:pStyle w:val="88"/>
            </w:pPr>
            <w:r>
              <w:rPr>
                <w:rFonts w:hint="eastAsia"/>
              </w:rPr>
              <w:t>抽查企业结果表检查日期</w:t>
            </w:r>
          </w:p>
        </w:tc>
        <w:tc>
          <w:tcPr>
            <w:tcW w:w="1843" w:type="dxa"/>
            <w:shd w:val="clear" w:color="auto" w:fill="auto"/>
            <w:noWrap/>
            <w:vAlign w:val="center"/>
          </w:tcPr>
          <w:p>
            <w:pPr>
              <w:pStyle w:val="88"/>
            </w:pPr>
            <w:r>
              <w:rPr>
                <w:rFonts w:hint="eastAsia"/>
              </w:rPr>
              <w:t>ENTRY_TIME</w:t>
            </w:r>
          </w:p>
        </w:tc>
        <w:tc>
          <w:tcPr>
            <w:tcW w:w="2318" w:type="dxa"/>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JCJGID</w:t>
            </w:r>
          </w:p>
        </w:tc>
        <w:tc>
          <w:tcPr>
            <w:tcW w:w="2675" w:type="dxa"/>
            <w:shd w:val="clear" w:color="auto" w:fill="auto"/>
            <w:noWrap/>
            <w:vAlign w:val="center"/>
          </w:tcPr>
          <w:p>
            <w:pPr>
              <w:pStyle w:val="88"/>
            </w:pPr>
            <w:r>
              <w:rPr>
                <w:rFonts w:hint="eastAsia"/>
              </w:rPr>
              <w:t>抽查结果录入表id</w:t>
            </w:r>
          </w:p>
        </w:tc>
        <w:tc>
          <w:tcPr>
            <w:tcW w:w="1843" w:type="dxa"/>
            <w:shd w:val="clear" w:color="auto" w:fill="auto"/>
            <w:noWrap/>
            <w:vAlign w:val="center"/>
          </w:tcPr>
          <w:p>
            <w:pPr>
              <w:pStyle w:val="88"/>
            </w:pPr>
            <w:r>
              <w:rPr>
                <w:rFonts w:hint="eastAsia"/>
              </w:rPr>
              <w:t>JCJGID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ISEND</w:t>
            </w:r>
          </w:p>
        </w:tc>
        <w:tc>
          <w:tcPr>
            <w:tcW w:w="2675" w:type="dxa"/>
            <w:shd w:val="clear" w:color="auto" w:fill="auto"/>
            <w:noWrap/>
            <w:vAlign w:val="center"/>
          </w:tcPr>
          <w:p>
            <w:pPr>
              <w:pStyle w:val="88"/>
            </w:pPr>
          </w:p>
        </w:tc>
        <w:tc>
          <w:tcPr>
            <w:tcW w:w="1843" w:type="dxa"/>
            <w:shd w:val="clear" w:color="auto" w:fill="auto"/>
            <w:noWrap/>
            <w:vAlign w:val="center"/>
          </w:tcPr>
          <w:p>
            <w:pPr>
              <w:pStyle w:val="88"/>
            </w:pPr>
            <w:r>
              <w:rPr>
                <w:rFonts w:hint="eastAsia"/>
              </w:rPr>
              <w:t>ISEND</w:t>
            </w:r>
          </w:p>
        </w:tc>
        <w:tc>
          <w:tcPr>
            <w:tcW w:w="2318" w:type="dxa"/>
            <w:shd w:val="clear" w:color="auto" w:fill="auto"/>
            <w:noWrap/>
            <w:vAlign w:val="center"/>
          </w:tcPr>
          <w:p>
            <w:pPr>
              <w:pStyle w:val="88"/>
            </w:pPr>
            <w:r>
              <w:rPr>
                <w:rFonts w:hint="eastAsia"/>
              </w:rPr>
              <w:t>整型(38)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VIOLITEM</w:t>
            </w:r>
          </w:p>
        </w:tc>
        <w:tc>
          <w:tcPr>
            <w:tcW w:w="2675" w:type="dxa"/>
            <w:shd w:val="clear" w:color="auto" w:fill="auto"/>
            <w:noWrap/>
            <w:vAlign w:val="center"/>
          </w:tcPr>
          <w:p>
            <w:pPr>
              <w:pStyle w:val="88"/>
            </w:pPr>
            <w:r>
              <w:rPr>
                <w:rFonts w:hint="eastAsia"/>
              </w:rPr>
              <w:t>检查事项</w:t>
            </w:r>
          </w:p>
        </w:tc>
        <w:tc>
          <w:tcPr>
            <w:tcW w:w="1843" w:type="dxa"/>
            <w:shd w:val="clear" w:color="auto" w:fill="auto"/>
            <w:noWrap/>
            <w:vAlign w:val="center"/>
          </w:tcPr>
          <w:p>
            <w:pPr>
              <w:pStyle w:val="88"/>
            </w:pPr>
            <w:r>
              <w:rPr>
                <w:rFonts w:hint="eastAsia"/>
              </w:rPr>
              <w:t>VIOLITEM</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INSRES</w:t>
            </w:r>
          </w:p>
        </w:tc>
        <w:tc>
          <w:tcPr>
            <w:tcW w:w="2675" w:type="dxa"/>
            <w:shd w:val="clear" w:color="auto" w:fill="auto"/>
            <w:noWrap/>
            <w:vAlign w:val="center"/>
          </w:tcPr>
          <w:p>
            <w:pPr>
              <w:pStyle w:val="88"/>
            </w:pPr>
            <w:r>
              <w:rPr>
                <w:rFonts w:hint="eastAsia"/>
              </w:rPr>
              <w:t>检查结果</w:t>
            </w:r>
          </w:p>
        </w:tc>
        <w:tc>
          <w:tcPr>
            <w:tcW w:w="1843" w:type="dxa"/>
            <w:shd w:val="clear" w:color="auto" w:fill="auto"/>
            <w:noWrap/>
            <w:vAlign w:val="center"/>
          </w:tcPr>
          <w:p>
            <w:pPr>
              <w:pStyle w:val="88"/>
            </w:pPr>
            <w:r>
              <w:rPr>
                <w:rFonts w:hint="eastAsia"/>
              </w:rPr>
              <w:t>INSRES</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PERSON_ID</w:t>
            </w:r>
          </w:p>
        </w:tc>
        <w:tc>
          <w:tcPr>
            <w:tcW w:w="2675" w:type="dxa"/>
            <w:shd w:val="clear" w:color="auto" w:fill="auto"/>
            <w:noWrap/>
            <w:vAlign w:val="center"/>
          </w:tcPr>
          <w:p>
            <w:pPr>
              <w:pStyle w:val="88"/>
            </w:pPr>
            <w:r>
              <w:rPr>
                <w:rFonts w:hint="eastAsia"/>
              </w:rPr>
              <w:t>检查人id</w:t>
            </w:r>
          </w:p>
        </w:tc>
        <w:tc>
          <w:tcPr>
            <w:tcW w:w="1843" w:type="dxa"/>
            <w:shd w:val="clear" w:color="auto" w:fill="auto"/>
            <w:noWrap/>
            <w:vAlign w:val="center"/>
          </w:tcPr>
          <w:p>
            <w:pPr>
              <w:pStyle w:val="88"/>
            </w:pPr>
            <w:r>
              <w:rPr>
                <w:rFonts w:hint="eastAsia"/>
              </w:rPr>
              <w:t>PERSON_ID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PERSON</w:t>
            </w:r>
          </w:p>
        </w:tc>
        <w:tc>
          <w:tcPr>
            <w:tcW w:w="2675" w:type="dxa"/>
            <w:shd w:val="clear" w:color="auto" w:fill="auto"/>
            <w:noWrap/>
            <w:vAlign w:val="center"/>
          </w:tcPr>
          <w:p>
            <w:pPr>
              <w:pStyle w:val="88"/>
            </w:pPr>
            <w:r>
              <w:rPr>
                <w:rFonts w:hint="eastAsia"/>
              </w:rPr>
              <w:t>检查人</w:t>
            </w:r>
          </w:p>
        </w:tc>
        <w:tc>
          <w:tcPr>
            <w:tcW w:w="1843" w:type="dxa"/>
            <w:shd w:val="clear" w:color="auto" w:fill="auto"/>
            <w:noWrap/>
            <w:vAlign w:val="center"/>
          </w:tcPr>
          <w:p>
            <w:pPr>
              <w:pStyle w:val="88"/>
            </w:pPr>
            <w:r>
              <w:rPr>
                <w:rFonts w:hint="eastAsia"/>
              </w:rPr>
              <w:t>PERSON</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INSOPIN</w:t>
            </w:r>
          </w:p>
        </w:tc>
        <w:tc>
          <w:tcPr>
            <w:tcW w:w="2675" w:type="dxa"/>
            <w:shd w:val="clear" w:color="auto" w:fill="auto"/>
            <w:noWrap/>
            <w:vAlign w:val="center"/>
          </w:tcPr>
          <w:p>
            <w:pPr>
              <w:pStyle w:val="88"/>
            </w:pPr>
            <w:r>
              <w:rPr>
                <w:rFonts w:hint="eastAsia"/>
              </w:rPr>
              <w:t>检查意见</w:t>
            </w:r>
          </w:p>
        </w:tc>
        <w:tc>
          <w:tcPr>
            <w:tcW w:w="1843" w:type="dxa"/>
            <w:shd w:val="clear" w:color="auto" w:fill="auto"/>
            <w:noWrap/>
            <w:vAlign w:val="center"/>
          </w:tcPr>
          <w:p>
            <w:pPr>
              <w:pStyle w:val="88"/>
            </w:pPr>
            <w:r>
              <w:rPr>
                <w:rFonts w:hint="eastAsia"/>
              </w:rPr>
              <w:t>INSOPIN</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INSDATE</w:t>
            </w:r>
          </w:p>
        </w:tc>
        <w:tc>
          <w:tcPr>
            <w:tcW w:w="2675" w:type="dxa"/>
            <w:shd w:val="clear" w:color="auto" w:fill="auto"/>
            <w:noWrap/>
            <w:vAlign w:val="center"/>
          </w:tcPr>
          <w:p>
            <w:pPr>
              <w:pStyle w:val="88"/>
            </w:pPr>
            <w:r>
              <w:rPr>
                <w:rFonts w:hint="eastAsia"/>
              </w:rPr>
              <w:t>检查时间</w:t>
            </w:r>
          </w:p>
        </w:tc>
        <w:tc>
          <w:tcPr>
            <w:tcW w:w="1843" w:type="dxa"/>
            <w:shd w:val="clear" w:color="auto" w:fill="auto"/>
            <w:noWrap/>
            <w:vAlign w:val="center"/>
          </w:tcPr>
          <w:p>
            <w:pPr>
              <w:pStyle w:val="88"/>
            </w:pPr>
            <w:r>
              <w:rPr>
                <w:rFonts w:hint="eastAsia"/>
              </w:rPr>
              <w:t>INSDATE</w:t>
            </w:r>
          </w:p>
        </w:tc>
        <w:tc>
          <w:tcPr>
            <w:tcW w:w="2318" w:type="dxa"/>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RECORGID</w:t>
            </w:r>
          </w:p>
        </w:tc>
        <w:tc>
          <w:tcPr>
            <w:tcW w:w="2675" w:type="dxa"/>
            <w:shd w:val="clear" w:color="auto" w:fill="auto"/>
            <w:noWrap/>
            <w:vAlign w:val="center"/>
          </w:tcPr>
          <w:p>
            <w:pPr>
              <w:pStyle w:val="88"/>
            </w:pPr>
            <w:r>
              <w:rPr>
                <w:rFonts w:hint="eastAsia"/>
              </w:rPr>
              <w:t>所属机关</w:t>
            </w:r>
          </w:p>
        </w:tc>
        <w:tc>
          <w:tcPr>
            <w:tcW w:w="1843" w:type="dxa"/>
            <w:shd w:val="clear" w:color="auto" w:fill="auto"/>
            <w:noWrap/>
            <w:vAlign w:val="center"/>
          </w:tcPr>
          <w:p>
            <w:pPr>
              <w:pStyle w:val="88"/>
            </w:pPr>
            <w:r>
              <w:rPr>
                <w:rFonts w:hint="eastAsia"/>
              </w:rPr>
              <w:t>RECORGID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ANNEX</w:t>
            </w:r>
          </w:p>
        </w:tc>
        <w:tc>
          <w:tcPr>
            <w:tcW w:w="2675" w:type="dxa"/>
            <w:shd w:val="clear" w:color="auto" w:fill="auto"/>
            <w:noWrap/>
            <w:vAlign w:val="center"/>
          </w:tcPr>
          <w:p>
            <w:pPr>
              <w:pStyle w:val="88"/>
            </w:pPr>
            <w:r>
              <w:rPr>
                <w:rFonts w:hint="eastAsia"/>
              </w:rPr>
              <w:t>附件</w:t>
            </w:r>
          </w:p>
        </w:tc>
        <w:tc>
          <w:tcPr>
            <w:tcW w:w="1843" w:type="dxa"/>
            <w:shd w:val="clear" w:color="auto" w:fill="auto"/>
            <w:noWrap/>
            <w:vAlign w:val="center"/>
          </w:tcPr>
          <w:p>
            <w:pPr>
              <w:pStyle w:val="88"/>
            </w:pPr>
            <w:r>
              <w:rPr>
                <w:rFonts w:hint="eastAsia"/>
              </w:rPr>
              <w:t>ANNEX</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ENRERUMARESID</w:t>
            </w:r>
          </w:p>
        </w:tc>
        <w:tc>
          <w:tcPr>
            <w:tcW w:w="2675" w:type="dxa"/>
            <w:shd w:val="clear" w:color="auto" w:fill="auto"/>
            <w:noWrap/>
            <w:vAlign w:val="center"/>
          </w:tcPr>
          <w:p>
            <w:pPr>
              <w:pStyle w:val="88"/>
            </w:pPr>
            <w:r>
              <w:rPr>
                <w:rFonts w:hint="eastAsia"/>
              </w:rPr>
              <w:t>抽查企业认领机关（人员）结果表id</w:t>
            </w:r>
          </w:p>
        </w:tc>
        <w:tc>
          <w:tcPr>
            <w:tcW w:w="1843" w:type="dxa"/>
            <w:shd w:val="clear" w:color="auto" w:fill="auto"/>
            <w:noWrap/>
            <w:vAlign w:val="center"/>
          </w:tcPr>
          <w:p>
            <w:pPr>
              <w:pStyle w:val="88"/>
            </w:pPr>
            <w:r>
              <w:rPr>
                <w:rFonts w:hint="eastAsia"/>
              </w:rPr>
              <w:t>ENRERUMARESID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ISPUBLICITY</w:t>
            </w:r>
          </w:p>
        </w:tc>
        <w:tc>
          <w:tcPr>
            <w:tcW w:w="2675" w:type="dxa"/>
            <w:shd w:val="clear" w:color="auto" w:fill="auto"/>
            <w:noWrap/>
            <w:vAlign w:val="center"/>
          </w:tcPr>
          <w:p>
            <w:pPr>
              <w:pStyle w:val="88"/>
            </w:pPr>
            <w:r>
              <w:rPr>
                <w:rFonts w:hint="eastAsia"/>
              </w:rPr>
              <w:t>是否公示</w:t>
            </w:r>
          </w:p>
        </w:tc>
        <w:tc>
          <w:tcPr>
            <w:tcW w:w="1843" w:type="dxa"/>
            <w:shd w:val="clear" w:color="auto" w:fill="auto"/>
            <w:noWrap/>
            <w:vAlign w:val="center"/>
          </w:tcPr>
          <w:p>
            <w:pPr>
              <w:pStyle w:val="88"/>
            </w:pPr>
            <w:r>
              <w:rPr>
                <w:rFonts w:hint="eastAsia"/>
              </w:rPr>
              <w:t>ISPUBLICITY</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COMMISSORGID</w:t>
            </w:r>
          </w:p>
        </w:tc>
        <w:tc>
          <w:tcPr>
            <w:tcW w:w="2675" w:type="dxa"/>
            <w:shd w:val="clear" w:color="auto" w:fill="auto"/>
            <w:noWrap/>
            <w:vAlign w:val="center"/>
          </w:tcPr>
          <w:p>
            <w:pPr>
              <w:pStyle w:val="88"/>
            </w:pPr>
            <w:r>
              <w:rPr>
                <w:rFonts w:hint="eastAsia"/>
              </w:rPr>
              <w:t>委托机关id</w:t>
            </w:r>
          </w:p>
        </w:tc>
        <w:tc>
          <w:tcPr>
            <w:tcW w:w="1843" w:type="dxa"/>
            <w:shd w:val="clear" w:color="auto" w:fill="auto"/>
            <w:noWrap/>
            <w:vAlign w:val="center"/>
          </w:tcPr>
          <w:p>
            <w:pPr>
              <w:pStyle w:val="88"/>
            </w:pPr>
            <w:r>
              <w:rPr>
                <w:rFonts w:hint="eastAsia"/>
              </w:rPr>
              <w:t>COMMISSORGID</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STATE</w:t>
            </w:r>
          </w:p>
        </w:tc>
        <w:tc>
          <w:tcPr>
            <w:tcW w:w="2675" w:type="dxa"/>
            <w:shd w:val="clear" w:color="auto" w:fill="auto"/>
            <w:noWrap/>
            <w:vAlign w:val="center"/>
          </w:tcPr>
          <w:p>
            <w:pPr>
              <w:pStyle w:val="88"/>
            </w:pPr>
            <w:r>
              <w:rPr>
                <w:rFonts w:hint="eastAsia"/>
              </w:rPr>
              <w:t>状态</w:t>
            </w:r>
          </w:p>
        </w:tc>
        <w:tc>
          <w:tcPr>
            <w:tcW w:w="1843" w:type="dxa"/>
            <w:shd w:val="clear" w:color="auto" w:fill="auto"/>
            <w:noWrap/>
            <w:vAlign w:val="center"/>
          </w:tcPr>
          <w:p>
            <w:pPr>
              <w:pStyle w:val="88"/>
            </w:pPr>
            <w:r>
              <w:rPr>
                <w:rFonts w:hint="eastAsia"/>
              </w:rPr>
              <w:t>STATE</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DEPARTTYPE</w:t>
            </w:r>
          </w:p>
        </w:tc>
        <w:tc>
          <w:tcPr>
            <w:tcW w:w="2675" w:type="dxa"/>
            <w:shd w:val="clear" w:color="auto" w:fill="auto"/>
            <w:noWrap/>
            <w:vAlign w:val="center"/>
          </w:tcPr>
          <w:p>
            <w:pPr>
              <w:pStyle w:val="88"/>
            </w:pPr>
            <w:r>
              <w:rPr>
                <w:rFonts w:hint="eastAsia"/>
              </w:rPr>
              <w:t>监管部门名称</w:t>
            </w:r>
          </w:p>
        </w:tc>
        <w:tc>
          <w:tcPr>
            <w:tcW w:w="1843" w:type="dxa"/>
            <w:shd w:val="clear" w:color="auto" w:fill="auto"/>
            <w:noWrap/>
            <w:vAlign w:val="center"/>
          </w:tcPr>
          <w:p>
            <w:pPr>
              <w:pStyle w:val="88"/>
            </w:pPr>
            <w:r>
              <w:rPr>
                <w:rFonts w:hint="eastAsia"/>
              </w:rPr>
              <w:t>DEPARTTYPE</w:t>
            </w:r>
          </w:p>
        </w:tc>
        <w:tc>
          <w:tcPr>
            <w:tcW w:w="2318" w:type="dxa"/>
            <w:shd w:val="clear" w:color="auto" w:fill="auto"/>
            <w:noWrap/>
            <w:vAlign w:val="center"/>
          </w:tcPr>
          <w:p>
            <w:pPr>
              <w:pStyle w:val="88"/>
            </w:pPr>
            <w:r>
              <w:rPr>
                <w:rFonts w:hint="eastAsia"/>
              </w:rPr>
              <w:t>字符(5000)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DJJG</w:t>
            </w:r>
          </w:p>
        </w:tc>
        <w:tc>
          <w:tcPr>
            <w:tcW w:w="2675" w:type="dxa"/>
            <w:shd w:val="clear" w:color="auto" w:fill="auto"/>
            <w:noWrap/>
            <w:vAlign w:val="center"/>
          </w:tcPr>
          <w:p>
            <w:pPr>
              <w:pStyle w:val="88"/>
            </w:pPr>
            <w:r>
              <w:rPr>
                <w:rFonts w:hint="eastAsia"/>
              </w:rPr>
              <w:t>登记机关</w:t>
            </w:r>
          </w:p>
        </w:tc>
        <w:tc>
          <w:tcPr>
            <w:tcW w:w="1843" w:type="dxa"/>
            <w:shd w:val="clear" w:color="auto" w:fill="auto"/>
            <w:noWrap/>
            <w:vAlign w:val="center"/>
          </w:tcPr>
          <w:p>
            <w:pPr>
              <w:pStyle w:val="88"/>
            </w:pPr>
            <w:r>
              <w:rPr>
                <w:rFonts w:hint="eastAsia"/>
              </w:rPr>
              <w:t>djjg</w:t>
            </w:r>
          </w:p>
        </w:tc>
        <w:tc>
          <w:tcPr>
            <w:tcW w:w="2318" w:type="dxa"/>
            <w:shd w:val="clear" w:color="auto" w:fill="auto"/>
            <w:noWrap/>
            <w:vAlign w:val="center"/>
          </w:tcPr>
          <w:p>
            <w:pPr>
              <w:pStyle w:val="88"/>
            </w:pPr>
            <w:r>
              <w:rPr>
                <w:rFonts w:hint="eastAsia"/>
              </w:rPr>
              <w:t>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JYZT</w:t>
            </w:r>
          </w:p>
        </w:tc>
        <w:tc>
          <w:tcPr>
            <w:tcW w:w="2675" w:type="dxa"/>
            <w:shd w:val="clear" w:color="auto" w:fill="auto"/>
            <w:noWrap/>
            <w:vAlign w:val="center"/>
          </w:tcPr>
          <w:p>
            <w:pPr>
              <w:pStyle w:val="88"/>
            </w:pPr>
            <w:r>
              <w:rPr>
                <w:rFonts w:hint="eastAsia"/>
              </w:rPr>
              <w:t>经营状态</w:t>
            </w:r>
          </w:p>
        </w:tc>
        <w:tc>
          <w:tcPr>
            <w:tcW w:w="1843" w:type="dxa"/>
            <w:shd w:val="clear" w:color="auto" w:fill="auto"/>
            <w:noWrap/>
            <w:vAlign w:val="center"/>
          </w:tcPr>
          <w:p>
            <w:pPr>
              <w:pStyle w:val="88"/>
            </w:pPr>
            <w:r>
              <w:rPr>
                <w:rFonts w:hint="eastAsia"/>
              </w:rPr>
              <w:t>JYZT</w:t>
            </w:r>
          </w:p>
        </w:tc>
        <w:tc>
          <w:tcPr>
            <w:tcW w:w="2318" w:type="dxa"/>
            <w:shd w:val="clear" w:color="auto" w:fill="auto"/>
            <w:noWrap/>
            <w:vAlign w:val="center"/>
          </w:tcPr>
          <w:p>
            <w:pPr>
              <w:pStyle w:val="88"/>
            </w:pPr>
            <w:r>
              <w:rPr>
                <w:rFonts w:hint="eastAsia"/>
              </w:rPr>
              <w:t>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QYSX</w:t>
            </w:r>
          </w:p>
        </w:tc>
        <w:tc>
          <w:tcPr>
            <w:tcW w:w="2675" w:type="dxa"/>
            <w:shd w:val="clear" w:color="auto" w:fill="auto"/>
            <w:noWrap/>
            <w:vAlign w:val="center"/>
          </w:tcPr>
          <w:p>
            <w:pPr>
              <w:pStyle w:val="88"/>
            </w:pPr>
            <w:r>
              <w:rPr>
                <w:rFonts w:hint="eastAsia"/>
              </w:rPr>
              <w:t>企业属性</w:t>
            </w:r>
          </w:p>
        </w:tc>
        <w:tc>
          <w:tcPr>
            <w:tcW w:w="1843" w:type="dxa"/>
            <w:shd w:val="clear" w:color="auto" w:fill="auto"/>
            <w:noWrap/>
            <w:vAlign w:val="center"/>
          </w:tcPr>
          <w:p>
            <w:pPr>
              <w:pStyle w:val="88"/>
            </w:pPr>
            <w:r>
              <w:rPr>
                <w:rFonts w:hint="eastAsia"/>
              </w:rPr>
              <w:t>QYSX</w:t>
            </w:r>
          </w:p>
        </w:tc>
        <w:tc>
          <w:tcPr>
            <w:tcW w:w="2318" w:type="dxa"/>
            <w:shd w:val="clear" w:color="auto" w:fill="auto"/>
            <w:noWrap/>
            <w:vAlign w:val="center"/>
          </w:tcPr>
          <w:p>
            <w:pPr>
              <w:pStyle w:val="88"/>
            </w:pPr>
            <w:r>
              <w:rPr>
                <w:rFonts w:hint="eastAsia"/>
              </w:rPr>
              <w:t>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ZCZB</w:t>
            </w:r>
          </w:p>
        </w:tc>
        <w:tc>
          <w:tcPr>
            <w:tcW w:w="2675" w:type="dxa"/>
            <w:shd w:val="clear" w:color="auto" w:fill="auto"/>
            <w:noWrap/>
            <w:vAlign w:val="center"/>
          </w:tcPr>
          <w:p>
            <w:pPr>
              <w:pStyle w:val="88"/>
            </w:pPr>
            <w:r>
              <w:rPr>
                <w:rFonts w:hint="eastAsia"/>
              </w:rPr>
              <w:t>注册资本</w:t>
            </w:r>
          </w:p>
        </w:tc>
        <w:tc>
          <w:tcPr>
            <w:tcW w:w="1843" w:type="dxa"/>
            <w:shd w:val="clear" w:color="auto" w:fill="auto"/>
            <w:noWrap/>
            <w:vAlign w:val="center"/>
          </w:tcPr>
          <w:p>
            <w:pPr>
              <w:pStyle w:val="88"/>
            </w:pPr>
            <w:r>
              <w:rPr>
                <w:rFonts w:hint="eastAsia"/>
              </w:rPr>
              <w:t>ZCZB</w:t>
            </w:r>
          </w:p>
        </w:tc>
        <w:tc>
          <w:tcPr>
            <w:tcW w:w="2318" w:type="dxa"/>
            <w:shd w:val="clear" w:color="auto" w:fill="auto"/>
            <w:noWrap/>
            <w:vAlign w:val="center"/>
          </w:tcPr>
          <w:p>
            <w:pPr>
              <w:pStyle w:val="88"/>
            </w:pPr>
            <w:r>
              <w:rPr>
                <w:rFonts w:hint="eastAsia"/>
              </w:rPr>
              <w:t>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XZQH</w:t>
            </w:r>
          </w:p>
        </w:tc>
        <w:tc>
          <w:tcPr>
            <w:tcW w:w="2675" w:type="dxa"/>
            <w:shd w:val="clear" w:color="auto" w:fill="auto"/>
            <w:noWrap/>
            <w:vAlign w:val="center"/>
          </w:tcPr>
          <w:p>
            <w:pPr>
              <w:pStyle w:val="88"/>
            </w:pPr>
            <w:r>
              <w:rPr>
                <w:rFonts w:hint="eastAsia"/>
              </w:rPr>
              <w:t>行政区划</w:t>
            </w:r>
          </w:p>
        </w:tc>
        <w:tc>
          <w:tcPr>
            <w:tcW w:w="1843" w:type="dxa"/>
            <w:shd w:val="clear" w:color="auto" w:fill="auto"/>
            <w:noWrap/>
            <w:vAlign w:val="center"/>
          </w:tcPr>
          <w:p>
            <w:pPr>
              <w:pStyle w:val="88"/>
            </w:pPr>
            <w:r>
              <w:rPr>
                <w:rFonts w:hint="eastAsia"/>
              </w:rPr>
              <w:t>XZQH</w:t>
            </w:r>
          </w:p>
        </w:tc>
        <w:tc>
          <w:tcPr>
            <w:tcW w:w="2318" w:type="dxa"/>
            <w:shd w:val="clear" w:color="auto" w:fill="auto"/>
            <w:noWrap/>
            <w:vAlign w:val="center"/>
          </w:tcPr>
          <w:p>
            <w:pPr>
              <w:pStyle w:val="88"/>
            </w:pPr>
            <w:r>
              <w:rPr>
                <w:rFonts w:hint="eastAsia"/>
              </w:rPr>
              <w:t>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HYDM</w:t>
            </w:r>
          </w:p>
        </w:tc>
        <w:tc>
          <w:tcPr>
            <w:tcW w:w="2675" w:type="dxa"/>
            <w:shd w:val="clear" w:color="auto" w:fill="auto"/>
            <w:noWrap/>
            <w:vAlign w:val="center"/>
          </w:tcPr>
          <w:p>
            <w:pPr>
              <w:pStyle w:val="88"/>
            </w:pPr>
            <w:r>
              <w:rPr>
                <w:rFonts w:hint="eastAsia"/>
              </w:rPr>
              <w:t>行业代码</w:t>
            </w:r>
          </w:p>
        </w:tc>
        <w:tc>
          <w:tcPr>
            <w:tcW w:w="1843" w:type="dxa"/>
            <w:shd w:val="clear" w:color="auto" w:fill="auto"/>
            <w:noWrap/>
            <w:vAlign w:val="center"/>
          </w:tcPr>
          <w:p>
            <w:pPr>
              <w:pStyle w:val="88"/>
            </w:pPr>
            <w:r>
              <w:rPr>
                <w:rFonts w:hint="eastAsia"/>
              </w:rPr>
              <w:t>HYDM</w:t>
            </w:r>
          </w:p>
        </w:tc>
        <w:tc>
          <w:tcPr>
            <w:tcW w:w="2318" w:type="dxa"/>
            <w:shd w:val="clear" w:color="auto" w:fill="auto"/>
            <w:noWrap/>
            <w:vAlign w:val="center"/>
          </w:tcPr>
          <w:p>
            <w:pPr>
              <w:pStyle w:val="88"/>
            </w:pPr>
            <w:r>
              <w:rPr>
                <w:rFonts w:hint="eastAsia"/>
              </w:rPr>
              <w:t>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QYLX</w:t>
            </w:r>
          </w:p>
        </w:tc>
        <w:tc>
          <w:tcPr>
            <w:tcW w:w="2675" w:type="dxa"/>
            <w:shd w:val="clear" w:color="auto" w:fill="auto"/>
            <w:noWrap/>
            <w:vAlign w:val="center"/>
          </w:tcPr>
          <w:p>
            <w:pPr>
              <w:pStyle w:val="88"/>
            </w:pPr>
            <w:r>
              <w:rPr>
                <w:rFonts w:hint="eastAsia"/>
              </w:rPr>
              <w:t>企业类型</w:t>
            </w:r>
          </w:p>
        </w:tc>
        <w:tc>
          <w:tcPr>
            <w:tcW w:w="1843" w:type="dxa"/>
            <w:shd w:val="clear" w:color="auto" w:fill="auto"/>
            <w:noWrap/>
            <w:vAlign w:val="center"/>
          </w:tcPr>
          <w:p>
            <w:pPr>
              <w:pStyle w:val="88"/>
            </w:pPr>
            <w:r>
              <w:rPr>
                <w:rFonts w:hint="eastAsia"/>
              </w:rPr>
              <w:t>QYLX</w:t>
            </w:r>
          </w:p>
        </w:tc>
        <w:tc>
          <w:tcPr>
            <w:tcW w:w="2318" w:type="dxa"/>
            <w:shd w:val="clear" w:color="auto" w:fill="auto"/>
            <w:noWrap/>
            <w:vAlign w:val="center"/>
          </w:tcPr>
          <w:p>
            <w:pPr>
              <w:pStyle w:val="88"/>
            </w:pPr>
            <w:r>
              <w:rPr>
                <w:rFonts w:hint="eastAsia"/>
              </w:rPr>
              <w:t>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rljg</w:t>
            </w:r>
          </w:p>
        </w:tc>
        <w:tc>
          <w:tcPr>
            <w:tcW w:w="2675" w:type="dxa"/>
            <w:shd w:val="clear" w:color="auto" w:fill="auto"/>
            <w:noWrap/>
            <w:vAlign w:val="center"/>
          </w:tcPr>
          <w:p>
            <w:pPr>
              <w:pStyle w:val="88"/>
            </w:pPr>
            <w:r>
              <w:rPr>
                <w:rFonts w:hint="eastAsia"/>
              </w:rPr>
              <w:t>认领机关</w:t>
            </w:r>
          </w:p>
        </w:tc>
        <w:tc>
          <w:tcPr>
            <w:tcW w:w="1843" w:type="dxa"/>
            <w:shd w:val="clear" w:color="auto" w:fill="auto"/>
            <w:noWrap/>
            <w:vAlign w:val="center"/>
          </w:tcPr>
          <w:p>
            <w:pPr>
              <w:pStyle w:val="88"/>
            </w:pPr>
            <w:r>
              <w:rPr>
                <w:rFonts w:hint="eastAsia"/>
              </w:rPr>
              <w:t>rljg</w:t>
            </w:r>
          </w:p>
        </w:tc>
        <w:tc>
          <w:tcPr>
            <w:tcW w:w="2318" w:type="dxa"/>
            <w:shd w:val="clear" w:color="auto" w:fill="auto"/>
            <w:noWrap/>
            <w:vAlign w:val="center"/>
          </w:tcPr>
          <w:p>
            <w:pPr>
              <w:pStyle w:val="88"/>
            </w:pPr>
            <w:r>
              <w:rPr>
                <w:rFonts w:hint="eastAsia"/>
              </w:rPr>
              <w:t>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6" w:type="dxa"/>
            <w:shd w:val="clear" w:color="auto" w:fill="auto"/>
            <w:noWrap/>
            <w:vAlign w:val="center"/>
          </w:tcPr>
          <w:p>
            <w:pPr>
              <w:pStyle w:val="88"/>
            </w:pPr>
            <w:r>
              <w:rPr>
                <w:rFonts w:hint="eastAsia"/>
              </w:rPr>
              <w:t>ORGCODE</w:t>
            </w:r>
          </w:p>
        </w:tc>
        <w:tc>
          <w:tcPr>
            <w:tcW w:w="2675" w:type="dxa"/>
            <w:shd w:val="clear" w:color="auto" w:fill="auto"/>
            <w:noWrap/>
            <w:vAlign w:val="center"/>
          </w:tcPr>
          <w:p>
            <w:pPr>
              <w:pStyle w:val="88"/>
            </w:pPr>
            <w:r>
              <w:rPr>
                <w:rFonts w:hint="eastAsia"/>
              </w:rPr>
              <w:t>抽查机关ID</w:t>
            </w:r>
          </w:p>
        </w:tc>
        <w:tc>
          <w:tcPr>
            <w:tcW w:w="1843" w:type="dxa"/>
            <w:shd w:val="clear" w:color="auto" w:fill="auto"/>
            <w:noWrap/>
            <w:vAlign w:val="center"/>
          </w:tcPr>
          <w:p>
            <w:pPr>
              <w:pStyle w:val="88"/>
            </w:pPr>
            <w:r>
              <w:rPr>
                <w:rFonts w:hint="eastAsia"/>
              </w:rPr>
              <w:t>ORGCODE</w:t>
            </w:r>
          </w:p>
        </w:tc>
        <w:tc>
          <w:tcPr>
            <w:tcW w:w="2318" w:type="dxa"/>
            <w:shd w:val="clear" w:color="auto" w:fill="auto"/>
            <w:noWrap/>
            <w:vAlign w:val="center"/>
          </w:tcPr>
          <w:p>
            <w:pPr>
              <w:pStyle w:val="88"/>
            </w:pPr>
            <w:r>
              <w:rPr>
                <w:rFonts w:hint="eastAsia"/>
              </w:rPr>
              <w:t>字符(200)</w:t>
            </w:r>
          </w:p>
        </w:tc>
      </w:tr>
    </w:tbl>
    <w:p>
      <w:pPr>
        <w:pStyle w:val="6"/>
      </w:pPr>
      <w:r>
        <w:rPr>
          <w:rFonts w:hint="eastAsia"/>
        </w:rPr>
        <w:t>失联企业主题库</w:t>
      </w:r>
    </w:p>
    <w:p>
      <w:pPr>
        <w:pStyle w:val="7"/>
      </w:pPr>
      <w:r>
        <w:rPr>
          <w:rFonts w:hint="eastAsia"/>
        </w:rPr>
        <w:t>面向主题</w:t>
      </w:r>
    </w:p>
    <w:p>
      <w:r>
        <w:rPr>
          <w:rFonts w:hint="eastAsia"/>
        </w:rPr>
        <w:t>面向主题：整合市场监管系统的内部信息、其他政府部门的涉企信息、互联网涉企信息等。通过自动识别模型，主动发现“失联”企业；规范、融合、关联分散的数据，为监管人员提供失联企业更多联系信息；通过对“失联”企业的已经归集的各类信息的完整度，对已有信息量化计算，建立复联概率计算模型，形成该“失联”企业复联概率值，辅助监管人员合理安排企业复联工作。</w:t>
      </w:r>
    </w:p>
    <w:p>
      <w:pPr>
        <w:pStyle w:val="7"/>
      </w:pPr>
      <w:r>
        <w:rPr>
          <w:rFonts w:hint="eastAsia"/>
        </w:rPr>
        <w:t>数据源表</w:t>
      </w:r>
    </w:p>
    <w:p>
      <w:r>
        <w:rPr>
          <w:rFonts w:hint="eastAsia"/>
        </w:rPr>
        <w:t>数据源表：主体基本信息汇总表、注销信息表、吊销信息表、外商投资企业资金信息、企业变更信息表、自然投资人详细信息表、企业投资信息表、主要人员信息表、经营异常名录表、企业年报信息相关表、抽查检查相关表、其他相关维度码表。</w:t>
      </w:r>
    </w:p>
    <w:p>
      <w:pPr>
        <w:pStyle w:val="7"/>
      </w:pPr>
      <w:r>
        <w:rPr>
          <w:rFonts w:hint="eastAsia"/>
        </w:rPr>
        <w:t>维度</w:t>
      </w:r>
    </w:p>
    <w:p>
      <w:r>
        <w:rPr>
          <w:rFonts w:hint="eastAsia"/>
        </w:rPr>
        <w:t>维度：时间、主体类型、所有制、区域、行业、企业状态、资金规模。</w:t>
      </w:r>
    </w:p>
    <w:p>
      <w:pPr>
        <w:pStyle w:val="7"/>
      </w:pPr>
      <w:r>
        <w:rPr>
          <w:rFonts w:hint="eastAsia"/>
        </w:rPr>
        <w:t>度量值</w:t>
      </w:r>
    </w:p>
    <w:p>
      <w:r>
        <w:rPr>
          <w:rFonts w:hint="eastAsia"/>
        </w:rPr>
        <w:t>度量值：户数、注册资本、失联企业户数。</w:t>
      </w:r>
    </w:p>
    <w:p>
      <w:pPr>
        <w:pStyle w:val="7"/>
      </w:pPr>
      <w:r>
        <w:rPr>
          <w:rFonts w:hint="eastAsia"/>
        </w:rPr>
        <w:t>数据来源</w:t>
      </w:r>
    </w:p>
    <w:p>
      <w:r>
        <w:rPr>
          <w:rFonts w:hint="eastAsia"/>
        </w:rPr>
        <w:t>数据来源：省市场监管局、政务信息共享交换平台、互联网。</w:t>
      </w:r>
    </w:p>
    <w:tbl>
      <w:tblPr>
        <w:tblStyle w:val="30"/>
        <w:tblW w:w="443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1"/>
        <w:gridCol w:w="3225"/>
        <w:gridCol w:w="15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名称</w:t>
            </w:r>
          </w:p>
        </w:tc>
        <w:tc>
          <w:tcPr>
            <w:tcW w:w="1954" w:type="pct"/>
            <w:shd w:val="clear" w:color="auto" w:fill="auto"/>
            <w:noWrap/>
            <w:vAlign w:val="center"/>
          </w:tcPr>
          <w:p>
            <w:pPr>
              <w:pStyle w:val="88"/>
            </w:pPr>
            <w:r>
              <w:rPr>
                <w:rFonts w:hint="eastAsia"/>
              </w:rPr>
              <w:t>标题</w:t>
            </w:r>
          </w:p>
        </w:tc>
        <w:tc>
          <w:tcPr>
            <w:tcW w:w="936" w:type="pct"/>
            <w:shd w:val="clear" w:color="auto" w:fill="auto"/>
            <w:noWrap/>
            <w:vAlign w:val="center"/>
          </w:tcPr>
          <w:p>
            <w:pPr>
              <w:pStyle w:val="88"/>
            </w:pPr>
            <w:r>
              <w:rPr>
                <w:rFonts w:hint="eastAsia"/>
              </w:rPr>
              <w:t>表达式/字段</w:t>
            </w:r>
          </w:p>
        </w:tc>
        <w:tc>
          <w:tcPr>
            <w:tcW w:w="1141" w:type="pct"/>
            <w:shd w:val="clear" w:color="auto" w:fill="auto"/>
            <w:noWrap/>
            <w:vAlign w:val="center"/>
          </w:tcPr>
          <w:p>
            <w:pPr>
              <w:pStyle w:val="88"/>
            </w:pPr>
            <w:r>
              <w:rPr>
                <w:rFonts w:hint="eastAsia"/>
              </w:rPr>
              <w:t>类型(长度,小数)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NBXH</w:t>
            </w:r>
          </w:p>
        </w:tc>
        <w:tc>
          <w:tcPr>
            <w:tcW w:w="1954" w:type="pct"/>
            <w:shd w:val="clear" w:color="auto" w:fill="auto"/>
            <w:noWrap/>
            <w:vAlign w:val="center"/>
          </w:tcPr>
          <w:p>
            <w:pPr>
              <w:pStyle w:val="88"/>
            </w:pPr>
            <w:r>
              <w:rPr>
                <w:rFonts w:hint="eastAsia"/>
              </w:rPr>
              <w:t>主键</w:t>
            </w:r>
          </w:p>
        </w:tc>
        <w:tc>
          <w:tcPr>
            <w:tcW w:w="936" w:type="pct"/>
            <w:shd w:val="clear" w:color="auto" w:fill="auto"/>
            <w:noWrap/>
            <w:vAlign w:val="center"/>
          </w:tcPr>
          <w:p>
            <w:pPr>
              <w:pStyle w:val="88"/>
            </w:pPr>
            <w:r>
              <w:rPr>
                <w:rFonts w:hint="eastAsia"/>
              </w:rPr>
              <w:t>NBXH</w:t>
            </w:r>
          </w:p>
        </w:tc>
        <w:tc>
          <w:tcPr>
            <w:tcW w:w="1141" w:type="pct"/>
            <w:shd w:val="clear" w:color="auto" w:fill="auto"/>
            <w:noWrap/>
            <w:vAlign w:val="center"/>
          </w:tcPr>
          <w:p>
            <w:pPr>
              <w:pStyle w:val="88"/>
            </w:pPr>
            <w:r>
              <w:rPr>
                <w:rFonts w:hint="eastAsia"/>
              </w:rPr>
              <w:t>字符(80)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UNISCID</w:t>
            </w:r>
          </w:p>
        </w:tc>
        <w:tc>
          <w:tcPr>
            <w:tcW w:w="1954" w:type="pct"/>
            <w:shd w:val="clear" w:color="auto" w:fill="auto"/>
            <w:noWrap/>
            <w:vAlign w:val="center"/>
          </w:tcPr>
          <w:p>
            <w:pPr>
              <w:pStyle w:val="88"/>
            </w:pPr>
            <w:r>
              <w:rPr>
                <w:rFonts w:hint="eastAsia"/>
              </w:rPr>
              <w:t>统一社会信用代码</w:t>
            </w:r>
          </w:p>
        </w:tc>
        <w:tc>
          <w:tcPr>
            <w:tcW w:w="936" w:type="pct"/>
            <w:shd w:val="clear" w:color="auto" w:fill="auto"/>
            <w:noWrap/>
            <w:vAlign w:val="center"/>
          </w:tcPr>
          <w:p>
            <w:pPr>
              <w:pStyle w:val="88"/>
            </w:pPr>
            <w:r>
              <w:rPr>
                <w:rFonts w:hint="eastAsia"/>
              </w:rPr>
              <w:t>UNISCID</w:t>
            </w:r>
          </w:p>
        </w:tc>
        <w:tc>
          <w:tcPr>
            <w:tcW w:w="1141" w:type="pct"/>
            <w:shd w:val="clear" w:color="auto" w:fill="auto"/>
            <w:noWrap/>
            <w:vAlign w:val="center"/>
          </w:tcPr>
          <w:p>
            <w:pPr>
              <w:pStyle w:val="88"/>
            </w:pPr>
            <w:r>
              <w:rPr>
                <w:rFonts w:hint="eastAsia"/>
              </w:rPr>
              <w:t>字符(80)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ZCH</w:t>
            </w:r>
          </w:p>
        </w:tc>
        <w:tc>
          <w:tcPr>
            <w:tcW w:w="1954" w:type="pct"/>
            <w:shd w:val="clear" w:color="auto" w:fill="auto"/>
            <w:noWrap/>
            <w:vAlign w:val="center"/>
          </w:tcPr>
          <w:p>
            <w:pPr>
              <w:pStyle w:val="88"/>
            </w:pPr>
            <w:r>
              <w:rPr>
                <w:rFonts w:hint="eastAsia"/>
              </w:rPr>
              <w:t>注册号</w:t>
            </w:r>
          </w:p>
        </w:tc>
        <w:tc>
          <w:tcPr>
            <w:tcW w:w="936" w:type="pct"/>
            <w:shd w:val="clear" w:color="auto" w:fill="auto"/>
            <w:noWrap/>
            <w:vAlign w:val="center"/>
          </w:tcPr>
          <w:p>
            <w:pPr>
              <w:pStyle w:val="88"/>
            </w:pPr>
            <w:r>
              <w:rPr>
                <w:rFonts w:hint="eastAsia"/>
              </w:rPr>
              <w:t>ZCH</w:t>
            </w:r>
          </w:p>
        </w:tc>
        <w:tc>
          <w:tcPr>
            <w:tcW w:w="1141" w:type="pct"/>
            <w:shd w:val="clear" w:color="auto" w:fill="auto"/>
            <w:noWrap/>
            <w:vAlign w:val="center"/>
          </w:tcPr>
          <w:p>
            <w:pPr>
              <w:pStyle w:val="88"/>
            </w:pPr>
            <w:r>
              <w:rPr>
                <w:rFonts w:hint="eastAsia"/>
              </w:rPr>
              <w:t>字符(80)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QYMC</w:t>
            </w:r>
          </w:p>
        </w:tc>
        <w:tc>
          <w:tcPr>
            <w:tcW w:w="1954" w:type="pct"/>
            <w:shd w:val="clear" w:color="auto" w:fill="auto"/>
            <w:noWrap/>
            <w:vAlign w:val="center"/>
          </w:tcPr>
          <w:p>
            <w:pPr>
              <w:pStyle w:val="88"/>
            </w:pPr>
            <w:r>
              <w:rPr>
                <w:rFonts w:hint="eastAsia"/>
              </w:rPr>
              <w:t>企业名称</w:t>
            </w:r>
          </w:p>
        </w:tc>
        <w:tc>
          <w:tcPr>
            <w:tcW w:w="936" w:type="pct"/>
            <w:shd w:val="clear" w:color="auto" w:fill="auto"/>
            <w:noWrap/>
            <w:vAlign w:val="center"/>
          </w:tcPr>
          <w:p>
            <w:pPr>
              <w:pStyle w:val="88"/>
            </w:pPr>
            <w:r>
              <w:rPr>
                <w:rFonts w:hint="eastAsia"/>
              </w:rPr>
              <w:t>QYMC</w:t>
            </w:r>
          </w:p>
        </w:tc>
        <w:tc>
          <w:tcPr>
            <w:tcW w:w="1141" w:type="pct"/>
            <w:shd w:val="clear" w:color="auto" w:fill="auto"/>
            <w:noWrap/>
            <w:vAlign w:val="center"/>
          </w:tcPr>
          <w:p>
            <w:pPr>
              <w:pStyle w:val="88"/>
            </w:pPr>
            <w:r>
              <w:rPr>
                <w:rFonts w:hint="eastAsia"/>
              </w:rPr>
              <w:t>字符(500)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DPMC</w:t>
            </w:r>
          </w:p>
        </w:tc>
        <w:tc>
          <w:tcPr>
            <w:tcW w:w="1954" w:type="pct"/>
            <w:shd w:val="clear" w:color="auto" w:fill="auto"/>
            <w:noWrap/>
            <w:vAlign w:val="center"/>
          </w:tcPr>
          <w:p>
            <w:pPr>
              <w:pStyle w:val="88"/>
            </w:pPr>
            <w:r>
              <w:rPr>
                <w:rFonts w:hint="eastAsia"/>
              </w:rPr>
              <w:t>店铺名称</w:t>
            </w:r>
          </w:p>
        </w:tc>
        <w:tc>
          <w:tcPr>
            <w:tcW w:w="936" w:type="pct"/>
            <w:shd w:val="clear" w:color="auto" w:fill="auto"/>
            <w:noWrap/>
            <w:vAlign w:val="center"/>
          </w:tcPr>
          <w:p>
            <w:pPr>
              <w:pStyle w:val="88"/>
            </w:pPr>
            <w:r>
              <w:rPr>
                <w:rFonts w:hint="eastAsia"/>
              </w:rPr>
              <w:t>DPMC</w:t>
            </w:r>
          </w:p>
        </w:tc>
        <w:tc>
          <w:tcPr>
            <w:tcW w:w="1141" w:type="pct"/>
            <w:shd w:val="clear" w:color="auto" w:fill="auto"/>
            <w:noWrap/>
            <w:vAlign w:val="center"/>
          </w:tcPr>
          <w:p>
            <w:pPr>
              <w:pStyle w:val="88"/>
            </w:pPr>
            <w:r>
              <w:rPr>
                <w:rFonts w:hint="eastAsia"/>
              </w:rPr>
              <w:t>字符(300)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ORGID</w:t>
            </w:r>
          </w:p>
        </w:tc>
        <w:tc>
          <w:tcPr>
            <w:tcW w:w="1954" w:type="pct"/>
            <w:shd w:val="clear" w:color="auto" w:fill="auto"/>
            <w:noWrap/>
            <w:vAlign w:val="center"/>
          </w:tcPr>
          <w:p>
            <w:pPr>
              <w:pStyle w:val="88"/>
            </w:pPr>
            <w:r>
              <w:rPr>
                <w:rFonts w:hint="eastAsia"/>
              </w:rPr>
              <w:t>机构ID</w:t>
            </w:r>
          </w:p>
        </w:tc>
        <w:tc>
          <w:tcPr>
            <w:tcW w:w="936" w:type="pct"/>
            <w:shd w:val="clear" w:color="auto" w:fill="auto"/>
            <w:noWrap/>
            <w:vAlign w:val="center"/>
          </w:tcPr>
          <w:p>
            <w:pPr>
              <w:pStyle w:val="88"/>
            </w:pPr>
            <w:r>
              <w:rPr>
                <w:rFonts w:hint="eastAsia"/>
              </w:rPr>
              <w:t>ORGID</w:t>
            </w:r>
          </w:p>
        </w:tc>
        <w:tc>
          <w:tcPr>
            <w:tcW w:w="1141" w:type="pct"/>
            <w:shd w:val="clear" w:color="auto" w:fill="auto"/>
            <w:noWrap/>
            <w:vAlign w:val="center"/>
          </w:tcPr>
          <w:p>
            <w:pPr>
              <w:pStyle w:val="88"/>
            </w:pPr>
            <w:r>
              <w:rPr>
                <w:rFonts w:hint="eastAsia"/>
              </w:rPr>
              <w:t>字符(300)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HYML</w:t>
            </w:r>
          </w:p>
        </w:tc>
        <w:tc>
          <w:tcPr>
            <w:tcW w:w="1954" w:type="pct"/>
            <w:shd w:val="clear" w:color="auto" w:fill="auto"/>
            <w:noWrap/>
            <w:vAlign w:val="center"/>
          </w:tcPr>
          <w:p>
            <w:pPr>
              <w:pStyle w:val="88"/>
            </w:pPr>
            <w:r>
              <w:rPr>
                <w:rFonts w:hint="eastAsia"/>
              </w:rPr>
              <w:t>行业门类</w:t>
            </w:r>
          </w:p>
        </w:tc>
        <w:tc>
          <w:tcPr>
            <w:tcW w:w="936" w:type="pct"/>
            <w:shd w:val="clear" w:color="auto" w:fill="auto"/>
            <w:noWrap/>
            <w:vAlign w:val="center"/>
          </w:tcPr>
          <w:p>
            <w:pPr>
              <w:pStyle w:val="88"/>
            </w:pPr>
            <w:r>
              <w:rPr>
                <w:rFonts w:hint="eastAsia"/>
              </w:rPr>
              <w:t>HYML</w:t>
            </w:r>
          </w:p>
        </w:tc>
        <w:tc>
          <w:tcPr>
            <w:tcW w:w="1141" w:type="pct"/>
            <w:shd w:val="clear" w:color="auto" w:fill="auto"/>
            <w:noWrap/>
            <w:vAlign w:val="center"/>
          </w:tcPr>
          <w:p>
            <w:pPr>
              <w:pStyle w:val="88"/>
            </w:pPr>
            <w:r>
              <w:rPr>
                <w:rFonts w:hint="eastAsia"/>
              </w:rPr>
              <w:t>字符(80)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HYDM</w:t>
            </w:r>
          </w:p>
        </w:tc>
        <w:tc>
          <w:tcPr>
            <w:tcW w:w="1954" w:type="pct"/>
            <w:shd w:val="clear" w:color="auto" w:fill="auto"/>
            <w:noWrap/>
            <w:vAlign w:val="center"/>
          </w:tcPr>
          <w:p>
            <w:pPr>
              <w:pStyle w:val="88"/>
            </w:pPr>
            <w:r>
              <w:rPr>
                <w:rFonts w:hint="eastAsia"/>
              </w:rPr>
              <w:t>行业代码</w:t>
            </w:r>
          </w:p>
        </w:tc>
        <w:tc>
          <w:tcPr>
            <w:tcW w:w="936" w:type="pct"/>
            <w:shd w:val="clear" w:color="auto" w:fill="auto"/>
            <w:noWrap/>
            <w:vAlign w:val="center"/>
          </w:tcPr>
          <w:p>
            <w:pPr>
              <w:pStyle w:val="88"/>
            </w:pPr>
            <w:r>
              <w:rPr>
                <w:rFonts w:hint="eastAsia"/>
              </w:rPr>
              <w:t>HYDM</w:t>
            </w:r>
          </w:p>
        </w:tc>
        <w:tc>
          <w:tcPr>
            <w:tcW w:w="1141" w:type="pct"/>
            <w:shd w:val="clear" w:color="auto" w:fill="auto"/>
            <w:noWrap/>
            <w:vAlign w:val="center"/>
          </w:tcPr>
          <w:p>
            <w:pPr>
              <w:pStyle w:val="88"/>
            </w:pPr>
            <w:r>
              <w:rPr>
                <w:rFonts w:hint="eastAsia"/>
              </w:rPr>
              <w:t>字符(80)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JYZT</w:t>
            </w:r>
          </w:p>
        </w:tc>
        <w:tc>
          <w:tcPr>
            <w:tcW w:w="1954" w:type="pct"/>
            <w:shd w:val="clear" w:color="auto" w:fill="auto"/>
            <w:noWrap/>
            <w:vAlign w:val="center"/>
          </w:tcPr>
          <w:p>
            <w:pPr>
              <w:pStyle w:val="88"/>
            </w:pPr>
            <w:r>
              <w:rPr>
                <w:rFonts w:hint="eastAsia"/>
              </w:rPr>
              <w:t>经营状态</w:t>
            </w:r>
          </w:p>
        </w:tc>
        <w:tc>
          <w:tcPr>
            <w:tcW w:w="936" w:type="pct"/>
            <w:shd w:val="clear" w:color="auto" w:fill="auto"/>
            <w:noWrap/>
            <w:vAlign w:val="center"/>
          </w:tcPr>
          <w:p>
            <w:pPr>
              <w:pStyle w:val="88"/>
            </w:pPr>
            <w:r>
              <w:rPr>
                <w:rFonts w:hint="eastAsia"/>
              </w:rPr>
              <w:t>JYZT</w:t>
            </w:r>
          </w:p>
        </w:tc>
        <w:tc>
          <w:tcPr>
            <w:tcW w:w="1141" w:type="pct"/>
            <w:shd w:val="clear" w:color="auto" w:fill="auto"/>
            <w:noWrap/>
            <w:vAlign w:val="center"/>
          </w:tcPr>
          <w:p>
            <w:pPr>
              <w:pStyle w:val="88"/>
            </w:pPr>
            <w:r>
              <w:rPr>
                <w:rFonts w:hint="eastAsia"/>
              </w:rPr>
              <w:t>字符(20)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DJJG</w:t>
            </w:r>
          </w:p>
        </w:tc>
        <w:tc>
          <w:tcPr>
            <w:tcW w:w="1954" w:type="pct"/>
            <w:shd w:val="clear" w:color="auto" w:fill="auto"/>
            <w:noWrap/>
            <w:vAlign w:val="center"/>
          </w:tcPr>
          <w:p>
            <w:pPr>
              <w:pStyle w:val="88"/>
            </w:pPr>
            <w:r>
              <w:rPr>
                <w:rFonts w:hint="eastAsia"/>
              </w:rPr>
              <w:t>登记机关</w:t>
            </w:r>
          </w:p>
        </w:tc>
        <w:tc>
          <w:tcPr>
            <w:tcW w:w="936" w:type="pct"/>
            <w:shd w:val="clear" w:color="auto" w:fill="auto"/>
            <w:noWrap/>
            <w:vAlign w:val="center"/>
          </w:tcPr>
          <w:p>
            <w:pPr>
              <w:pStyle w:val="88"/>
            </w:pPr>
            <w:r>
              <w:rPr>
                <w:rFonts w:hint="eastAsia"/>
              </w:rPr>
              <w:t>DJJG</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GXGSS</w:t>
            </w:r>
          </w:p>
        </w:tc>
        <w:tc>
          <w:tcPr>
            <w:tcW w:w="1954" w:type="pct"/>
            <w:shd w:val="clear" w:color="auto" w:fill="auto"/>
            <w:noWrap/>
            <w:vAlign w:val="center"/>
          </w:tcPr>
          <w:p>
            <w:pPr>
              <w:pStyle w:val="88"/>
            </w:pPr>
            <w:r>
              <w:rPr>
                <w:rFonts w:hint="eastAsia"/>
              </w:rPr>
              <w:t>管辖市场监管所</w:t>
            </w:r>
          </w:p>
        </w:tc>
        <w:tc>
          <w:tcPr>
            <w:tcW w:w="936" w:type="pct"/>
            <w:shd w:val="clear" w:color="auto" w:fill="auto"/>
            <w:noWrap/>
            <w:vAlign w:val="center"/>
          </w:tcPr>
          <w:p>
            <w:pPr>
              <w:pStyle w:val="88"/>
            </w:pPr>
            <w:r>
              <w:rPr>
                <w:rFonts w:hint="eastAsia"/>
              </w:rPr>
              <w:t>GXGSS</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QYGB</w:t>
            </w:r>
          </w:p>
        </w:tc>
        <w:tc>
          <w:tcPr>
            <w:tcW w:w="1954" w:type="pct"/>
            <w:shd w:val="clear" w:color="auto" w:fill="auto"/>
            <w:noWrap/>
            <w:vAlign w:val="center"/>
          </w:tcPr>
          <w:p>
            <w:pPr>
              <w:pStyle w:val="88"/>
            </w:pPr>
            <w:r>
              <w:rPr>
                <w:rFonts w:hint="eastAsia"/>
              </w:rPr>
              <w:t>企业国别</w:t>
            </w:r>
          </w:p>
        </w:tc>
        <w:tc>
          <w:tcPr>
            <w:tcW w:w="936" w:type="pct"/>
            <w:shd w:val="clear" w:color="auto" w:fill="auto"/>
            <w:noWrap/>
            <w:vAlign w:val="center"/>
          </w:tcPr>
          <w:p>
            <w:pPr>
              <w:pStyle w:val="88"/>
            </w:pPr>
            <w:r>
              <w:rPr>
                <w:rFonts w:hint="eastAsia"/>
              </w:rPr>
              <w:t>QYGB</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CLRQ</w:t>
            </w:r>
          </w:p>
        </w:tc>
        <w:tc>
          <w:tcPr>
            <w:tcW w:w="1954" w:type="pct"/>
            <w:shd w:val="clear" w:color="auto" w:fill="auto"/>
            <w:noWrap/>
            <w:vAlign w:val="center"/>
          </w:tcPr>
          <w:p>
            <w:pPr>
              <w:pStyle w:val="88"/>
            </w:pPr>
            <w:r>
              <w:rPr>
                <w:rFonts w:hint="eastAsia"/>
              </w:rPr>
              <w:t>成立日期</w:t>
            </w:r>
          </w:p>
        </w:tc>
        <w:tc>
          <w:tcPr>
            <w:tcW w:w="936" w:type="pct"/>
            <w:shd w:val="clear" w:color="auto" w:fill="auto"/>
            <w:noWrap/>
            <w:vAlign w:val="center"/>
          </w:tcPr>
          <w:p>
            <w:pPr>
              <w:pStyle w:val="88"/>
            </w:pPr>
            <w:r>
              <w:rPr>
                <w:rFonts w:hint="eastAsia"/>
              </w:rPr>
              <w:t>CLRQ</w:t>
            </w:r>
          </w:p>
        </w:tc>
        <w:tc>
          <w:tcPr>
            <w:tcW w:w="1141" w:type="pct"/>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HZRQ</w:t>
            </w:r>
          </w:p>
        </w:tc>
        <w:tc>
          <w:tcPr>
            <w:tcW w:w="1954" w:type="pct"/>
            <w:shd w:val="clear" w:color="auto" w:fill="auto"/>
            <w:noWrap/>
            <w:vAlign w:val="center"/>
          </w:tcPr>
          <w:p>
            <w:pPr>
              <w:pStyle w:val="88"/>
            </w:pPr>
            <w:r>
              <w:rPr>
                <w:rFonts w:hint="eastAsia"/>
              </w:rPr>
              <w:t>核准日期</w:t>
            </w:r>
          </w:p>
        </w:tc>
        <w:tc>
          <w:tcPr>
            <w:tcW w:w="936" w:type="pct"/>
            <w:shd w:val="clear" w:color="auto" w:fill="auto"/>
            <w:noWrap/>
            <w:vAlign w:val="center"/>
          </w:tcPr>
          <w:p>
            <w:pPr>
              <w:pStyle w:val="88"/>
            </w:pPr>
            <w:r>
              <w:rPr>
                <w:rFonts w:hint="eastAsia"/>
              </w:rPr>
              <w:t>HZRQ</w:t>
            </w:r>
          </w:p>
        </w:tc>
        <w:tc>
          <w:tcPr>
            <w:tcW w:w="1141" w:type="pct"/>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JYQXQ</w:t>
            </w:r>
          </w:p>
        </w:tc>
        <w:tc>
          <w:tcPr>
            <w:tcW w:w="1954" w:type="pct"/>
            <w:shd w:val="clear" w:color="auto" w:fill="auto"/>
            <w:noWrap/>
            <w:vAlign w:val="center"/>
          </w:tcPr>
          <w:p>
            <w:pPr>
              <w:pStyle w:val="88"/>
            </w:pPr>
            <w:r>
              <w:rPr>
                <w:rFonts w:hint="eastAsia"/>
              </w:rPr>
              <w:t>经营期限起</w:t>
            </w:r>
          </w:p>
        </w:tc>
        <w:tc>
          <w:tcPr>
            <w:tcW w:w="936" w:type="pct"/>
            <w:shd w:val="clear" w:color="auto" w:fill="auto"/>
            <w:noWrap/>
            <w:vAlign w:val="center"/>
          </w:tcPr>
          <w:p>
            <w:pPr>
              <w:pStyle w:val="88"/>
            </w:pPr>
            <w:r>
              <w:rPr>
                <w:rFonts w:hint="eastAsia"/>
              </w:rPr>
              <w:t>JYQXQ</w:t>
            </w:r>
          </w:p>
        </w:tc>
        <w:tc>
          <w:tcPr>
            <w:tcW w:w="1141" w:type="pct"/>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JYQXZ</w:t>
            </w:r>
          </w:p>
        </w:tc>
        <w:tc>
          <w:tcPr>
            <w:tcW w:w="1954" w:type="pct"/>
            <w:shd w:val="clear" w:color="auto" w:fill="auto"/>
            <w:noWrap/>
            <w:vAlign w:val="center"/>
          </w:tcPr>
          <w:p>
            <w:pPr>
              <w:pStyle w:val="88"/>
            </w:pPr>
            <w:r>
              <w:rPr>
                <w:rFonts w:hint="eastAsia"/>
              </w:rPr>
              <w:t>经营期限止</w:t>
            </w:r>
          </w:p>
        </w:tc>
        <w:tc>
          <w:tcPr>
            <w:tcW w:w="936" w:type="pct"/>
            <w:shd w:val="clear" w:color="auto" w:fill="auto"/>
            <w:noWrap/>
            <w:vAlign w:val="center"/>
          </w:tcPr>
          <w:p>
            <w:pPr>
              <w:pStyle w:val="88"/>
            </w:pPr>
            <w:r>
              <w:rPr>
                <w:rFonts w:hint="eastAsia"/>
              </w:rPr>
              <w:t>JYQXZ</w:t>
            </w:r>
          </w:p>
        </w:tc>
        <w:tc>
          <w:tcPr>
            <w:tcW w:w="1141" w:type="pct"/>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QYLX</w:t>
            </w:r>
          </w:p>
        </w:tc>
        <w:tc>
          <w:tcPr>
            <w:tcW w:w="1954" w:type="pct"/>
            <w:shd w:val="clear" w:color="auto" w:fill="auto"/>
            <w:noWrap/>
            <w:vAlign w:val="center"/>
          </w:tcPr>
          <w:p>
            <w:pPr>
              <w:pStyle w:val="88"/>
            </w:pPr>
            <w:r>
              <w:rPr>
                <w:rFonts w:hint="eastAsia"/>
              </w:rPr>
              <w:t>企业类型</w:t>
            </w:r>
          </w:p>
        </w:tc>
        <w:tc>
          <w:tcPr>
            <w:tcW w:w="936" w:type="pct"/>
            <w:shd w:val="clear" w:color="auto" w:fill="auto"/>
            <w:noWrap/>
            <w:vAlign w:val="center"/>
          </w:tcPr>
          <w:p>
            <w:pPr>
              <w:pStyle w:val="88"/>
            </w:pPr>
            <w:r>
              <w:rPr>
                <w:rFonts w:hint="eastAsia"/>
              </w:rPr>
              <w:t>QYLX</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XYDJ</w:t>
            </w:r>
          </w:p>
        </w:tc>
        <w:tc>
          <w:tcPr>
            <w:tcW w:w="1954" w:type="pct"/>
            <w:shd w:val="clear" w:color="auto" w:fill="auto"/>
            <w:noWrap/>
            <w:vAlign w:val="center"/>
          </w:tcPr>
          <w:p>
            <w:pPr>
              <w:pStyle w:val="88"/>
            </w:pPr>
            <w:r>
              <w:rPr>
                <w:rFonts w:hint="eastAsia"/>
              </w:rPr>
              <w:t>信用等级</w:t>
            </w:r>
          </w:p>
        </w:tc>
        <w:tc>
          <w:tcPr>
            <w:tcW w:w="936" w:type="pct"/>
            <w:shd w:val="clear" w:color="auto" w:fill="auto"/>
            <w:noWrap/>
            <w:vAlign w:val="center"/>
          </w:tcPr>
          <w:p>
            <w:pPr>
              <w:pStyle w:val="88"/>
            </w:pPr>
            <w:r>
              <w:rPr>
                <w:rFonts w:hint="eastAsia"/>
              </w:rPr>
              <w:t>XYDJ</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SLFS</w:t>
            </w:r>
          </w:p>
        </w:tc>
        <w:tc>
          <w:tcPr>
            <w:tcW w:w="1954" w:type="pct"/>
            <w:shd w:val="clear" w:color="auto" w:fill="auto"/>
            <w:noWrap/>
            <w:vAlign w:val="center"/>
          </w:tcPr>
          <w:p>
            <w:pPr>
              <w:pStyle w:val="88"/>
            </w:pPr>
            <w:r>
              <w:rPr>
                <w:rFonts w:hint="eastAsia"/>
              </w:rPr>
              <w:t>设立方式</w:t>
            </w:r>
          </w:p>
        </w:tc>
        <w:tc>
          <w:tcPr>
            <w:tcW w:w="936" w:type="pct"/>
            <w:shd w:val="clear" w:color="auto" w:fill="auto"/>
            <w:noWrap/>
            <w:vAlign w:val="center"/>
          </w:tcPr>
          <w:p>
            <w:pPr>
              <w:pStyle w:val="88"/>
            </w:pPr>
            <w:r>
              <w:rPr>
                <w:rFonts w:hint="eastAsia"/>
              </w:rPr>
              <w:t>SLFS</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JYFS</w:t>
            </w:r>
          </w:p>
        </w:tc>
        <w:tc>
          <w:tcPr>
            <w:tcW w:w="1954" w:type="pct"/>
            <w:shd w:val="clear" w:color="auto" w:fill="auto"/>
            <w:noWrap/>
            <w:vAlign w:val="center"/>
          </w:tcPr>
          <w:p>
            <w:pPr>
              <w:pStyle w:val="88"/>
            </w:pPr>
            <w:r>
              <w:rPr>
                <w:rFonts w:hint="eastAsia"/>
              </w:rPr>
              <w:t>经营方式</w:t>
            </w:r>
          </w:p>
        </w:tc>
        <w:tc>
          <w:tcPr>
            <w:tcW w:w="936" w:type="pct"/>
            <w:shd w:val="clear" w:color="auto" w:fill="auto"/>
            <w:noWrap/>
            <w:vAlign w:val="center"/>
          </w:tcPr>
          <w:p>
            <w:pPr>
              <w:pStyle w:val="88"/>
            </w:pPr>
            <w:r>
              <w:rPr>
                <w:rFonts w:hint="eastAsia"/>
              </w:rPr>
              <w:t>JYFS</w:t>
            </w:r>
          </w:p>
        </w:tc>
        <w:tc>
          <w:tcPr>
            <w:tcW w:w="1141" w:type="pct"/>
            <w:shd w:val="clear" w:color="auto" w:fill="auto"/>
            <w:noWrap/>
            <w:vAlign w:val="center"/>
          </w:tcPr>
          <w:p>
            <w:pPr>
              <w:pStyle w:val="88"/>
            </w:pPr>
            <w:r>
              <w:rPr>
                <w:rFonts w:hint="eastAsia"/>
              </w:rPr>
              <w:t>字符(300)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SFZX</w:t>
            </w:r>
          </w:p>
        </w:tc>
        <w:tc>
          <w:tcPr>
            <w:tcW w:w="1954" w:type="pct"/>
            <w:shd w:val="clear" w:color="auto" w:fill="auto"/>
            <w:noWrap/>
            <w:vAlign w:val="center"/>
          </w:tcPr>
          <w:p>
            <w:pPr>
              <w:pStyle w:val="88"/>
            </w:pPr>
            <w:r>
              <w:rPr>
                <w:rFonts w:hint="eastAsia"/>
              </w:rPr>
              <w:t>是否吊销转注销</w:t>
            </w:r>
          </w:p>
        </w:tc>
        <w:tc>
          <w:tcPr>
            <w:tcW w:w="936" w:type="pct"/>
            <w:shd w:val="clear" w:color="auto" w:fill="auto"/>
            <w:noWrap/>
            <w:vAlign w:val="center"/>
          </w:tcPr>
          <w:p>
            <w:pPr>
              <w:pStyle w:val="88"/>
            </w:pPr>
            <w:r>
              <w:rPr>
                <w:rFonts w:hint="eastAsia"/>
              </w:rPr>
              <w:t>SFZX</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DXRQ</w:t>
            </w:r>
          </w:p>
        </w:tc>
        <w:tc>
          <w:tcPr>
            <w:tcW w:w="1954" w:type="pct"/>
            <w:shd w:val="clear" w:color="auto" w:fill="auto"/>
            <w:noWrap/>
            <w:vAlign w:val="center"/>
          </w:tcPr>
          <w:p>
            <w:pPr>
              <w:pStyle w:val="88"/>
            </w:pPr>
            <w:r>
              <w:rPr>
                <w:rFonts w:hint="eastAsia"/>
              </w:rPr>
              <w:t>吊销日期</w:t>
            </w:r>
          </w:p>
        </w:tc>
        <w:tc>
          <w:tcPr>
            <w:tcW w:w="936" w:type="pct"/>
            <w:shd w:val="clear" w:color="auto" w:fill="auto"/>
            <w:noWrap/>
            <w:vAlign w:val="center"/>
          </w:tcPr>
          <w:p>
            <w:pPr>
              <w:pStyle w:val="88"/>
            </w:pPr>
            <w:r>
              <w:rPr>
                <w:rFonts w:hint="eastAsia"/>
              </w:rPr>
              <w:t>DXRQ</w:t>
            </w:r>
          </w:p>
        </w:tc>
        <w:tc>
          <w:tcPr>
            <w:tcW w:w="1141" w:type="pct"/>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ZXYY</w:t>
            </w:r>
          </w:p>
        </w:tc>
        <w:tc>
          <w:tcPr>
            <w:tcW w:w="1954" w:type="pct"/>
            <w:shd w:val="clear" w:color="auto" w:fill="auto"/>
            <w:noWrap/>
            <w:vAlign w:val="center"/>
          </w:tcPr>
          <w:p>
            <w:pPr>
              <w:pStyle w:val="88"/>
            </w:pPr>
            <w:r>
              <w:rPr>
                <w:rFonts w:hint="eastAsia"/>
              </w:rPr>
              <w:t>注销原因</w:t>
            </w:r>
          </w:p>
        </w:tc>
        <w:tc>
          <w:tcPr>
            <w:tcW w:w="936" w:type="pct"/>
            <w:shd w:val="clear" w:color="auto" w:fill="auto"/>
            <w:noWrap/>
            <w:vAlign w:val="center"/>
          </w:tcPr>
          <w:p>
            <w:pPr>
              <w:pStyle w:val="88"/>
            </w:pPr>
            <w:r>
              <w:rPr>
                <w:rFonts w:hint="eastAsia"/>
              </w:rPr>
              <w:t>ZXYY</w:t>
            </w:r>
          </w:p>
        </w:tc>
        <w:tc>
          <w:tcPr>
            <w:tcW w:w="1141" w:type="pct"/>
            <w:shd w:val="clear" w:color="auto" w:fill="auto"/>
            <w:noWrap/>
            <w:vAlign w:val="center"/>
          </w:tcPr>
          <w:p>
            <w:pPr>
              <w:pStyle w:val="88"/>
            </w:pPr>
            <w:r>
              <w:rPr>
                <w:rFonts w:hint="eastAsia"/>
              </w:rPr>
              <w:t>字符(300)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DXYY</w:t>
            </w:r>
          </w:p>
        </w:tc>
        <w:tc>
          <w:tcPr>
            <w:tcW w:w="1954" w:type="pct"/>
            <w:shd w:val="clear" w:color="auto" w:fill="auto"/>
            <w:noWrap/>
            <w:vAlign w:val="center"/>
          </w:tcPr>
          <w:p>
            <w:pPr>
              <w:pStyle w:val="88"/>
            </w:pPr>
            <w:r>
              <w:rPr>
                <w:rFonts w:hint="eastAsia"/>
              </w:rPr>
              <w:t>吊销原因</w:t>
            </w:r>
          </w:p>
        </w:tc>
        <w:tc>
          <w:tcPr>
            <w:tcW w:w="936" w:type="pct"/>
            <w:shd w:val="clear" w:color="auto" w:fill="auto"/>
            <w:noWrap/>
            <w:vAlign w:val="center"/>
          </w:tcPr>
          <w:p>
            <w:pPr>
              <w:pStyle w:val="88"/>
            </w:pPr>
            <w:r>
              <w:rPr>
                <w:rFonts w:hint="eastAsia"/>
              </w:rPr>
              <w:t>DXYY</w:t>
            </w:r>
          </w:p>
        </w:tc>
        <w:tc>
          <w:tcPr>
            <w:tcW w:w="1141" w:type="pct"/>
            <w:shd w:val="clear" w:color="auto" w:fill="auto"/>
            <w:noWrap/>
            <w:vAlign w:val="center"/>
          </w:tcPr>
          <w:p>
            <w:pPr>
              <w:pStyle w:val="88"/>
            </w:pPr>
            <w:r>
              <w:rPr>
                <w:rFonts w:hint="eastAsia"/>
              </w:rPr>
              <w:t>字符(2000)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ZCZB</w:t>
            </w:r>
          </w:p>
        </w:tc>
        <w:tc>
          <w:tcPr>
            <w:tcW w:w="1954" w:type="pct"/>
            <w:shd w:val="clear" w:color="auto" w:fill="auto"/>
            <w:noWrap/>
            <w:vAlign w:val="center"/>
          </w:tcPr>
          <w:p>
            <w:pPr>
              <w:pStyle w:val="88"/>
            </w:pPr>
            <w:r>
              <w:rPr>
                <w:rFonts w:hint="eastAsia"/>
              </w:rPr>
              <w:t>注册资本</w:t>
            </w:r>
          </w:p>
        </w:tc>
        <w:tc>
          <w:tcPr>
            <w:tcW w:w="936" w:type="pct"/>
            <w:shd w:val="clear" w:color="auto" w:fill="auto"/>
            <w:noWrap/>
            <w:vAlign w:val="center"/>
          </w:tcPr>
          <w:p>
            <w:pPr>
              <w:pStyle w:val="88"/>
            </w:pPr>
            <w:r>
              <w:rPr>
                <w:rFonts w:hint="eastAsia"/>
              </w:rPr>
              <w:t>ZCZB</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ZCZBMY</w:t>
            </w:r>
          </w:p>
        </w:tc>
        <w:tc>
          <w:tcPr>
            <w:tcW w:w="1954" w:type="pct"/>
            <w:shd w:val="clear" w:color="auto" w:fill="auto"/>
            <w:noWrap/>
            <w:vAlign w:val="center"/>
          </w:tcPr>
          <w:p>
            <w:pPr>
              <w:pStyle w:val="88"/>
            </w:pPr>
            <w:r>
              <w:rPr>
                <w:rFonts w:hint="eastAsia"/>
              </w:rPr>
              <w:t>注册资本折美元</w:t>
            </w:r>
          </w:p>
        </w:tc>
        <w:tc>
          <w:tcPr>
            <w:tcW w:w="936" w:type="pct"/>
            <w:shd w:val="clear" w:color="auto" w:fill="auto"/>
            <w:noWrap/>
            <w:vAlign w:val="center"/>
          </w:tcPr>
          <w:p>
            <w:pPr>
              <w:pStyle w:val="88"/>
            </w:pPr>
            <w:r>
              <w:rPr>
                <w:rFonts w:hint="eastAsia"/>
              </w:rPr>
              <w:t>ZCZBMY</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SSZB</w:t>
            </w:r>
          </w:p>
        </w:tc>
        <w:tc>
          <w:tcPr>
            <w:tcW w:w="1954" w:type="pct"/>
            <w:shd w:val="clear" w:color="auto" w:fill="auto"/>
            <w:noWrap/>
            <w:vAlign w:val="center"/>
          </w:tcPr>
          <w:p>
            <w:pPr>
              <w:pStyle w:val="88"/>
            </w:pPr>
            <w:r>
              <w:rPr>
                <w:rFonts w:hint="eastAsia"/>
              </w:rPr>
              <w:t>实收资本</w:t>
            </w:r>
          </w:p>
        </w:tc>
        <w:tc>
          <w:tcPr>
            <w:tcW w:w="936" w:type="pct"/>
            <w:shd w:val="clear" w:color="auto" w:fill="auto"/>
            <w:noWrap/>
            <w:vAlign w:val="center"/>
          </w:tcPr>
          <w:p>
            <w:pPr>
              <w:pStyle w:val="88"/>
            </w:pPr>
            <w:r>
              <w:rPr>
                <w:rFonts w:hint="eastAsia"/>
              </w:rPr>
              <w:t>SSZB</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SSZBMY</w:t>
            </w:r>
          </w:p>
        </w:tc>
        <w:tc>
          <w:tcPr>
            <w:tcW w:w="1954" w:type="pct"/>
            <w:shd w:val="clear" w:color="auto" w:fill="auto"/>
            <w:noWrap/>
            <w:vAlign w:val="center"/>
          </w:tcPr>
          <w:p>
            <w:pPr>
              <w:pStyle w:val="88"/>
            </w:pPr>
            <w:r>
              <w:rPr>
                <w:rFonts w:hint="eastAsia"/>
              </w:rPr>
              <w:t>实收资本折美元</w:t>
            </w:r>
          </w:p>
        </w:tc>
        <w:tc>
          <w:tcPr>
            <w:tcW w:w="936" w:type="pct"/>
            <w:shd w:val="clear" w:color="auto" w:fill="auto"/>
            <w:noWrap/>
            <w:vAlign w:val="center"/>
          </w:tcPr>
          <w:p>
            <w:pPr>
              <w:pStyle w:val="88"/>
            </w:pPr>
            <w:r>
              <w:rPr>
                <w:rFonts w:hint="eastAsia"/>
              </w:rPr>
              <w:t>SSZBMY</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TZZE</w:t>
            </w:r>
          </w:p>
        </w:tc>
        <w:tc>
          <w:tcPr>
            <w:tcW w:w="1954" w:type="pct"/>
            <w:shd w:val="clear" w:color="auto" w:fill="auto"/>
            <w:noWrap/>
            <w:vAlign w:val="center"/>
          </w:tcPr>
          <w:p>
            <w:pPr>
              <w:pStyle w:val="88"/>
            </w:pPr>
            <w:r>
              <w:rPr>
                <w:rFonts w:hint="eastAsia"/>
              </w:rPr>
              <w:t>投资总额</w:t>
            </w:r>
          </w:p>
        </w:tc>
        <w:tc>
          <w:tcPr>
            <w:tcW w:w="936" w:type="pct"/>
            <w:shd w:val="clear" w:color="auto" w:fill="auto"/>
            <w:noWrap/>
            <w:vAlign w:val="center"/>
          </w:tcPr>
          <w:p>
            <w:pPr>
              <w:pStyle w:val="88"/>
            </w:pPr>
            <w:r>
              <w:rPr>
                <w:rFonts w:hint="eastAsia"/>
              </w:rPr>
              <w:t>TZZE</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TZZEMY</w:t>
            </w:r>
          </w:p>
        </w:tc>
        <w:tc>
          <w:tcPr>
            <w:tcW w:w="1954" w:type="pct"/>
            <w:shd w:val="clear" w:color="auto" w:fill="auto"/>
            <w:noWrap/>
            <w:vAlign w:val="center"/>
          </w:tcPr>
          <w:p>
            <w:pPr>
              <w:pStyle w:val="88"/>
            </w:pPr>
            <w:r>
              <w:rPr>
                <w:rFonts w:hint="eastAsia"/>
              </w:rPr>
              <w:t>投资总额折美元</w:t>
            </w:r>
          </w:p>
        </w:tc>
        <w:tc>
          <w:tcPr>
            <w:tcW w:w="936" w:type="pct"/>
            <w:shd w:val="clear" w:color="auto" w:fill="auto"/>
            <w:noWrap/>
            <w:vAlign w:val="center"/>
          </w:tcPr>
          <w:p>
            <w:pPr>
              <w:pStyle w:val="88"/>
            </w:pPr>
            <w:r>
              <w:rPr>
                <w:rFonts w:hint="eastAsia"/>
              </w:rPr>
              <w:t>TZZEMY</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BZ</w:t>
            </w:r>
          </w:p>
        </w:tc>
        <w:tc>
          <w:tcPr>
            <w:tcW w:w="1954" w:type="pct"/>
            <w:shd w:val="clear" w:color="auto" w:fill="auto"/>
            <w:noWrap/>
            <w:vAlign w:val="center"/>
          </w:tcPr>
          <w:p>
            <w:pPr>
              <w:pStyle w:val="88"/>
            </w:pPr>
            <w:r>
              <w:rPr>
                <w:rFonts w:hint="eastAsia"/>
              </w:rPr>
              <w:t>币种</w:t>
            </w:r>
          </w:p>
        </w:tc>
        <w:tc>
          <w:tcPr>
            <w:tcW w:w="936" w:type="pct"/>
            <w:shd w:val="clear" w:color="auto" w:fill="auto"/>
            <w:noWrap/>
            <w:vAlign w:val="center"/>
          </w:tcPr>
          <w:p>
            <w:pPr>
              <w:pStyle w:val="88"/>
            </w:pPr>
            <w:r>
              <w:rPr>
                <w:rFonts w:hint="eastAsia"/>
              </w:rPr>
              <w:t>BZ</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ZFRJE</w:t>
            </w:r>
          </w:p>
        </w:tc>
        <w:tc>
          <w:tcPr>
            <w:tcW w:w="1954" w:type="pct"/>
            <w:shd w:val="clear" w:color="auto" w:fill="auto"/>
            <w:noWrap/>
            <w:vAlign w:val="center"/>
          </w:tcPr>
          <w:p>
            <w:pPr>
              <w:pStyle w:val="88"/>
            </w:pPr>
            <w:r>
              <w:rPr>
                <w:rFonts w:hint="eastAsia"/>
              </w:rPr>
              <w:t>中方认缴额</w:t>
            </w:r>
          </w:p>
        </w:tc>
        <w:tc>
          <w:tcPr>
            <w:tcW w:w="936" w:type="pct"/>
            <w:shd w:val="clear" w:color="auto" w:fill="auto"/>
            <w:noWrap/>
            <w:vAlign w:val="center"/>
          </w:tcPr>
          <w:p>
            <w:pPr>
              <w:pStyle w:val="88"/>
            </w:pPr>
            <w:r>
              <w:rPr>
                <w:rFonts w:hint="eastAsia"/>
              </w:rPr>
              <w:t>ZFRJE</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ZFRJEZMY</w:t>
            </w:r>
          </w:p>
        </w:tc>
        <w:tc>
          <w:tcPr>
            <w:tcW w:w="1954" w:type="pct"/>
            <w:shd w:val="clear" w:color="auto" w:fill="auto"/>
            <w:noWrap/>
            <w:vAlign w:val="center"/>
          </w:tcPr>
          <w:p>
            <w:pPr>
              <w:pStyle w:val="88"/>
            </w:pPr>
            <w:r>
              <w:rPr>
                <w:rFonts w:hint="eastAsia"/>
              </w:rPr>
              <w:t>中方认缴额折美元</w:t>
            </w:r>
          </w:p>
        </w:tc>
        <w:tc>
          <w:tcPr>
            <w:tcW w:w="936" w:type="pct"/>
            <w:shd w:val="clear" w:color="auto" w:fill="auto"/>
            <w:noWrap/>
            <w:vAlign w:val="center"/>
          </w:tcPr>
          <w:p>
            <w:pPr>
              <w:pStyle w:val="88"/>
            </w:pPr>
            <w:r>
              <w:rPr>
                <w:rFonts w:hint="eastAsia"/>
              </w:rPr>
              <w:t>ZFRJEZMY</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ZFSJE</w:t>
            </w:r>
          </w:p>
        </w:tc>
        <w:tc>
          <w:tcPr>
            <w:tcW w:w="1954" w:type="pct"/>
            <w:shd w:val="clear" w:color="auto" w:fill="auto"/>
            <w:noWrap/>
            <w:vAlign w:val="center"/>
          </w:tcPr>
          <w:p>
            <w:pPr>
              <w:pStyle w:val="88"/>
            </w:pPr>
            <w:r>
              <w:rPr>
                <w:rFonts w:hint="eastAsia"/>
              </w:rPr>
              <w:t>中方实缴额</w:t>
            </w:r>
          </w:p>
        </w:tc>
        <w:tc>
          <w:tcPr>
            <w:tcW w:w="936" w:type="pct"/>
            <w:shd w:val="clear" w:color="auto" w:fill="auto"/>
            <w:noWrap/>
            <w:vAlign w:val="center"/>
          </w:tcPr>
          <w:p>
            <w:pPr>
              <w:pStyle w:val="88"/>
            </w:pPr>
            <w:r>
              <w:rPr>
                <w:rFonts w:hint="eastAsia"/>
              </w:rPr>
              <w:t>ZFSJE</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ZFSJEZMY</w:t>
            </w:r>
          </w:p>
        </w:tc>
        <w:tc>
          <w:tcPr>
            <w:tcW w:w="1954" w:type="pct"/>
            <w:shd w:val="clear" w:color="auto" w:fill="auto"/>
            <w:noWrap/>
            <w:vAlign w:val="center"/>
          </w:tcPr>
          <w:p>
            <w:pPr>
              <w:pStyle w:val="88"/>
            </w:pPr>
            <w:r>
              <w:rPr>
                <w:rFonts w:hint="eastAsia"/>
              </w:rPr>
              <w:t>中方实缴额折美元</w:t>
            </w:r>
          </w:p>
        </w:tc>
        <w:tc>
          <w:tcPr>
            <w:tcW w:w="936" w:type="pct"/>
            <w:shd w:val="clear" w:color="auto" w:fill="auto"/>
            <w:noWrap/>
            <w:vAlign w:val="center"/>
          </w:tcPr>
          <w:p>
            <w:pPr>
              <w:pStyle w:val="88"/>
            </w:pPr>
            <w:r>
              <w:rPr>
                <w:rFonts w:hint="eastAsia"/>
              </w:rPr>
              <w:t>ZFSJEZMY</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WFRJE</w:t>
            </w:r>
          </w:p>
        </w:tc>
        <w:tc>
          <w:tcPr>
            <w:tcW w:w="1954" w:type="pct"/>
            <w:shd w:val="clear" w:color="auto" w:fill="auto"/>
            <w:noWrap/>
            <w:vAlign w:val="center"/>
          </w:tcPr>
          <w:p>
            <w:pPr>
              <w:pStyle w:val="88"/>
            </w:pPr>
            <w:r>
              <w:rPr>
                <w:rFonts w:hint="eastAsia"/>
              </w:rPr>
              <w:t>外方认缴额</w:t>
            </w:r>
          </w:p>
        </w:tc>
        <w:tc>
          <w:tcPr>
            <w:tcW w:w="936" w:type="pct"/>
            <w:shd w:val="clear" w:color="auto" w:fill="auto"/>
            <w:noWrap/>
            <w:vAlign w:val="center"/>
          </w:tcPr>
          <w:p>
            <w:pPr>
              <w:pStyle w:val="88"/>
            </w:pPr>
            <w:r>
              <w:rPr>
                <w:rFonts w:hint="eastAsia"/>
              </w:rPr>
              <w:t>WFRJE</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WFRJEZMY</w:t>
            </w:r>
          </w:p>
        </w:tc>
        <w:tc>
          <w:tcPr>
            <w:tcW w:w="1954" w:type="pct"/>
            <w:shd w:val="clear" w:color="auto" w:fill="auto"/>
            <w:noWrap/>
            <w:vAlign w:val="center"/>
          </w:tcPr>
          <w:p>
            <w:pPr>
              <w:pStyle w:val="88"/>
            </w:pPr>
            <w:r>
              <w:rPr>
                <w:rFonts w:hint="eastAsia"/>
              </w:rPr>
              <w:t>外方认缴额折美元</w:t>
            </w:r>
          </w:p>
        </w:tc>
        <w:tc>
          <w:tcPr>
            <w:tcW w:w="936" w:type="pct"/>
            <w:shd w:val="clear" w:color="auto" w:fill="auto"/>
            <w:noWrap/>
            <w:vAlign w:val="center"/>
          </w:tcPr>
          <w:p>
            <w:pPr>
              <w:pStyle w:val="88"/>
            </w:pPr>
            <w:r>
              <w:rPr>
                <w:rFonts w:hint="eastAsia"/>
              </w:rPr>
              <w:t>WFRJEZMY</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WFSJE</w:t>
            </w:r>
          </w:p>
        </w:tc>
        <w:tc>
          <w:tcPr>
            <w:tcW w:w="1954" w:type="pct"/>
            <w:shd w:val="clear" w:color="auto" w:fill="auto"/>
            <w:noWrap/>
            <w:vAlign w:val="center"/>
          </w:tcPr>
          <w:p>
            <w:pPr>
              <w:pStyle w:val="88"/>
            </w:pPr>
            <w:r>
              <w:rPr>
                <w:rFonts w:hint="eastAsia"/>
              </w:rPr>
              <w:t>外方实缴额</w:t>
            </w:r>
          </w:p>
        </w:tc>
        <w:tc>
          <w:tcPr>
            <w:tcW w:w="936" w:type="pct"/>
            <w:shd w:val="clear" w:color="auto" w:fill="auto"/>
            <w:noWrap/>
            <w:vAlign w:val="center"/>
          </w:tcPr>
          <w:p>
            <w:pPr>
              <w:pStyle w:val="88"/>
            </w:pPr>
            <w:r>
              <w:rPr>
                <w:rFonts w:hint="eastAsia"/>
              </w:rPr>
              <w:t>WFSJE</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WFSJEZMY</w:t>
            </w:r>
          </w:p>
        </w:tc>
        <w:tc>
          <w:tcPr>
            <w:tcW w:w="1954" w:type="pct"/>
            <w:shd w:val="clear" w:color="auto" w:fill="auto"/>
            <w:noWrap/>
            <w:vAlign w:val="center"/>
          </w:tcPr>
          <w:p>
            <w:pPr>
              <w:pStyle w:val="88"/>
            </w:pPr>
            <w:r>
              <w:rPr>
                <w:rFonts w:hint="eastAsia"/>
              </w:rPr>
              <w:t>外方实缴额折美元</w:t>
            </w:r>
          </w:p>
        </w:tc>
        <w:tc>
          <w:tcPr>
            <w:tcW w:w="936" w:type="pct"/>
            <w:shd w:val="clear" w:color="auto" w:fill="auto"/>
            <w:noWrap/>
            <w:vAlign w:val="center"/>
          </w:tcPr>
          <w:p>
            <w:pPr>
              <w:pStyle w:val="88"/>
            </w:pPr>
            <w:r>
              <w:rPr>
                <w:rFonts w:hint="eastAsia"/>
              </w:rPr>
              <w:t>WFSJEZMY</w:t>
            </w:r>
          </w:p>
        </w:tc>
        <w:tc>
          <w:tcPr>
            <w:tcW w:w="1141" w:type="pct"/>
            <w:shd w:val="clear" w:color="auto" w:fill="auto"/>
            <w:noWrap/>
            <w:vAlign w:val="center"/>
          </w:tcPr>
          <w:p>
            <w:pPr>
              <w:pStyle w:val="88"/>
            </w:pPr>
            <w:r>
              <w:rPr>
                <w:rFonts w:hint="eastAsia"/>
              </w:rPr>
              <w:t>浮点(18,6)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SFQYFR</w:t>
            </w:r>
          </w:p>
        </w:tc>
        <w:tc>
          <w:tcPr>
            <w:tcW w:w="1954" w:type="pct"/>
            <w:shd w:val="clear" w:color="auto" w:fill="auto"/>
            <w:noWrap/>
            <w:vAlign w:val="center"/>
          </w:tcPr>
          <w:p>
            <w:pPr>
              <w:pStyle w:val="88"/>
            </w:pPr>
            <w:r>
              <w:rPr>
                <w:rFonts w:hint="eastAsia"/>
              </w:rPr>
              <w:t>是否企业法人</w:t>
            </w:r>
          </w:p>
        </w:tc>
        <w:tc>
          <w:tcPr>
            <w:tcW w:w="936" w:type="pct"/>
            <w:shd w:val="clear" w:color="auto" w:fill="auto"/>
            <w:noWrap/>
            <w:vAlign w:val="center"/>
          </w:tcPr>
          <w:p>
            <w:pPr>
              <w:pStyle w:val="88"/>
            </w:pPr>
            <w:r>
              <w:rPr>
                <w:rFonts w:hint="eastAsia"/>
              </w:rPr>
              <w:t>SFQYFR</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SFGQCZ</w:t>
            </w:r>
          </w:p>
        </w:tc>
        <w:tc>
          <w:tcPr>
            <w:tcW w:w="1954" w:type="pct"/>
            <w:shd w:val="clear" w:color="auto" w:fill="auto"/>
            <w:noWrap/>
            <w:vAlign w:val="center"/>
          </w:tcPr>
          <w:p>
            <w:pPr>
              <w:pStyle w:val="88"/>
            </w:pPr>
            <w:r>
              <w:rPr>
                <w:rFonts w:hint="eastAsia"/>
              </w:rPr>
              <w:t>是否股权出质</w:t>
            </w:r>
          </w:p>
        </w:tc>
        <w:tc>
          <w:tcPr>
            <w:tcW w:w="936" w:type="pct"/>
            <w:shd w:val="clear" w:color="auto" w:fill="auto"/>
            <w:noWrap/>
            <w:vAlign w:val="center"/>
          </w:tcPr>
          <w:p>
            <w:pPr>
              <w:pStyle w:val="88"/>
            </w:pPr>
            <w:r>
              <w:rPr>
                <w:rFonts w:hint="eastAsia"/>
              </w:rPr>
              <w:t>SFGQCZ</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DBZSSE</w:t>
            </w:r>
          </w:p>
        </w:tc>
        <w:tc>
          <w:tcPr>
            <w:tcW w:w="1954" w:type="pct"/>
            <w:shd w:val="clear" w:color="auto" w:fill="auto"/>
            <w:noWrap/>
            <w:vAlign w:val="center"/>
          </w:tcPr>
          <w:p>
            <w:pPr>
              <w:pStyle w:val="88"/>
            </w:pPr>
            <w:r>
              <w:rPr>
                <w:rFonts w:hint="eastAsia"/>
              </w:rPr>
              <w:t>被担保债权数额</w:t>
            </w:r>
          </w:p>
        </w:tc>
        <w:tc>
          <w:tcPr>
            <w:tcW w:w="936" w:type="pct"/>
            <w:shd w:val="clear" w:color="auto" w:fill="auto"/>
            <w:noWrap/>
            <w:vAlign w:val="center"/>
          </w:tcPr>
          <w:p>
            <w:pPr>
              <w:pStyle w:val="88"/>
            </w:pPr>
            <w:r>
              <w:rPr>
                <w:rFonts w:hint="eastAsia"/>
              </w:rPr>
              <w:t>DBZSSE</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CYRYS</w:t>
            </w:r>
          </w:p>
        </w:tc>
        <w:tc>
          <w:tcPr>
            <w:tcW w:w="1954" w:type="pct"/>
            <w:shd w:val="clear" w:color="auto" w:fill="auto"/>
            <w:noWrap/>
            <w:vAlign w:val="center"/>
          </w:tcPr>
          <w:p>
            <w:pPr>
              <w:pStyle w:val="88"/>
            </w:pPr>
            <w:r>
              <w:rPr>
                <w:rFonts w:hint="eastAsia"/>
              </w:rPr>
              <w:t>从业人员数</w:t>
            </w:r>
          </w:p>
        </w:tc>
        <w:tc>
          <w:tcPr>
            <w:tcW w:w="936" w:type="pct"/>
            <w:shd w:val="clear" w:color="auto" w:fill="auto"/>
            <w:noWrap/>
            <w:vAlign w:val="center"/>
          </w:tcPr>
          <w:p>
            <w:pPr>
              <w:pStyle w:val="88"/>
            </w:pPr>
            <w:r>
              <w:rPr>
                <w:rFonts w:hint="eastAsia"/>
              </w:rPr>
              <w:t>CYRYS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HHRS</w:t>
            </w:r>
          </w:p>
        </w:tc>
        <w:tc>
          <w:tcPr>
            <w:tcW w:w="1954" w:type="pct"/>
            <w:shd w:val="clear" w:color="auto" w:fill="auto"/>
            <w:noWrap/>
            <w:vAlign w:val="center"/>
          </w:tcPr>
          <w:p>
            <w:pPr>
              <w:pStyle w:val="88"/>
            </w:pPr>
            <w:r>
              <w:rPr>
                <w:rFonts w:hint="eastAsia"/>
              </w:rPr>
              <w:t>合伙人数</w:t>
            </w:r>
          </w:p>
        </w:tc>
        <w:tc>
          <w:tcPr>
            <w:tcW w:w="936" w:type="pct"/>
            <w:shd w:val="clear" w:color="auto" w:fill="auto"/>
            <w:noWrap/>
            <w:vAlign w:val="center"/>
          </w:tcPr>
          <w:p>
            <w:pPr>
              <w:pStyle w:val="88"/>
            </w:pPr>
            <w:r>
              <w:rPr>
                <w:rFonts w:hint="eastAsia"/>
              </w:rPr>
              <w:t>HHRS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ZXRS</w:t>
            </w:r>
          </w:p>
        </w:tc>
        <w:tc>
          <w:tcPr>
            <w:tcW w:w="1954" w:type="pct"/>
            <w:shd w:val="clear" w:color="auto" w:fill="auto"/>
            <w:noWrap/>
            <w:vAlign w:val="center"/>
          </w:tcPr>
          <w:p>
            <w:pPr>
              <w:pStyle w:val="88"/>
            </w:pPr>
            <w:r>
              <w:rPr>
                <w:rFonts w:hint="eastAsia"/>
              </w:rPr>
              <w:t>执行人数</w:t>
            </w:r>
          </w:p>
        </w:tc>
        <w:tc>
          <w:tcPr>
            <w:tcW w:w="936" w:type="pct"/>
            <w:shd w:val="clear" w:color="auto" w:fill="auto"/>
            <w:noWrap/>
            <w:vAlign w:val="center"/>
          </w:tcPr>
          <w:p>
            <w:pPr>
              <w:pStyle w:val="88"/>
            </w:pPr>
            <w:r>
              <w:rPr>
                <w:rFonts w:hint="eastAsia"/>
              </w:rPr>
              <w:t>ZXRS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AZXGRS</w:t>
            </w:r>
          </w:p>
        </w:tc>
        <w:tc>
          <w:tcPr>
            <w:tcW w:w="1954" w:type="pct"/>
            <w:shd w:val="clear" w:color="auto" w:fill="auto"/>
            <w:noWrap/>
            <w:vAlign w:val="center"/>
          </w:tcPr>
          <w:p>
            <w:pPr>
              <w:pStyle w:val="88"/>
            </w:pPr>
            <w:r>
              <w:rPr>
                <w:rFonts w:hint="eastAsia"/>
              </w:rPr>
              <w:t>安置下岗失业人数</w:t>
            </w:r>
          </w:p>
        </w:tc>
        <w:tc>
          <w:tcPr>
            <w:tcW w:w="936" w:type="pct"/>
            <w:shd w:val="clear" w:color="auto" w:fill="auto"/>
            <w:noWrap/>
            <w:vAlign w:val="center"/>
          </w:tcPr>
          <w:p>
            <w:pPr>
              <w:pStyle w:val="88"/>
            </w:pPr>
            <w:r>
              <w:rPr>
                <w:rFonts w:hint="eastAsia"/>
              </w:rPr>
              <w:t>AZXGRS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XGTZRS</w:t>
            </w:r>
          </w:p>
        </w:tc>
        <w:tc>
          <w:tcPr>
            <w:tcW w:w="1954" w:type="pct"/>
            <w:shd w:val="clear" w:color="auto" w:fill="auto"/>
            <w:noWrap/>
            <w:vAlign w:val="center"/>
          </w:tcPr>
          <w:p>
            <w:pPr>
              <w:pStyle w:val="88"/>
            </w:pPr>
            <w:r>
              <w:rPr>
                <w:rFonts w:hint="eastAsia"/>
              </w:rPr>
              <w:t>下岗失业人员参与投资人数</w:t>
            </w:r>
          </w:p>
        </w:tc>
        <w:tc>
          <w:tcPr>
            <w:tcW w:w="936" w:type="pct"/>
            <w:shd w:val="clear" w:color="auto" w:fill="auto"/>
            <w:noWrap/>
            <w:vAlign w:val="center"/>
          </w:tcPr>
          <w:p>
            <w:pPr>
              <w:pStyle w:val="88"/>
            </w:pPr>
            <w:r>
              <w:rPr>
                <w:rFonts w:hint="eastAsia"/>
              </w:rPr>
              <w:t>XGTZRS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XGCYRS</w:t>
            </w:r>
          </w:p>
        </w:tc>
        <w:tc>
          <w:tcPr>
            <w:tcW w:w="1954" w:type="pct"/>
            <w:shd w:val="clear" w:color="auto" w:fill="auto"/>
            <w:noWrap/>
            <w:vAlign w:val="center"/>
          </w:tcPr>
          <w:p>
            <w:pPr>
              <w:pStyle w:val="88"/>
            </w:pPr>
            <w:r>
              <w:rPr>
                <w:rFonts w:hint="eastAsia"/>
              </w:rPr>
              <w:t>下岗失业人员在此从业人数</w:t>
            </w:r>
          </w:p>
        </w:tc>
        <w:tc>
          <w:tcPr>
            <w:tcW w:w="936" w:type="pct"/>
            <w:shd w:val="clear" w:color="auto" w:fill="auto"/>
            <w:noWrap/>
            <w:vAlign w:val="center"/>
          </w:tcPr>
          <w:p>
            <w:pPr>
              <w:pStyle w:val="88"/>
            </w:pPr>
            <w:r>
              <w:rPr>
                <w:rFonts w:hint="eastAsia"/>
              </w:rPr>
              <w:t>XGCYRS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GXBYSRS</w:t>
            </w:r>
          </w:p>
        </w:tc>
        <w:tc>
          <w:tcPr>
            <w:tcW w:w="1954" w:type="pct"/>
            <w:shd w:val="clear" w:color="auto" w:fill="auto"/>
            <w:noWrap/>
            <w:vAlign w:val="center"/>
          </w:tcPr>
          <w:p>
            <w:pPr>
              <w:pStyle w:val="88"/>
            </w:pPr>
            <w:r>
              <w:rPr>
                <w:rFonts w:hint="eastAsia"/>
              </w:rPr>
              <w:t>高校毕业生人数</w:t>
            </w:r>
          </w:p>
        </w:tc>
        <w:tc>
          <w:tcPr>
            <w:tcW w:w="936" w:type="pct"/>
            <w:shd w:val="clear" w:color="auto" w:fill="auto"/>
            <w:noWrap/>
            <w:vAlign w:val="center"/>
          </w:tcPr>
          <w:p>
            <w:pPr>
              <w:pStyle w:val="88"/>
            </w:pPr>
            <w:r>
              <w:rPr>
                <w:rFonts w:hint="eastAsia"/>
              </w:rPr>
              <w:t>GXBYSRS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GXBYSTZRS</w:t>
            </w:r>
          </w:p>
        </w:tc>
        <w:tc>
          <w:tcPr>
            <w:tcW w:w="1954" w:type="pct"/>
            <w:shd w:val="clear" w:color="auto" w:fill="auto"/>
            <w:noWrap/>
            <w:vAlign w:val="center"/>
          </w:tcPr>
          <w:p>
            <w:pPr>
              <w:pStyle w:val="88"/>
            </w:pPr>
            <w:r>
              <w:rPr>
                <w:rFonts w:hint="eastAsia"/>
              </w:rPr>
              <w:t>高校毕业生参入投资(申办)人数</w:t>
            </w:r>
          </w:p>
        </w:tc>
        <w:tc>
          <w:tcPr>
            <w:tcW w:w="936" w:type="pct"/>
            <w:shd w:val="clear" w:color="auto" w:fill="auto"/>
            <w:noWrap/>
            <w:vAlign w:val="center"/>
          </w:tcPr>
          <w:p>
            <w:pPr>
              <w:pStyle w:val="88"/>
            </w:pPr>
            <w:r>
              <w:rPr>
                <w:rFonts w:hint="eastAsia"/>
              </w:rPr>
              <w:t>GXBYSTZRS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GXBYSCYRS</w:t>
            </w:r>
          </w:p>
        </w:tc>
        <w:tc>
          <w:tcPr>
            <w:tcW w:w="1954" w:type="pct"/>
            <w:shd w:val="clear" w:color="auto" w:fill="auto"/>
            <w:noWrap/>
            <w:vAlign w:val="center"/>
          </w:tcPr>
          <w:p>
            <w:pPr>
              <w:pStyle w:val="88"/>
            </w:pPr>
            <w:r>
              <w:rPr>
                <w:rFonts w:hint="eastAsia"/>
              </w:rPr>
              <w:t>高校毕业生在此从业人数</w:t>
            </w:r>
          </w:p>
        </w:tc>
        <w:tc>
          <w:tcPr>
            <w:tcW w:w="936" w:type="pct"/>
            <w:shd w:val="clear" w:color="auto" w:fill="auto"/>
            <w:noWrap/>
            <w:vAlign w:val="center"/>
          </w:tcPr>
          <w:p>
            <w:pPr>
              <w:pStyle w:val="88"/>
            </w:pPr>
            <w:r>
              <w:rPr>
                <w:rFonts w:hint="eastAsia"/>
              </w:rPr>
              <w:t>GXBYSCYRS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DAH</w:t>
            </w:r>
          </w:p>
        </w:tc>
        <w:tc>
          <w:tcPr>
            <w:tcW w:w="1954" w:type="pct"/>
            <w:shd w:val="clear" w:color="auto" w:fill="auto"/>
            <w:noWrap/>
            <w:vAlign w:val="center"/>
          </w:tcPr>
          <w:p>
            <w:pPr>
              <w:pStyle w:val="88"/>
            </w:pPr>
            <w:r>
              <w:rPr>
                <w:rFonts w:hint="eastAsia"/>
              </w:rPr>
              <w:t>档案号</w:t>
            </w:r>
          </w:p>
        </w:tc>
        <w:tc>
          <w:tcPr>
            <w:tcW w:w="936" w:type="pct"/>
            <w:shd w:val="clear" w:color="auto" w:fill="auto"/>
            <w:noWrap/>
            <w:vAlign w:val="center"/>
          </w:tcPr>
          <w:p>
            <w:pPr>
              <w:pStyle w:val="88"/>
            </w:pPr>
            <w:r>
              <w:rPr>
                <w:rFonts w:hint="eastAsia"/>
              </w:rPr>
              <w:t>DAH</w:t>
            </w:r>
          </w:p>
        </w:tc>
        <w:tc>
          <w:tcPr>
            <w:tcW w:w="1141" w:type="pct"/>
            <w:shd w:val="clear" w:color="auto" w:fill="auto"/>
            <w:noWrap/>
            <w:vAlign w:val="center"/>
          </w:tcPr>
          <w:p>
            <w:pPr>
              <w:pStyle w:val="88"/>
            </w:pPr>
            <w:r>
              <w:rPr>
                <w:rFonts w:hint="eastAsia"/>
              </w:rPr>
              <w:t>字符(100)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FDDBR</w:t>
            </w:r>
          </w:p>
        </w:tc>
        <w:tc>
          <w:tcPr>
            <w:tcW w:w="1954" w:type="pct"/>
            <w:shd w:val="clear" w:color="auto" w:fill="auto"/>
            <w:noWrap/>
            <w:vAlign w:val="center"/>
          </w:tcPr>
          <w:p>
            <w:pPr>
              <w:pStyle w:val="88"/>
            </w:pPr>
            <w:r>
              <w:rPr>
                <w:rFonts w:hint="eastAsia"/>
              </w:rPr>
              <w:t>法定代表人</w:t>
            </w:r>
          </w:p>
        </w:tc>
        <w:tc>
          <w:tcPr>
            <w:tcW w:w="936" w:type="pct"/>
            <w:shd w:val="clear" w:color="auto" w:fill="auto"/>
            <w:noWrap/>
            <w:vAlign w:val="center"/>
          </w:tcPr>
          <w:p>
            <w:pPr>
              <w:pStyle w:val="88"/>
            </w:pPr>
            <w:r>
              <w:rPr>
                <w:rFonts w:hint="eastAsia"/>
              </w:rPr>
              <w:t>FDDBR</w:t>
            </w:r>
          </w:p>
        </w:tc>
        <w:tc>
          <w:tcPr>
            <w:tcW w:w="1141" w:type="pct"/>
            <w:shd w:val="clear" w:color="auto" w:fill="auto"/>
            <w:noWrap/>
            <w:vAlign w:val="center"/>
          </w:tcPr>
          <w:p>
            <w:pPr>
              <w:pStyle w:val="88"/>
            </w:pPr>
            <w:r>
              <w:rPr>
                <w:rFonts w:hint="eastAsia"/>
              </w:rPr>
              <w:t>字符(300)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FXHY</w:t>
            </w:r>
          </w:p>
        </w:tc>
        <w:tc>
          <w:tcPr>
            <w:tcW w:w="1954" w:type="pct"/>
            <w:shd w:val="clear" w:color="auto" w:fill="auto"/>
            <w:noWrap/>
            <w:vAlign w:val="center"/>
          </w:tcPr>
          <w:p>
            <w:pPr>
              <w:pStyle w:val="88"/>
            </w:pPr>
            <w:r>
              <w:rPr>
                <w:rFonts w:hint="eastAsia"/>
              </w:rPr>
              <w:t>风险行业</w:t>
            </w:r>
          </w:p>
        </w:tc>
        <w:tc>
          <w:tcPr>
            <w:tcW w:w="936" w:type="pct"/>
            <w:shd w:val="clear" w:color="auto" w:fill="auto"/>
            <w:noWrap/>
            <w:vAlign w:val="center"/>
          </w:tcPr>
          <w:p>
            <w:pPr>
              <w:pStyle w:val="88"/>
            </w:pPr>
            <w:r>
              <w:rPr>
                <w:rFonts w:hint="eastAsia"/>
              </w:rPr>
              <w:t>FXHY</w:t>
            </w:r>
          </w:p>
        </w:tc>
        <w:tc>
          <w:tcPr>
            <w:tcW w:w="1141" w:type="pct"/>
            <w:shd w:val="clear" w:color="auto" w:fill="auto"/>
            <w:noWrap/>
            <w:vAlign w:val="center"/>
          </w:tcPr>
          <w:p>
            <w:pPr>
              <w:pStyle w:val="88"/>
            </w:pPr>
            <w:r>
              <w:rPr>
                <w:rFonts w:hint="eastAsia"/>
              </w:rPr>
              <w:t>字符(150)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GDRS</w:t>
            </w:r>
          </w:p>
        </w:tc>
        <w:tc>
          <w:tcPr>
            <w:tcW w:w="1954" w:type="pct"/>
            <w:shd w:val="clear" w:color="auto" w:fill="auto"/>
            <w:noWrap/>
            <w:vAlign w:val="center"/>
          </w:tcPr>
          <w:p>
            <w:pPr>
              <w:pStyle w:val="88"/>
            </w:pPr>
            <w:r>
              <w:rPr>
                <w:rFonts w:hint="eastAsia"/>
              </w:rPr>
              <w:t>股东人数</w:t>
            </w:r>
          </w:p>
        </w:tc>
        <w:tc>
          <w:tcPr>
            <w:tcW w:w="936" w:type="pct"/>
            <w:shd w:val="clear" w:color="auto" w:fill="auto"/>
            <w:noWrap/>
            <w:vAlign w:val="center"/>
          </w:tcPr>
          <w:p>
            <w:pPr>
              <w:pStyle w:val="88"/>
            </w:pPr>
            <w:r>
              <w:rPr>
                <w:rFonts w:hint="eastAsia"/>
              </w:rPr>
              <w:t>GDRS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JYDZ</w:t>
            </w:r>
          </w:p>
        </w:tc>
        <w:tc>
          <w:tcPr>
            <w:tcW w:w="1954" w:type="pct"/>
            <w:shd w:val="clear" w:color="auto" w:fill="auto"/>
            <w:noWrap/>
            <w:vAlign w:val="center"/>
          </w:tcPr>
          <w:p>
            <w:pPr>
              <w:pStyle w:val="88"/>
            </w:pPr>
            <w:r>
              <w:rPr>
                <w:rFonts w:hint="eastAsia"/>
              </w:rPr>
              <w:t>经营地址</w:t>
            </w:r>
          </w:p>
        </w:tc>
        <w:tc>
          <w:tcPr>
            <w:tcW w:w="936" w:type="pct"/>
            <w:shd w:val="clear" w:color="auto" w:fill="auto"/>
            <w:noWrap/>
            <w:vAlign w:val="center"/>
          </w:tcPr>
          <w:p>
            <w:pPr>
              <w:pStyle w:val="88"/>
            </w:pPr>
            <w:r>
              <w:rPr>
                <w:rFonts w:hint="eastAsia"/>
              </w:rPr>
              <w:t>JYDZ</w:t>
            </w:r>
          </w:p>
        </w:tc>
        <w:tc>
          <w:tcPr>
            <w:tcW w:w="1141" w:type="pct"/>
            <w:shd w:val="clear" w:color="auto" w:fill="auto"/>
            <w:noWrap/>
            <w:vAlign w:val="center"/>
          </w:tcPr>
          <w:p>
            <w:pPr>
              <w:pStyle w:val="88"/>
            </w:pPr>
            <w:r>
              <w:rPr>
                <w:rFonts w:hint="eastAsia"/>
              </w:rPr>
              <w:t>字符(300)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JYFW</w:t>
            </w:r>
          </w:p>
        </w:tc>
        <w:tc>
          <w:tcPr>
            <w:tcW w:w="1954" w:type="pct"/>
            <w:shd w:val="clear" w:color="auto" w:fill="auto"/>
            <w:noWrap/>
            <w:vAlign w:val="center"/>
          </w:tcPr>
          <w:p>
            <w:pPr>
              <w:pStyle w:val="88"/>
            </w:pPr>
            <w:r>
              <w:rPr>
                <w:rFonts w:hint="eastAsia"/>
              </w:rPr>
              <w:t>经营范围</w:t>
            </w:r>
          </w:p>
        </w:tc>
        <w:tc>
          <w:tcPr>
            <w:tcW w:w="936" w:type="pct"/>
            <w:shd w:val="clear" w:color="auto" w:fill="auto"/>
            <w:noWrap/>
            <w:vAlign w:val="center"/>
          </w:tcPr>
          <w:p>
            <w:pPr>
              <w:pStyle w:val="88"/>
            </w:pPr>
            <w:r>
              <w:rPr>
                <w:rFonts w:hint="eastAsia"/>
              </w:rPr>
              <w:t>JYFW</w:t>
            </w:r>
          </w:p>
        </w:tc>
        <w:tc>
          <w:tcPr>
            <w:tcW w:w="1141" w:type="pct"/>
            <w:shd w:val="clear" w:color="auto" w:fill="auto"/>
            <w:noWrap/>
            <w:vAlign w:val="center"/>
          </w:tcPr>
          <w:p>
            <w:pPr>
              <w:pStyle w:val="88"/>
            </w:pPr>
            <w:r>
              <w:rPr>
                <w:rFonts w:hint="eastAsia"/>
              </w:rPr>
              <w:t>字符(4000)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LXDH</w:t>
            </w:r>
          </w:p>
        </w:tc>
        <w:tc>
          <w:tcPr>
            <w:tcW w:w="1954" w:type="pct"/>
            <w:shd w:val="clear" w:color="auto" w:fill="auto"/>
            <w:noWrap/>
            <w:vAlign w:val="center"/>
          </w:tcPr>
          <w:p>
            <w:pPr>
              <w:pStyle w:val="88"/>
            </w:pPr>
            <w:r>
              <w:rPr>
                <w:rFonts w:hint="eastAsia"/>
              </w:rPr>
              <w:t>联系电话</w:t>
            </w:r>
          </w:p>
        </w:tc>
        <w:tc>
          <w:tcPr>
            <w:tcW w:w="936" w:type="pct"/>
            <w:shd w:val="clear" w:color="auto" w:fill="auto"/>
            <w:noWrap/>
            <w:vAlign w:val="center"/>
          </w:tcPr>
          <w:p>
            <w:pPr>
              <w:pStyle w:val="88"/>
            </w:pPr>
            <w:r>
              <w:rPr>
                <w:rFonts w:hint="eastAsia"/>
              </w:rPr>
              <w:t>LXDH</w:t>
            </w:r>
          </w:p>
        </w:tc>
        <w:tc>
          <w:tcPr>
            <w:tcW w:w="1141" w:type="pct"/>
            <w:shd w:val="clear" w:color="auto" w:fill="auto"/>
            <w:noWrap/>
            <w:vAlign w:val="center"/>
          </w:tcPr>
          <w:p>
            <w:pPr>
              <w:pStyle w:val="88"/>
            </w:pPr>
            <w:r>
              <w:rPr>
                <w:rFonts w:hint="eastAsia"/>
              </w:rPr>
              <w:t>字符(80)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QYSX</w:t>
            </w:r>
          </w:p>
        </w:tc>
        <w:tc>
          <w:tcPr>
            <w:tcW w:w="1954" w:type="pct"/>
            <w:shd w:val="clear" w:color="auto" w:fill="auto"/>
            <w:noWrap/>
            <w:vAlign w:val="center"/>
          </w:tcPr>
          <w:p>
            <w:pPr>
              <w:pStyle w:val="88"/>
            </w:pPr>
            <w:r>
              <w:rPr>
                <w:rFonts w:hint="eastAsia"/>
              </w:rPr>
              <w:t>企业属性</w:t>
            </w:r>
          </w:p>
        </w:tc>
        <w:tc>
          <w:tcPr>
            <w:tcW w:w="936" w:type="pct"/>
            <w:shd w:val="clear" w:color="auto" w:fill="auto"/>
            <w:noWrap/>
            <w:vAlign w:val="center"/>
          </w:tcPr>
          <w:p>
            <w:pPr>
              <w:pStyle w:val="88"/>
            </w:pPr>
            <w:r>
              <w:rPr>
                <w:rFonts w:hint="eastAsia"/>
              </w:rPr>
              <w:t>QYSX</w:t>
            </w:r>
          </w:p>
        </w:tc>
        <w:tc>
          <w:tcPr>
            <w:tcW w:w="1141" w:type="pct"/>
            <w:shd w:val="clear" w:color="auto" w:fill="auto"/>
            <w:noWrap/>
            <w:vAlign w:val="center"/>
          </w:tcPr>
          <w:p>
            <w:pPr>
              <w:pStyle w:val="88"/>
            </w:pPr>
            <w:r>
              <w:rPr>
                <w:rFonts w:hint="eastAsia"/>
              </w:rPr>
              <w:t>字符(255)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TZRS</w:t>
            </w:r>
          </w:p>
        </w:tc>
        <w:tc>
          <w:tcPr>
            <w:tcW w:w="1954" w:type="pct"/>
            <w:shd w:val="clear" w:color="auto" w:fill="auto"/>
            <w:noWrap/>
            <w:vAlign w:val="center"/>
          </w:tcPr>
          <w:p>
            <w:pPr>
              <w:pStyle w:val="88"/>
            </w:pPr>
            <w:r>
              <w:rPr>
                <w:rFonts w:hint="eastAsia"/>
              </w:rPr>
              <w:t>投资人数</w:t>
            </w:r>
          </w:p>
        </w:tc>
        <w:tc>
          <w:tcPr>
            <w:tcW w:w="936" w:type="pct"/>
            <w:shd w:val="clear" w:color="auto" w:fill="auto"/>
            <w:noWrap/>
            <w:vAlign w:val="center"/>
          </w:tcPr>
          <w:p>
            <w:pPr>
              <w:pStyle w:val="88"/>
            </w:pPr>
            <w:r>
              <w:rPr>
                <w:rFonts w:hint="eastAsia"/>
              </w:rPr>
              <w:t>TZRS</w:t>
            </w:r>
          </w:p>
        </w:tc>
        <w:tc>
          <w:tcPr>
            <w:tcW w:w="1141" w:type="pct"/>
            <w:shd w:val="clear" w:color="auto" w:fill="auto"/>
            <w:noWrap/>
            <w:vAlign w:val="center"/>
          </w:tcPr>
          <w:p>
            <w:pPr>
              <w:pStyle w:val="88"/>
            </w:pPr>
            <w:r>
              <w:rPr>
                <w:rFonts w:hint="eastAsia"/>
              </w:rPr>
              <w:t>浮点(19,0)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XZQH</w:t>
            </w:r>
          </w:p>
        </w:tc>
        <w:tc>
          <w:tcPr>
            <w:tcW w:w="1954" w:type="pct"/>
            <w:shd w:val="clear" w:color="auto" w:fill="auto"/>
            <w:noWrap/>
            <w:vAlign w:val="center"/>
          </w:tcPr>
          <w:p>
            <w:pPr>
              <w:pStyle w:val="88"/>
            </w:pPr>
            <w:r>
              <w:rPr>
                <w:rFonts w:hint="eastAsia"/>
              </w:rPr>
              <w:t>行政区划</w:t>
            </w:r>
          </w:p>
        </w:tc>
        <w:tc>
          <w:tcPr>
            <w:tcW w:w="936" w:type="pct"/>
            <w:shd w:val="clear" w:color="auto" w:fill="auto"/>
            <w:noWrap/>
            <w:vAlign w:val="center"/>
          </w:tcPr>
          <w:p>
            <w:pPr>
              <w:pStyle w:val="88"/>
            </w:pPr>
            <w:r>
              <w:rPr>
                <w:rFonts w:hint="eastAsia"/>
              </w:rPr>
              <w:t>XZQH</w:t>
            </w:r>
          </w:p>
        </w:tc>
        <w:tc>
          <w:tcPr>
            <w:tcW w:w="1141" w:type="pct"/>
            <w:shd w:val="clear" w:color="auto" w:fill="auto"/>
            <w:noWrap/>
            <w:vAlign w:val="center"/>
          </w:tcPr>
          <w:p>
            <w:pPr>
              <w:pStyle w:val="88"/>
            </w:pPr>
            <w:r>
              <w:rPr>
                <w:rFonts w:hint="eastAsia"/>
              </w:rPr>
              <w:t>字符(100)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HHFS</w:t>
            </w:r>
          </w:p>
        </w:tc>
        <w:tc>
          <w:tcPr>
            <w:tcW w:w="1954" w:type="pct"/>
            <w:shd w:val="clear" w:color="auto" w:fill="auto"/>
            <w:noWrap/>
            <w:vAlign w:val="center"/>
          </w:tcPr>
          <w:p>
            <w:pPr>
              <w:pStyle w:val="88"/>
            </w:pPr>
            <w:r>
              <w:rPr>
                <w:rFonts w:hint="eastAsia"/>
              </w:rPr>
              <w:t>合伙方式</w:t>
            </w:r>
          </w:p>
        </w:tc>
        <w:tc>
          <w:tcPr>
            <w:tcW w:w="936" w:type="pct"/>
            <w:shd w:val="clear" w:color="auto" w:fill="auto"/>
            <w:noWrap/>
            <w:vAlign w:val="center"/>
          </w:tcPr>
          <w:p>
            <w:pPr>
              <w:pStyle w:val="88"/>
            </w:pPr>
            <w:r>
              <w:rPr>
                <w:rFonts w:hint="eastAsia"/>
              </w:rPr>
              <w:t>HHFS</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KGFS</w:t>
            </w:r>
          </w:p>
        </w:tc>
        <w:tc>
          <w:tcPr>
            <w:tcW w:w="1954" w:type="pct"/>
            <w:shd w:val="clear" w:color="auto" w:fill="auto"/>
            <w:noWrap/>
            <w:vAlign w:val="center"/>
          </w:tcPr>
          <w:p>
            <w:pPr>
              <w:pStyle w:val="88"/>
            </w:pPr>
            <w:r>
              <w:rPr>
                <w:rFonts w:hint="eastAsia"/>
              </w:rPr>
              <w:t>控股方式</w:t>
            </w:r>
          </w:p>
        </w:tc>
        <w:tc>
          <w:tcPr>
            <w:tcW w:w="936" w:type="pct"/>
            <w:shd w:val="clear" w:color="auto" w:fill="auto"/>
            <w:noWrap/>
            <w:vAlign w:val="center"/>
          </w:tcPr>
          <w:p>
            <w:pPr>
              <w:pStyle w:val="88"/>
            </w:pPr>
            <w:r>
              <w:rPr>
                <w:rFonts w:hint="eastAsia"/>
              </w:rPr>
              <w:t>KGFS</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ZRDHY</w:t>
            </w:r>
          </w:p>
        </w:tc>
        <w:tc>
          <w:tcPr>
            <w:tcW w:w="1954" w:type="pct"/>
            <w:shd w:val="clear" w:color="auto" w:fill="auto"/>
            <w:noWrap/>
            <w:vAlign w:val="center"/>
          </w:tcPr>
          <w:p>
            <w:pPr>
              <w:pStyle w:val="88"/>
            </w:pPr>
            <w:r>
              <w:rPr>
                <w:rFonts w:hint="eastAsia"/>
              </w:rPr>
              <w:t>重热点行业</w:t>
            </w:r>
          </w:p>
        </w:tc>
        <w:tc>
          <w:tcPr>
            <w:tcW w:w="936" w:type="pct"/>
            <w:shd w:val="clear" w:color="auto" w:fill="auto"/>
            <w:noWrap/>
            <w:vAlign w:val="center"/>
          </w:tcPr>
          <w:p>
            <w:pPr>
              <w:pStyle w:val="88"/>
            </w:pPr>
            <w:r>
              <w:rPr>
                <w:rFonts w:hint="eastAsia"/>
              </w:rPr>
              <w:t>ZRDHY</w:t>
            </w:r>
          </w:p>
        </w:tc>
        <w:tc>
          <w:tcPr>
            <w:tcW w:w="1141" w:type="pct"/>
            <w:shd w:val="clear" w:color="auto" w:fill="auto"/>
            <w:noWrap/>
            <w:vAlign w:val="center"/>
          </w:tcPr>
          <w:p>
            <w:pPr>
              <w:pStyle w:val="88"/>
            </w:pPr>
            <w:r>
              <w:rPr>
                <w:rFonts w:hint="eastAsia"/>
              </w:rPr>
              <w:t>字符(300)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COMPFORM</w:t>
            </w:r>
          </w:p>
        </w:tc>
        <w:tc>
          <w:tcPr>
            <w:tcW w:w="1954" w:type="pct"/>
            <w:shd w:val="clear" w:color="auto" w:fill="auto"/>
            <w:noWrap/>
            <w:vAlign w:val="center"/>
          </w:tcPr>
          <w:p>
            <w:pPr>
              <w:pStyle w:val="88"/>
            </w:pPr>
            <w:r>
              <w:rPr>
                <w:rFonts w:hint="eastAsia"/>
              </w:rPr>
              <w:t>组成形式</w:t>
            </w:r>
          </w:p>
        </w:tc>
        <w:tc>
          <w:tcPr>
            <w:tcW w:w="936" w:type="pct"/>
            <w:shd w:val="clear" w:color="auto" w:fill="auto"/>
            <w:noWrap/>
            <w:vAlign w:val="center"/>
          </w:tcPr>
          <w:p>
            <w:pPr>
              <w:pStyle w:val="88"/>
            </w:pPr>
            <w:r>
              <w:rPr>
                <w:rFonts w:hint="eastAsia"/>
              </w:rPr>
              <w:t>COMPFORM</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TOWNSIGN</w:t>
            </w:r>
          </w:p>
        </w:tc>
        <w:tc>
          <w:tcPr>
            <w:tcW w:w="1954" w:type="pct"/>
            <w:shd w:val="clear" w:color="auto" w:fill="auto"/>
            <w:noWrap/>
            <w:vAlign w:val="center"/>
          </w:tcPr>
          <w:p>
            <w:pPr>
              <w:pStyle w:val="88"/>
            </w:pPr>
            <w:r>
              <w:rPr>
                <w:rFonts w:hint="eastAsia"/>
              </w:rPr>
              <w:t>是否城镇</w:t>
            </w:r>
          </w:p>
        </w:tc>
        <w:tc>
          <w:tcPr>
            <w:tcW w:w="936" w:type="pct"/>
            <w:shd w:val="clear" w:color="auto" w:fill="auto"/>
            <w:noWrap/>
            <w:vAlign w:val="center"/>
          </w:tcPr>
          <w:p>
            <w:pPr>
              <w:pStyle w:val="88"/>
            </w:pPr>
            <w:r>
              <w:rPr>
                <w:rFonts w:hint="eastAsia"/>
              </w:rPr>
              <w:t>TOWNSIGN</w:t>
            </w:r>
          </w:p>
        </w:tc>
        <w:tc>
          <w:tcPr>
            <w:tcW w:w="1141" w:type="pct"/>
            <w:shd w:val="clear" w:color="auto" w:fill="auto"/>
            <w:noWrap/>
            <w:vAlign w:val="center"/>
          </w:tcPr>
          <w:p>
            <w:pPr>
              <w:pStyle w:val="88"/>
            </w:pPr>
            <w:r>
              <w:rPr>
                <w:rFonts w:hint="eastAsia"/>
              </w:rPr>
              <w:t>浮点(10,0)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SFJYYC</w:t>
            </w:r>
          </w:p>
        </w:tc>
        <w:tc>
          <w:tcPr>
            <w:tcW w:w="1954" w:type="pct"/>
            <w:shd w:val="clear" w:color="auto" w:fill="auto"/>
            <w:noWrap/>
            <w:vAlign w:val="center"/>
          </w:tcPr>
          <w:p>
            <w:pPr>
              <w:pStyle w:val="88"/>
            </w:pPr>
            <w:r>
              <w:rPr>
                <w:rFonts w:hint="eastAsia"/>
              </w:rPr>
              <w:t>是否经营异常</w:t>
            </w:r>
          </w:p>
        </w:tc>
        <w:tc>
          <w:tcPr>
            <w:tcW w:w="936" w:type="pct"/>
            <w:shd w:val="clear" w:color="auto" w:fill="auto"/>
            <w:noWrap/>
            <w:vAlign w:val="center"/>
          </w:tcPr>
          <w:p>
            <w:pPr>
              <w:pStyle w:val="88"/>
            </w:pPr>
            <w:r>
              <w:rPr>
                <w:rFonts w:hint="eastAsia"/>
              </w:rPr>
              <w:t>SFJYYC</w:t>
            </w:r>
          </w:p>
        </w:tc>
        <w:tc>
          <w:tcPr>
            <w:tcW w:w="1141" w:type="pct"/>
            <w:shd w:val="clear" w:color="auto" w:fill="auto"/>
            <w:noWrap/>
            <w:vAlign w:val="center"/>
          </w:tcPr>
          <w:p>
            <w:pPr>
              <w:pStyle w:val="88"/>
            </w:pPr>
            <w:r>
              <w:rPr>
                <w:rFonts w:hint="eastAsia"/>
              </w:rPr>
              <w:t>字符(30)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YXQQ</w:t>
            </w:r>
          </w:p>
        </w:tc>
        <w:tc>
          <w:tcPr>
            <w:tcW w:w="1954" w:type="pct"/>
            <w:shd w:val="clear" w:color="auto" w:fill="auto"/>
            <w:noWrap/>
            <w:vAlign w:val="center"/>
          </w:tcPr>
          <w:p>
            <w:pPr>
              <w:pStyle w:val="88"/>
            </w:pPr>
            <w:r>
              <w:rPr>
                <w:rFonts w:hint="eastAsia"/>
              </w:rPr>
              <w:t>有效期起</w:t>
            </w:r>
          </w:p>
        </w:tc>
        <w:tc>
          <w:tcPr>
            <w:tcW w:w="936" w:type="pct"/>
            <w:shd w:val="clear" w:color="auto" w:fill="auto"/>
            <w:noWrap/>
            <w:vAlign w:val="center"/>
          </w:tcPr>
          <w:p>
            <w:pPr>
              <w:pStyle w:val="88"/>
            </w:pPr>
            <w:r>
              <w:rPr>
                <w:rFonts w:hint="eastAsia"/>
              </w:rPr>
              <w:t>YXQQ</w:t>
            </w:r>
          </w:p>
        </w:tc>
        <w:tc>
          <w:tcPr>
            <w:tcW w:w="1141" w:type="pct"/>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YXQZ</w:t>
            </w:r>
          </w:p>
        </w:tc>
        <w:tc>
          <w:tcPr>
            <w:tcW w:w="1954" w:type="pct"/>
            <w:shd w:val="clear" w:color="auto" w:fill="auto"/>
            <w:noWrap/>
            <w:vAlign w:val="center"/>
          </w:tcPr>
          <w:p>
            <w:pPr>
              <w:pStyle w:val="88"/>
            </w:pPr>
            <w:r>
              <w:rPr>
                <w:rFonts w:hint="eastAsia"/>
              </w:rPr>
              <w:t>有效期止</w:t>
            </w:r>
          </w:p>
        </w:tc>
        <w:tc>
          <w:tcPr>
            <w:tcW w:w="936" w:type="pct"/>
            <w:shd w:val="clear" w:color="auto" w:fill="auto"/>
            <w:noWrap/>
            <w:vAlign w:val="center"/>
          </w:tcPr>
          <w:p>
            <w:pPr>
              <w:pStyle w:val="88"/>
            </w:pPr>
            <w:r>
              <w:rPr>
                <w:rFonts w:hint="eastAsia"/>
              </w:rPr>
              <w:t>YXQZ</w:t>
            </w:r>
          </w:p>
        </w:tc>
        <w:tc>
          <w:tcPr>
            <w:tcW w:w="1141" w:type="pct"/>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970" w:type="pct"/>
            <w:shd w:val="clear" w:color="auto" w:fill="auto"/>
            <w:noWrap/>
            <w:vAlign w:val="center"/>
          </w:tcPr>
          <w:p>
            <w:pPr>
              <w:pStyle w:val="88"/>
            </w:pPr>
            <w:r>
              <w:rPr>
                <w:rFonts w:hint="eastAsia"/>
              </w:rPr>
              <w:t>PRIPID</w:t>
            </w:r>
          </w:p>
        </w:tc>
        <w:tc>
          <w:tcPr>
            <w:tcW w:w="1954" w:type="pct"/>
            <w:shd w:val="clear" w:color="auto" w:fill="auto"/>
            <w:noWrap/>
            <w:vAlign w:val="center"/>
          </w:tcPr>
          <w:p>
            <w:pPr>
              <w:pStyle w:val="88"/>
            </w:pPr>
            <w:r>
              <w:rPr>
                <w:rFonts w:hint="eastAsia"/>
              </w:rPr>
              <w:t>扩展表主体id</w:t>
            </w:r>
          </w:p>
        </w:tc>
        <w:tc>
          <w:tcPr>
            <w:tcW w:w="936" w:type="pct"/>
            <w:shd w:val="clear" w:color="auto" w:fill="auto"/>
            <w:noWrap/>
            <w:vAlign w:val="center"/>
          </w:tcPr>
          <w:p>
            <w:pPr>
              <w:pStyle w:val="88"/>
            </w:pPr>
            <w:r>
              <w:rPr>
                <w:rFonts w:hint="eastAsia"/>
              </w:rPr>
              <w:t>PRIPID</w:t>
            </w:r>
          </w:p>
        </w:tc>
        <w:tc>
          <w:tcPr>
            <w:tcW w:w="1141" w:type="pct"/>
            <w:shd w:val="clear" w:color="auto" w:fill="auto"/>
            <w:noWrap/>
            <w:vAlign w:val="center"/>
          </w:tcPr>
          <w:p>
            <w:pPr>
              <w:pStyle w:val="88"/>
            </w:pPr>
            <w:r>
              <w:rPr>
                <w:rFonts w:hint="eastAsia"/>
              </w:rPr>
              <w:t>字符(80)</w:t>
            </w:r>
          </w:p>
        </w:tc>
      </w:tr>
    </w:tbl>
    <w:p>
      <w:pPr>
        <w:pStyle w:val="6"/>
      </w:pPr>
      <w:r>
        <w:rPr>
          <w:rFonts w:hint="eastAsia"/>
        </w:rPr>
        <w:t>风险监管主题库</w:t>
      </w:r>
    </w:p>
    <w:p>
      <w:pPr>
        <w:pStyle w:val="7"/>
      </w:pPr>
      <w:r>
        <w:rPr>
          <w:rFonts w:hint="eastAsia"/>
        </w:rPr>
        <w:t>面向主题</w:t>
      </w:r>
    </w:p>
    <w:p>
      <w:r>
        <w:rPr>
          <w:rFonts w:hint="eastAsia"/>
        </w:rPr>
        <w:t>面向主题：对企业可能存在的违法违规风险进行评价，建立风险管理机制，有效、有针对地对企业风险采取防范措施，需要整合企业全景信息，梳理违法违规特征，如非法集资特征，构建企业风险评价模型，对每个企业未来一年内违法违规进行评分、分析、预测,加强企业事中事后监管。</w:t>
      </w:r>
    </w:p>
    <w:p>
      <w:pPr>
        <w:pStyle w:val="7"/>
      </w:pPr>
      <w:r>
        <w:rPr>
          <w:rFonts w:hint="eastAsia"/>
        </w:rPr>
        <w:t>数据源表</w:t>
      </w:r>
    </w:p>
    <w:p>
      <w:r>
        <w:rPr>
          <w:rFonts w:hint="eastAsia"/>
        </w:rPr>
        <w:t>数据源表：</w:t>
      </w:r>
    </w:p>
    <w:p>
      <w:r>
        <w:rPr>
          <w:rFonts w:hint="eastAsia"/>
        </w:rPr>
        <w:t>（1）</w:t>
      </w:r>
      <w:r>
        <w:rPr>
          <w:rFonts w:hint="eastAsia"/>
        </w:rPr>
        <w:tab/>
      </w:r>
      <w:r>
        <w:rPr>
          <w:rFonts w:hint="eastAsia"/>
        </w:rPr>
        <w:t>市场监管内部信息</w:t>
      </w:r>
    </w:p>
    <w:p>
      <w:r>
        <w:rPr>
          <w:rFonts w:hint="eastAsia"/>
        </w:rPr>
        <w:t>登记信息表、注吊销表、公司年报信息、非公司企业法人及合伙等年报信息、分支机构及从事生产经营企业年报信息、个体年报信息、农民专业合作社年报信息表、企业变更信息表、许可信息表、自然投资人详细信息表、企业投资信息表、主要人员信息表、行政处罚信息、12315投诉举报信息、相关维度码表。</w:t>
      </w:r>
    </w:p>
    <w:p>
      <w:r>
        <w:rPr>
          <w:rFonts w:hint="eastAsia"/>
        </w:rPr>
        <w:t>（2）</w:t>
      </w:r>
      <w:r>
        <w:rPr>
          <w:rFonts w:hint="eastAsia"/>
        </w:rPr>
        <w:tab/>
      </w:r>
      <w:r>
        <w:rPr>
          <w:rFonts w:hint="eastAsia"/>
        </w:rPr>
        <w:t>各省直、中直部门信息</w:t>
      </w:r>
    </w:p>
    <w:p>
      <w:r>
        <w:rPr>
          <w:rFonts w:hint="eastAsia"/>
        </w:rPr>
        <w:t>各省直、中直部门通过“一张网”数据交换来的企业优良信誉信息、企业不良行为信息、企业警示信息。</w:t>
      </w:r>
    </w:p>
    <w:p>
      <w:pPr>
        <w:pStyle w:val="7"/>
      </w:pPr>
      <w:r>
        <w:rPr>
          <w:rFonts w:hint="eastAsia"/>
        </w:rPr>
        <w:t>维度</w:t>
      </w:r>
    </w:p>
    <w:p>
      <w:r>
        <w:rPr>
          <w:rFonts w:hint="eastAsia"/>
        </w:rPr>
        <w:t>维度：时间、风险等级、投资类型、股东类别、主体类型、所有制、区域、行业、资金规模、登记机关、管辖地、企业年龄。</w:t>
      </w:r>
    </w:p>
    <w:p>
      <w:pPr>
        <w:pStyle w:val="7"/>
      </w:pPr>
      <w:r>
        <w:rPr>
          <w:rFonts w:hint="eastAsia"/>
        </w:rPr>
        <w:t>度量值</w:t>
      </w:r>
    </w:p>
    <w:p>
      <w:r>
        <w:rPr>
          <w:rFonts w:hint="eastAsia"/>
        </w:rPr>
        <w:t>度量值：户数、注册资本、出资额、出资比例、股东数、个人股东数、法人股东数、被投企业户数。</w:t>
      </w:r>
    </w:p>
    <w:p>
      <w:pPr>
        <w:pStyle w:val="7"/>
      </w:pPr>
      <w:r>
        <w:rPr>
          <w:rFonts w:hint="eastAsia"/>
        </w:rPr>
        <w:t>数据来源</w:t>
      </w:r>
    </w:p>
    <w:p>
      <w:r>
        <w:rPr>
          <w:rFonts w:hint="eastAsia"/>
        </w:rPr>
        <w:t>数据来源：省市场监管局、政务信息共享交换平台。</w:t>
      </w:r>
    </w:p>
    <w:tbl>
      <w:tblPr>
        <w:tblStyle w:val="30"/>
        <w:tblW w:w="458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0"/>
        <w:gridCol w:w="2307"/>
        <w:gridCol w:w="1731"/>
        <w:gridCol w:w="2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4" w:type="pct"/>
            <w:shd w:val="clear" w:color="auto" w:fill="auto"/>
            <w:noWrap/>
            <w:vAlign w:val="center"/>
          </w:tcPr>
          <w:p>
            <w:pPr>
              <w:pStyle w:val="88"/>
            </w:pPr>
            <w:r>
              <w:rPr>
                <w:rFonts w:hint="eastAsia"/>
              </w:rPr>
              <w:t>名称</w:t>
            </w:r>
          </w:p>
        </w:tc>
        <w:tc>
          <w:tcPr>
            <w:tcW w:w="1350" w:type="pct"/>
            <w:shd w:val="clear" w:color="auto" w:fill="auto"/>
            <w:noWrap/>
            <w:vAlign w:val="center"/>
          </w:tcPr>
          <w:p>
            <w:pPr>
              <w:pStyle w:val="88"/>
            </w:pPr>
            <w:r>
              <w:rPr>
                <w:rFonts w:hint="eastAsia"/>
              </w:rPr>
              <w:t>标题</w:t>
            </w:r>
          </w:p>
        </w:tc>
        <w:tc>
          <w:tcPr>
            <w:tcW w:w="1013" w:type="pct"/>
            <w:shd w:val="clear" w:color="auto" w:fill="auto"/>
            <w:noWrap/>
            <w:vAlign w:val="center"/>
          </w:tcPr>
          <w:p>
            <w:pPr>
              <w:pStyle w:val="88"/>
            </w:pPr>
            <w:r>
              <w:rPr>
                <w:rFonts w:hint="eastAsia"/>
              </w:rPr>
              <w:t>表达式/字段</w:t>
            </w:r>
          </w:p>
        </w:tc>
        <w:tc>
          <w:tcPr>
            <w:tcW w:w="1273" w:type="pct"/>
            <w:shd w:val="clear" w:color="auto" w:fill="auto"/>
            <w:noWrap/>
            <w:vAlign w:val="center"/>
          </w:tcPr>
          <w:p>
            <w:pPr>
              <w:pStyle w:val="88"/>
            </w:pPr>
            <w:r>
              <w:rPr>
                <w:rFonts w:hint="eastAsia"/>
              </w:rPr>
              <w:t>类型(长度,小数)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4" w:type="pct"/>
            <w:shd w:val="clear" w:color="auto" w:fill="auto"/>
            <w:noWrap/>
            <w:vAlign w:val="center"/>
          </w:tcPr>
          <w:p>
            <w:pPr>
              <w:pStyle w:val="88"/>
            </w:pPr>
            <w:r>
              <w:rPr>
                <w:rFonts w:hint="eastAsia"/>
              </w:rPr>
              <w:t>ID</w:t>
            </w:r>
          </w:p>
        </w:tc>
        <w:tc>
          <w:tcPr>
            <w:tcW w:w="1350" w:type="pct"/>
            <w:shd w:val="clear" w:color="auto" w:fill="auto"/>
            <w:noWrap/>
            <w:vAlign w:val="center"/>
          </w:tcPr>
          <w:p>
            <w:pPr>
              <w:pStyle w:val="88"/>
            </w:pPr>
          </w:p>
        </w:tc>
        <w:tc>
          <w:tcPr>
            <w:tcW w:w="1013" w:type="pct"/>
            <w:shd w:val="clear" w:color="auto" w:fill="auto"/>
            <w:noWrap/>
            <w:vAlign w:val="center"/>
          </w:tcPr>
          <w:p>
            <w:pPr>
              <w:pStyle w:val="88"/>
            </w:pPr>
            <w:r>
              <w:rPr>
                <w:rFonts w:hint="eastAsia"/>
              </w:rPr>
              <w:t>ID</w:t>
            </w:r>
          </w:p>
        </w:tc>
        <w:tc>
          <w:tcPr>
            <w:tcW w:w="1273" w:type="pct"/>
            <w:shd w:val="clear" w:color="auto" w:fill="auto"/>
            <w:noWrap/>
            <w:vAlign w:val="center"/>
          </w:tcPr>
          <w:p>
            <w:pPr>
              <w:pStyle w:val="88"/>
            </w:pPr>
            <w:r>
              <w:rPr>
                <w:rFonts w:hint="eastAsia"/>
              </w:rPr>
              <w:t>字符(100)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4" w:type="pct"/>
            <w:shd w:val="clear" w:color="auto" w:fill="auto"/>
            <w:noWrap/>
            <w:vAlign w:val="center"/>
          </w:tcPr>
          <w:p>
            <w:pPr>
              <w:pStyle w:val="88"/>
            </w:pPr>
            <w:r>
              <w:rPr>
                <w:rFonts w:hint="eastAsia"/>
              </w:rPr>
              <w:t>PRIPID</w:t>
            </w:r>
          </w:p>
        </w:tc>
        <w:tc>
          <w:tcPr>
            <w:tcW w:w="1350" w:type="pct"/>
            <w:shd w:val="clear" w:color="auto" w:fill="auto"/>
            <w:noWrap/>
            <w:vAlign w:val="center"/>
          </w:tcPr>
          <w:p>
            <w:pPr>
              <w:pStyle w:val="88"/>
            </w:pPr>
            <w:r>
              <w:rPr>
                <w:rFonts w:hint="eastAsia"/>
              </w:rPr>
              <w:t>主体ID</w:t>
            </w:r>
          </w:p>
        </w:tc>
        <w:tc>
          <w:tcPr>
            <w:tcW w:w="1013" w:type="pct"/>
            <w:shd w:val="clear" w:color="auto" w:fill="auto"/>
            <w:noWrap/>
            <w:vAlign w:val="center"/>
          </w:tcPr>
          <w:p>
            <w:pPr>
              <w:pStyle w:val="88"/>
            </w:pPr>
            <w:r>
              <w:rPr>
                <w:rFonts w:hint="eastAsia"/>
              </w:rPr>
              <w:t>PRIPID</w:t>
            </w:r>
          </w:p>
        </w:tc>
        <w:tc>
          <w:tcPr>
            <w:tcW w:w="1273" w:type="pct"/>
            <w:shd w:val="clear" w:color="auto" w:fill="auto"/>
            <w:noWrap/>
            <w:vAlign w:val="center"/>
          </w:tcPr>
          <w:p>
            <w:pPr>
              <w:pStyle w:val="88"/>
            </w:pPr>
            <w:r>
              <w:rPr>
                <w:rFonts w:hint="eastAsia"/>
              </w:rPr>
              <w:t>字符(50)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4" w:type="pct"/>
            <w:shd w:val="clear" w:color="auto" w:fill="auto"/>
            <w:noWrap/>
            <w:vAlign w:val="center"/>
          </w:tcPr>
          <w:p>
            <w:pPr>
              <w:pStyle w:val="88"/>
            </w:pPr>
            <w:r>
              <w:rPr>
                <w:rFonts w:hint="eastAsia"/>
              </w:rPr>
              <w:t>ABNTIME</w:t>
            </w:r>
          </w:p>
        </w:tc>
        <w:tc>
          <w:tcPr>
            <w:tcW w:w="1350" w:type="pct"/>
            <w:shd w:val="clear" w:color="auto" w:fill="auto"/>
            <w:noWrap/>
            <w:vAlign w:val="center"/>
          </w:tcPr>
          <w:p>
            <w:pPr>
              <w:pStyle w:val="88"/>
            </w:pPr>
            <w:r>
              <w:rPr>
                <w:rFonts w:hint="eastAsia"/>
              </w:rPr>
              <w:t>列入时间</w:t>
            </w:r>
          </w:p>
        </w:tc>
        <w:tc>
          <w:tcPr>
            <w:tcW w:w="1013" w:type="pct"/>
            <w:shd w:val="clear" w:color="auto" w:fill="auto"/>
            <w:noWrap/>
            <w:vAlign w:val="center"/>
          </w:tcPr>
          <w:p>
            <w:pPr>
              <w:pStyle w:val="88"/>
            </w:pPr>
            <w:r>
              <w:rPr>
                <w:rFonts w:hint="eastAsia"/>
              </w:rPr>
              <w:t>ABNTIME</w:t>
            </w:r>
          </w:p>
        </w:tc>
        <w:tc>
          <w:tcPr>
            <w:tcW w:w="1273" w:type="pct"/>
            <w:shd w:val="clear" w:color="auto" w:fill="auto"/>
            <w:noWrap/>
            <w:vAlign w:val="center"/>
          </w:tcPr>
          <w:p>
            <w:pPr>
              <w:pStyle w:val="88"/>
            </w:pPr>
            <w:r>
              <w:rPr>
                <w:rFonts w:hint="eastAsia"/>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4" w:type="pct"/>
            <w:shd w:val="clear" w:color="auto" w:fill="auto"/>
            <w:noWrap/>
            <w:vAlign w:val="center"/>
          </w:tcPr>
          <w:p>
            <w:pPr>
              <w:pStyle w:val="88"/>
            </w:pPr>
            <w:r>
              <w:rPr>
                <w:rFonts w:hint="eastAsia"/>
              </w:rPr>
              <w:t>FXLX</w:t>
            </w:r>
          </w:p>
        </w:tc>
        <w:tc>
          <w:tcPr>
            <w:tcW w:w="1350" w:type="pct"/>
            <w:shd w:val="clear" w:color="auto" w:fill="auto"/>
            <w:noWrap/>
            <w:vAlign w:val="center"/>
          </w:tcPr>
          <w:p>
            <w:pPr>
              <w:pStyle w:val="88"/>
            </w:pPr>
            <w:r>
              <w:rPr>
                <w:rFonts w:hint="eastAsia"/>
              </w:rPr>
              <w:t>风险类型</w:t>
            </w:r>
          </w:p>
        </w:tc>
        <w:tc>
          <w:tcPr>
            <w:tcW w:w="1013" w:type="pct"/>
            <w:shd w:val="clear" w:color="auto" w:fill="auto"/>
            <w:noWrap/>
            <w:vAlign w:val="center"/>
          </w:tcPr>
          <w:p>
            <w:pPr>
              <w:pStyle w:val="88"/>
            </w:pPr>
            <w:r>
              <w:rPr>
                <w:rFonts w:hint="eastAsia"/>
              </w:rPr>
              <w:t>FXLX</w:t>
            </w:r>
          </w:p>
        </w:tc>
        <w:tc>
          <w:tcPr>
            <w:tcW w:w="1273" w:type="pct"/>
            <w:shd w:val="clear" w:color="auto" w:fill="auto"/>
            <w:noWrap/>
            <w:vAlign w:val="center"/>
          </w:tcPr>
          <w:p>
            <w:pPr>
              <w:pStyle w:val="88"/>
            </w:pPr>
            <w:r>
              <w:rPr>
                <w:rFonts w:hint="eastAsia"/>
              </w:rPr>
              <w:t>字符(10)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364" w:type="pct"/>
            <w:shd w:val="clear" w:color="auto" w:fill="auto"/>
            <w:noWrap/>
            <w:vAlign w:val="center"/>
          </w:tcPr>
          <w:p>
            <w:pPr>
              <w:pStyle w:val="88"/>
            </w:pPr>
            <w:r>
              <w:rPr>
                <w:rFonts w:hint="eastAsia"/>
              </w:rPr>
              <w:t>FXDJ</w:t>
            </w:r>
          </w:p>
        </w:tc>
        <w:tc>
          <w:tcPr>
            <w:tcW w:w="1350" w:type="pct"/>
            <w:shd w:val="clear" w:color="auto" w:fill="auto"/>
            <w:noWrap/>
            <w:vAlign w:val="center"/>
          </w:tcPr>
          <w:p>
            <w:pPr>
              <w:pStyle w:val="88"/>
            </w:pPr>
            <w:r>
              <w:rPr>
                <w:rFonts w:hint="eastAsia"/>
              </w:rPr>
              <w:t>风险等级</w:t>
            </w:r>
          </w:p>
        </w:tc>
        <w:tc>
          <w:tcPr>
            <w:tcW w:w="1013" w:type="pct"/>
            <w:shd w:val="clear" w:color="auto" w:fill="auto"/>
            <w:noWrap/>
            <w:vAlign w:val="center"/>
          </w:tcPr>
          <w:p>
            <w:pPr>
              <w:pStyle w:val="88"/>
            </w:pPr>
            <w:r>
              <w:rPr>
                <w:rFonts w:hint="eastAsia"/>
              </w:rPr>
              <w:t>FXDJ</w:t>
            </w:r>
          </w:p>
        </w:tc>
        <w:tc>
          <w:tcPr>
            <w:tcW w:w="1273" w:type="pct"/>
            <w:shd w:val="clear" w:color="auto" w:fill="auto"/>
            <w:noWrap/>
            <w:vAlign w:val="center"/>
          </w:tcPr>
          <w:p>
            <w:pPr>
              <w:pStyle w:val="88"/>
            </w:pPr>
            <w:r>
              <w:rPr>
                <w:rFonts w:hint="eastAsia"/>
              </w:rPr>
              <w:t>字符(10)</w:t>
            </w:r>
          </w:p>
        </w:tc>
      </w:tr>
    </w:tbl>
    <w:p>
      <w:pPr>
        <w:pStyle w:val="6"/>
      </w:pPr>
      <w:r>
        <w:rPr>
          <w:rFonts w:hint="eastAsia"/>
        </w:rPr>
        <w:t>类金融企业主题库</w:t>
      </w:r>
    </w:p>
    <w:p>
      <w:pPr>
        <w:pStyle w:val="7"/>
      </w:pPr>
      <w:r>
        <w:rPr>
          <w:rFonts w:hint="eastAsia"/>
        </w:rPr>
        <w:t>面向主题</w:t>
      </w:r>
    </w:p>
    <w:p>
      <w:r>
        <w:rPr>
          <w:rFonts w:hint="eastAsia"/>
        </w:rPr>
        <w:t>面向主题：根据类金融行业企业判断标准，将互联网金融、融资租赁、股权投资金和资产管理等类金融行业相关企业纳入模型库，作为重点监管对象。利用大数据及信息化技术采集、处理、分析市场监管、互联网及其他来源数据；同时结合协会与第三方网站信息，综合判断风险的产生，通过可视化的方式监测风险，形成动态化监管机制，建立类金融行业企业监测体系，帮助监管人员及时且最大限度地防范和化解风险，切实保护人民群众合法权益。</w:t>
      </w:r>
    </w:p>
    <w:p>
      <w:pPr>
        <w:pStyle w:val="7"/>
      </w:pPr>
      <w:r>
        <w:rPr>
          <w:rFonts w:hint="eastAsia"/>
        </w:rPr>
        <w:t>数据源表</w:t>
      </w:r>
    </w:p>
    <w:p>
      <w:r>
        <w:rPr>
          <w:rFonts w:hint="eastAsia"/>
        </w:rPr>
        <w:t>数据源表：主体基本信息汇总表、注销信息表、吊销信息表、外商投资企业资金信息、企业变更信息表、自然投资人详细信息表、企业投资信息表、主要人员信息表、经营异常名录表、企业年报信息相关表、抽查检查相关表、其他相关维度码表。</w:t>
      </w:r>
    </w:p>
    <w:p>
      <w:pPr>
        <w:pStyle w:val="7"/>
      </w:pPr>
      <w:r>
        <w:rPr>
          <w:rFonts w:hint="eastAsia"/>
        </w:rPr>
        <w:t>维度</w:t>
      </w:r>
    </w:p>
    <w:p>
      <w:r>
        <w:rPr>
          <w:rFonts w:hint="eastAsia"/>
        </w:rPr>
        <w:t>维度：时间、主体类型、所有制、区域、行业、企业状态、资金规模。</w:t>
      </w:r>
    </w:p>
    <w:p>
      <w:pPr>
        <w:pStyle w:val="7"/>
      </w:pPr>
      <w:r>
        <w:rPr>
          <w:rFonts w:hint="eastAsia"/>
        </w:rPr>
        <w:t>度量值</w:t>
      </w:r>
    </w:p>
    <w:p>
      <w:r>
        <w:rPr>
          <w:rFonts w:hint="eastAsia"/>
        </w:rPr>
        <w:t>度量值：户数、注册资本、出资额、出资比例、股东数、个人股东数、法人股东数、被投企业户数。</w:t>
      </w:r>
    </w:p>
    <w:p>
      <w:pPr>
        <w:pStyle w:val="7"/>
      </w:pPr>
      <w:r>
        <w:rPr>
          <w:rFonts w:hint="eastAsia"/>
        </w:rPr>
        <w:t>数据来源</w:t>
      </w:r>
    </w:p>
    <w:p>
      <w:r>
        <w:rPr>
          <w:rFonts w:hint="eastAsia"/>
        </w:rPr>
        <w:t>数据来源：省市场监管局、政务信息共享交换平台、行业协会、互联网。</w:t>
      </w:r>
    </w:p>
    <w:p>
      <w:pPr>
        <w:pStyle w:val="6"/>
      </w:pPr>
      <w:r>
        <w:rPr>
          <w:rFonts w:hint="eastAsia"/>
        </w:rPr>
        <w:t>纳税异常主题库</w:t>
      </w:r>
    </w:p>
    <w:p>
      <w:pPr>
        <w:pStyle w:val="7"/>
      </w:pPr>
      <w:r>
        <w:rPr>
          <w:rFonts w:hint="eastAsia"/>
        </w:rPr>
        <w:t>面向主题</w:t>
      </w:r>
    </w:p>
    <w:p>
      <w:r>
        <w:rPr>
          <w:rFonts w:hint="eastAsia"/>
        </w:rPr>
        <w:t>面向主题：主题库纳入企业税收相关数据，通过对企业自主公示数据进行分析，采用离群值检验、聚类等算法，建立异常数据挖掘模型，自动公示纳税数据存在异常的企业，辅助监管人员对纳税公示数据弄虚作假行为的监督检查，提高市场监管企业年报数据的准确性及可利用性。</w:t>
      </w:r>
    </w:p>
    <w:p>
      <w:pPr>
        <w:pStyle w:val="7"/>
      </w:pPr>
      <w:r>
        <w:rPr>
          <w:rFonts w:hint="eastAsia"/>
        </w:rPr>
        <w:t>数据源表</w:t>
      </w:r>
    </w:p>
    <w:p>
      <w:r>
        <w:rPr>
          <w:rFonts w:hint="eastAsia"/>
        </w:rPr>
        <w:t>数据源表：主体基本信息汇总表、注销信息表、吊销信息表、外商投资企业资金信息、企业变更信息表、自然投资人详细信息表、企业投资信息表、主要人员信息表、经营异常名录表、企业年报信息相关表、其他相关维度码表。</w:t>
      </w:r>
    </w:p>
    <w:p>
      <w:pPr>
        <w:pStyle w:val="7"/>
      </w:pPr>
      <w:r>
        <w:rPr>
          <w:rFonts w:hint="eastAsia"/>
        </w:rPr>
        <w:t>维度</w:t>
      </w:r>
    </w:p>
    <w:p>
      <w:r>
        <w:rPr>
          <w:rFonts w:hint="eastAsia"/>
        </w:rPr>
        <w:t>维度：时间、主体类型、所有制、区域、行业、企业状态、资金规模。</w:t>
      </w:r>
    </w:p>
    <w:p>
      <w:pPr>
        <w:pStyle w:val="7"/>
      </w:pPr>
      <w:r>
        <w:rPr>
          <w:rFonts w:hint="eastAsia"/>
        </w:rPr>
        <w:t>度量值</w:t>
      </w:r>
    </w:p>
    <w:p>
      <w:r>
        <w:rPr>
          <w:rFonts w:hint="eastAsia"/>
        </w:rPr>
        <w:t>度量值：纳税异常企业户数、纳税异常企业占比等。</w:t>
      </w:r>
    </w:p>
    <w:p>
      <w:pPr>
        <w:pStyle w:val="7"/>
      </w:pPr>
      <w:r>
        <w:rPr>
          <w:rFonts w:hint="eastAsia"/>
        </w:rPr>
        <w:t>数据来源</w:t>
      </w:r>
    </w:p>
    <w:p>
      <w:r>
        <w:rPr>
          <w:rFonts w:hint="eastAsia"/>
        </w:rPr>
        <w:t>数据来源：省市场监管局、区级其他政府部门。</w:t>
      </w:r>
    </w:p>
    <w:tbl>
      <w:tblPr>
        <w:tblStyle w:val="30"/>
        <w:tblW w:w="9493" w:type="dxa"/>
        <w:tblInd w:w="113" w:type="dxa"/>
        <w:tblLayout w:type="fixed"/>
        <w:tblCellMar>
          <w:top w:w="0" w:type="dxa"/>
          <w:left w:w="108" w:type="dxa"/>
          <w:bottom w:w="0" w:type="dxa"/>
          <w:right w:w="108" w:type="dxa"/>
        </w:tblCellMar>
      </w:tblPr>
      <w:tblGrid>
        <w:gridCol w:w="1765"/>
        <w:gridCol w:w="1349"/>
        <w:gridCol w:w="2013"/>
        <w:gridCol w:w="1956"/>
        <w:gridCol w:w="850"/>
        <w:gridCol w:w="1560"/>
      </w:tblGrid>
      <w:tr>
        <w:tblPrEx>
          <w:tblCellMar>
            <w:top w:w="0" w:type="dxa"/>
            <w:left w:w="108" w:type="dxa"/>
            <w:bottom w:w="0" w:type="dxa"/>
            <w:right w:w="108" w:type="dxa"/>
          </w:tblCellMar>
        </w:tblPrEx>
        <w:trPr>
          <w:trHeight w:val="300" w:hRule="atLeast"/>
        </w:trPr>
        <w:tc>
          <w:tcPr>
            <w:tcW w:w="1765" w:type="dxa"/>
            <w:tcBorders>
              <w:top w:val="single" w:color="auto" w:sz="4" w:space="0"/>
              <w:left w:val="single" w:color="auto" w:sz="4" w:space="0"/>
              <w:bottom w:val="single" w:color="auto" w:sz="4" w:space="0"/>
              <w:right w:val="single" w:color="auto" w:sz="4" w:space="0"/>
            </w:tcBorders>
            <w:shd w:val="clear" w:color="auto" w:fill="auto"/>
            <w:noWrap/>
            <w:vAlign w:val="center"/>
          </w:tcPr>
          <w:p>
            <w:pPr>
              <w:pStyle w:val="88"/>
            </w:pPr>
            <w:r>
              <w:t>名称</w:t>
            </w:r>
          </w:p>
        </w:tc>
        <w:tc>
          <w:tcPr>
            <w:tcW w:w="1349" w:type="dxa"/>
            <w:tcBorders>
              <w:top w:val="single" w:color="auto" w:sz="4" w:space="0"/>
              <w:left w:val="nil"/>
              <w:bottom w:val="single" w:color="auto" w:sz="4" w:space="0"/>
              <w:right w:val="single" w:color="auto" w:sz="4" w:space="0"/>
            </w:tcBorders>
            <w:shd w:val="clear" w:color="auto" w:fill="auto"/>
            <w:noWrap/>
            <w:vAlign w:val="center"/>
          </w:tcPr>
          <w:p>
            <w:pPr>
              <w:pStyle w:val="88"/>
            </w:pPr>
            <w:r>
              <w:t>标题</w:t>
            </w:r>
          </w:p>
        </w:tc>
        <w:tc>
          <w:tcPr>
            <w:tcW w:w="2013" w:type="dxa"/>
            <w:tcBorders>
              <w:top w:val="single" w:color="auto" w:sz="4" w:space="0"/>
              <w:left w:val="nil"/>
              <w:bottom w:val="single" w:color="auto" w:sz="4" w:space="0"/>
              <w:right w:val="single" w:color="auto" w:sz="4" w:space="0"/>
            </w:tcBorders>
            <w:shd w:val="clear" w:color="auto" w:fill="auto"/>
            <w:noWrap/>
            <w:vAlign w:val="center"/>
          </w:tcPr>
          <w:p>
            <w:pPr>
              <w:pStyle w:val="88"/>
            </w:pPr>
            <w:r>
              <w:t>表达式/字段</w:t>
            </w:r>
          </w:p>
        </w:tc>
        <w:tc>
          <w:tcPr>
            <w:tcW w:w="1956" w:type="dxa"/>
            <w:tcBorders>
              <w:top w:val="single" w:color="auto" w:sz="4" w:space="0"/>
              <w:left w:val="nil"/>
              <w:bottom w:val="single" w:color="auto" w:sz="4" w:space="0"/>
              <w:right w:val="single" w:color="auto" w:sz="4" w:space="0"/>
            </w:tcBorders>
            <w:shd w:val="clear" w:color="auto" w:fill="auto"/>
            <w:noWrap/>
            <w:vAlign w:val="center"/>
          </w:tcPr>
          <w:p>
            <w:pPr>
              <w:pStyle w:val="88"/>
            </w:pPr>
            <w:r>
              <w:t>类型(长度,小数)</w:t>
            </w:r>
          </w:p>
        </w:tc>
        <w:tc>
          <w:tcPr>
            <w:tcW w:w="850" w:type="dxa"/>
            <w:tcBorders>
              <w:top w:val="single" w:color="auto" w:sz="4" w:space="0"/>
              <w:left w:val="nil"/>
              <w:bottom w:val="single" w:color="auto" w:sz="4" w:space="0"/>
              <w:right w:val="single" w:color="auto" w:sz="4" w:space="0"/>
            </w:tcBorders>
            <w:shd w:val="clear" w:color="auto" w:fill="auto"/>
            <w:noWrap/>
            <w:vAlign w:val="center"/>
          </w:tcPr>
          <w:p>
            <w:pPr>
              <w:pStyle w:val="88"/>
            </w:pPr>
            <w:r>
              <w:t>文字字段</w:t>
            </w:r>
          </w:p>
        </w:tc>
        <w:tc>
          <w:tcPr>
            <w:tcW w:w="1560" w:type="dxa"/>
            <w:tcBorders>
              <w:top w:val="single" w:color="auto" w:sz="4" w:space="0"/>
              <w:left w:val="nil"/>
              <w:bottom w:val="single" w:color="auto" w:sz="4" w:space="0"/>
              <w:right w:val="single" w:color="auto" w:sz="4" w:space="0"/>
            </w:tcBorders>
            <w:shd w:val="clear" w:color="auto" w:fill="auto"/>
            <w:noWrap/>
            <w:vAlign w:val="center"/>
          </w:tcPr>
          <w:p>
            <w:pPr>
              <w:pStyle w:val="88"/>
            </w:pPr>
            <w:r>
              <w:t>关联维</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ANCHEDATE</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年报时间戳</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ANCHEDATE</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日期(0,0)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vAlign w:val="bottom"/>
          </w:tcPr>
          <w:p>
            <w:pPr>
              <w:pStyle w:val="88"/>
            </w:pPr>
            <w:r>
              <w:rPr>
                <w:rFonts w:hint="eastAsia"/>
              </w:rPr>
              <w:t>自定义日期维</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ANCHEYEAR</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年报年度</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ANCHEYEAR</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字符(4,0)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REGNO</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注册号</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REGNO</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字符(30,0)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noWrap/>
            <w:vAlign w:val="bottom"/>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ENTNAME</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企业或字号名称</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ENTNAME</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字符(150,0)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noWrap/>
            <w:vAlign w:val="bottom"/>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EMPNUM</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从业人数</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EMPNUM</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长整型(0,0)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noWrap/>
            <w:vAlign w:val="bottom"/>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OPSTATE</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企业状态</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OPSTATE</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字符(1,0)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vAlign w:val="bottom"/>
          </w:tcPr>
          <w:p>
            <w:pPr>
              <w:pStyle w:val="88"/>
            </w:pPr>
            <w:r>
              <w:rPr>
                <w:rFonts w:hint="eastAsia"/>
              </w:rPr>
              <w:t>企业状态</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NBXH</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内部序号</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NBXH</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字符(150,0)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noWrap/>
            <w:vAlign w:val="bottom"/>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WEBSITEFLAG</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网站或网店</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WEBSITEFLAG</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字符(1,0)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noWrap/>
            <w:vAlign w:val="bottom"/>
          </w:tcPr>
          <w:p>
            <w:pPr>
              <w:pStyle w:val="88"/>
            </w:pPr>
            <w:r>
              <w:rPr>
                <w:rFonts w:hint="eastAsia"/>
              </w:rPr>
              <w:t>有或者没有</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DJJG</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登记机关</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DJJG</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字符(9,0)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noWrap/>
            <w:vAlign w:val="bottom"/>
          </w:tcPr>
          <w:p>
            <w:pPr>
              <w:pStyle w:val="88"/>
            </w:pPr>
            <w:r>
              <w:rPr>
                <w:rFonts w:hint="eastAsia"/>
              </w:rPr>
              <w:t>登记机关</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V_ANCHEYEAR</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虚拟_年报时间</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tostr(ANNL_BASE_INFO.ANCHEDATE,'yyyymmdd')</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字符(8)</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noWrap/>
            <w:vAlign w:val="bottom"/>
          </w:tcPr>
          <w:p>
            <w:pPr>
              <w:pStyle w:val="88"/>
            </w:pPr>
            <w:r>
              <w:rPr>
                <w:rFonts w:hint="eastAsia"/>
              </w:rPr>
              <w:t>自定义日期维</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GXGSS</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管辖市场监管所</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gxgss</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字符(20)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noWrap/>
            <w:vAlign w:val="bottom"/>
          </w:tcPr>
          <w:p>
            <w:pPr>
              <w:pStyle w:val="88"/>
            </w:pPr>
            <w:r>
              <w:rPr>
                <w:rFonts w:hint="eastAsia"/>
              </w:rPr>
              <w:t>管辖市场监管所</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JJHKLB</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经济户口类别</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JJHKLB</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整型</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noWrap/>
            <w:vAlign w:val="bottom"/>
          </w:tcPr>
          <w:p>
            <w:pPr>
              <w:pStyle w:val="88"/>
            </w:pPr>
            <w:r>
              <w:rPr>
                <w:rFonts w:hint="eastAsia"/>
              </w:rPr>
              <w:t>经济户口类别</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QYLX</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企业类型</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QYLX</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字符(6,0)</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vAlign w:val="bottom"/>
          </w:tcPr>
          <w:p>
            <w:pPr>
              <w:pStyle w:val="88"/>
            </w:pPr>
            <w:r>
              <w:rPr>
                <w:rFonts w:hint="eastAsia"/>
              </w:rPr>
              <w:t>企业类型</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ASSGRO</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资产总额</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ASSGRO</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浮点(24,2)</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vAlign w:val="bottom"/>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765"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LIAGRO</w:t>
            </w:r>
          </w:p>
        </w:tc>
        <w:tc>
          <w:tcPr>
            <w:tcW w:w="1349" w:type="dxa"/>
            <w:tcBorders>
              <w:top w:val="nil"/>
              <w:left w:val="nil"/>
              <w:bottom w:val="single" w:color="auto" w:sz="4" w:space="0"/>
              <w:right w:val="single" w:color="auto" w:sz="4" w:space="0"/>
            </w:tcBorders>
            <w:shd w:val="clear" w:color="auto" w:fill="auto"/>
            <w:vAlign w:val="bottom"/>
          </w:tcPr>
          <w:p>
            <w:pPr>
              <w:pStyle w:val="88"/>
            </w:pPr>
            <w:r>
              <w:rPr>
                <w:rFonts w:hint="eastAsia"/>
              </w:rPr>
              <w:t>负债总额</w:t>
            </w:r>
          </w:p>
        </w:tc>
        <w:tc>
          <w:tcPr>
            <w:tcW w:w="2013" w:type="dxa"/>
            <w:tcBorders>
              <w:top w:val="nil"/>
              <w:left w:val="nil"/>
              <w:bottom w:val="single" w:color="auto" w:sz="4" w:space="0"/>
              <w:right w:val="single" w:color="auto" w:sz="4" w:space="0"/>
            </w:tcBorders>
            <w:shd w:val="clear" w:color="auto" w:fill="auto"/>
            <w:noWrap/>
            <w:vAlign w:val="bottom"/>
          </w:tcPr>
          <w:p>
            <w:pPr>
              <w:pStyle w:val="88"/>
            </w:pPr>
            <w:r>
              <w:rPr>
                <w:rFonts w:hint="eastAsia"/>
              </w:rPr>
              <w:t>LIAGRO</w:t>
            </w:r>
          </w:p>
        </w:tc>
        <w:tc>
          <w:tcPr>
            <w:tcW w:w="1956" w:type="dxa"/>
            <w:tcBorders>
              <w:top w:val="nil"/>
              <w:left w:val="nil"/>
              <w:bottom w:val="single" w:color="auto" w:sz="4" w:space="0"/>
              <w:right w:val="single" w:color="auto" w:sz="4" w:space="0"/>
            </w:tcBorders>
            <w:shd w:val="clear" w:color="auto" w:fill="auto"/>
            <w:noWrap/>
            <w:vAlign w:val="bottom"/>
          </w:tcPr>
          <w:p>
            <w:pPr>
              <w:pStyle w:val="88"/>
            </w:pPr>
            <w:r>
              <w:rPr>
                <w:rFonts w:hint="eastAsia"/>
              </w:rPr>
              <w:t>浮点(24,2)</w:t>
            </w:r>
          </w:p>
        </w:tc>
        <w:tc>
          <w:tcPr>
            <w:tcW w:w="85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c>
          <w:tcPr>
            <w:tcW w:w="1560" w:type="dxa"/>
            <w:tcBorders>
              <w:top w:val="nil"/>
              <w:left w:val="nil"/>
              <w:bottom w:val="single" w:color="auto" w:sz="4" w:space="0"/>
              <w:right w:val="single" w:color="auto" w:sz="4" w:space="0"/>
            </w:tcBorders>
            <w:shd w:val="clear" w:color="auto" w:fill="auto"/>
            <w:vAlign w:val="bottom"/>
          </w:tcPr>
          <w:p>
            <w:pPr>
              <w:pStyle w:val="88"/>
              <w:rPr>
                <w:rFonts w:cs="宋体"/>
              </w:rPr>
            </w:pPr>
            <w:r>
              <w:rPr>
                <w:rFonts w:hint="eastAsia"/>
              </w:rPr>
              <w:t>　</w:t>
            </w:r>
          </w:p>
        </w:tc>
      </w:tr>
    </w:tbl>
    <w:p>
      <w:pPr>
        <w:pStyle w:val="6"/>
      </w:pPr>
      <w:r>
        <w:rPr>
          <w:rFonts w:hint="eastAsia"/>
        </w:rPr>
        <w:t>企业族谱主题库</w:t>
      </w:r>
    </w:p>
    <w:p>
      <w:pPr>
        <w:pStyle w:val="7"/>
      </w:pPr>
      <w:r>
        <w:rPr>
          <w:rFonts w:hint="eastAsia"/>
        </w:rPr>
        <w:t>面向主题</w:t>
      </w:r>
    </w:p>
    <w:p>
      <w:r>
        <w:rPr>
          <w:rFonts w:hint="eastAsia"/>
        </w:rPr>
        <w:t>面向主题：结合涉案企业的投资信息、基本登记信息、企业信用信息等，构成企业族谱专题。为查询企业的族谱层级、投资控制关系、风险节点等提供数据支撑。</w:t>
      </w:r>
    </w:p>
    <w:p>
      <w:pPr>
        <w:pStyle w:val="7"/>
      </w:pPr>
      <w:r>
        <w:rPr>
          <w:rFonts w:hint="eastAsia"/>
        </w:rPr>
        <w:t>数据源表</w:t>
      </w:r>
    </w:p>
    <w:p>
      <w:r>
        <w:rPr>
          <w:rFonts w:hint="eastAsia"/>
        </w:rPr>
        <w:t>数据源表：主体基本信息汇总表、注销信息表、吊销信息表、自然投资人详细信息表、企业投资信息表、主要人员信息表、经营异常名录信息表、严重违法企业信息表、行政处罚信息表、企业公示信息表、其他相关维度表。</w:t>
      </w:r>
    </w:p>
    <w:p>
      <w:pPr>
        <w:pStyle w:val="7"/>
      </w:pPr>
      <w:r>
        <w:rPr>
          <w:rFonts w:hint="eastAsia"/>
        </w:rPr>
        <w:t>维度</w:t>
      </w:r>
    </w:p>
    <w:p>
      <w:r>
        <w:rPr>
          <w:rFonts w:hint="eastAsia"/>
        </w:rPr>
        <w:t>维度：出资时间、被投企业成立时间、被投企业状态、被投企业行业、被投企业区域、被投企业类型、被投企业规模、被投企业年龄、股东类别、控股方式、投资规模、合资方式、股东区域、企业股东状态、企业股东行业、企业股东类型、企业股东规模、企业股东年龄、企业股东成立时间。</w:t>
      </w:r>
    </w:p>
    <w:p>
      <w:pPr>
        <w:pStyle w:val="7"/>
      </w:pPr>
      <w:r>
        <w:rPr>
          <w:rFonts w:hint="eastAsia"/>
        </w:rPr>
        <w:t>度量值</w:t>
      </w:r>
    </w:p>
    <w:p>
      <w:r>
        <w:rPr>
          <w:rFonts w:hint="eastAsia"/>
        </w:rPr>
        <w:t>度量值：层次、法人节点、自然人节点、违规节点数量、失信被执行人数量、被处罚次数、列入经营异常户数、列入经营异常次数、被外罚企业数量、被处罚人员数量。</w:t>
      </w:r>
    </w:p>
    <w:p>
      <w:pPr>
        <w:pStyle w:val="7"/>
      </w:pPr>
      <w:r>
        <w:rPr>
          <w:rFonts w:hint="eastAsia"/>
        </w:rPr>
        <w:t>数据来源</w:t>
      </w:r>
    </w:p>
    <w:p>
      <w:r>
        <w:rPr>
          <w:rFonts w:hint="eastAsia"/>
        </w:rPr>
        <w:t>数据来源：国家市场监管总局数据库。</w:t>
      </w:r>
    </w:p>
    <w:tbl>
      <w:tblPr>
        <w:tblStyle w:val="30"/>
        <w:tblW w:w="8388" w:type="dxa"/>
        <w:tblInd w:w="113" w:type="dxa"/>
        <w:tblLayout w:type="fixed"/>
        <w:tblCellMar>
          <w:top w:w="0" w:type="dxa"/>
          <w:left w:w="108" w:type="dxa"/>
          <w:bottom w:w="0" w:type="dxa"/>
          <w:right w:w="108" w:type="dxa"/>
        </w:tblCellMar>
      </w:tblPr>
      <w:tblGrid>
        <w:gridCol w:w="1300"/>
        <w:gridCol w:w="2031"/>
        <w:gridCol w:w="1371"/>
        <w:gridCol w:w="1984"/>
        <w:gridCol w:w="1702"/>
      </w:tblGrid>
      <w:tr>
        <w:tblPrEx>
          <w:tblCellMar>
            <w:top w:w="0" w:type="dxa"/>
            <w:left w:w="108" w:type="dxa"/>
            <w:bottom w:w="0" w:type="dxa"/>
            <w:right w:w="108" w:type="dxa"/>
          </w:tblCellMar>
        </w:tblPrEx>
        <w:trPr>
          <w:trHeight w:val="300" w:hRule="atLeast"/>
        </w:trPr>
        <w:tc>
          <w:tcPr>
            <w:tcW w:w="1300" w:type="dxa"/>
            <w:tcBorders>
              <w:top w:val="single" w:color="auto" w:sz="4" w:space="0"/>
              <w:left w:val="single" w:color="auto" w:sz="4" w:space="0"/>
              <w:bottom w:val="single" w:color="auto" w:sz="4" w:space="0"/>
              <w:right w:val="single" w:color="auto" w:sz="4" w:space="0"/>
            </w:tcBorders>
            <w:shd w:val="clear" w:color="auto" w:fill="auto"/>
            <w:noWrap/>
            <w:vAlign w:val="center"/>
          </w:tcPr>
          <w:p>
            <w:pPr>
              <w:pStyle w:val="88"/>
            </w:pPr>
            <w:r>
              <w:t>名称</w:t>
            </w:r>
          </w:p>
        </w:tc>
        <w:tc>
          <w:tcPr>
            <w:tcW w:w="2031" w:type="dxa"/>
            <w:tcBorders>
              <w:top w:val="single" w:color="auto" w:sz="4" w:space="0"/>
              <w:left w:val="nil"/>
              <w:bottom w:val="single" w:color="auto" w:sz="4" w:space="0"/>
              <w:right w:val="single" w:color="auto" w:sz="4" w:space="0"/>
            </w:tcBorders>
            <w:shd w:val="clear" w:color="auto" w:fill="auto"/>
            <w:noWrap/>
            <w:vAlign w:val="center"/>
          </w:tcPr>
          <w:p>
            <w:pPr>
              <w:pStyle w:val="88"/>
            </w:pPr>
            <w:r>
              <w:t>标题</w:t>
            </w:r>
          </w:p>
        </w:tc>
        <w:tc>
          <w:tcPr>
            <w:tcW w:w="1371" w:type="dxa"/>
            <w:tcBorders>
              <w:top w:val="single" w:color="auto" w:sz="4" w:space="0"/>
              <w:left w:val="nil"/>
              <w:bottom w:val="single" w:color="auto" w:sz="4" w:space="0"/>
              <w:right w:val="single" w:color="auto" w:sz="4" w:space="0"/>
            </w:tcBorders>
            <w:shd w:val="clear" w:color="auto" w:fill="auto"/>
            <w:noWrap/>
            <w:vAlign w:val="center"/>
          </w:tcPr>
          <w:p>
            <w:pPr>
              <w:pStyle w:val="88"/>
            </w:pPr>
            <w:r>
              <w:t>表达式/字段</w:t>
            </w:r>
          </w:p>
        </w:tc>
        <w:tc>
          <w:tcPr>
            <w:tcW w:w="1984" w:type="dxa"/>
            <w:tcBorders>
              <w:top w:val="single" w:color="auto" w:sz="4" w:space="0"/>
              <w:left w:val="nil"/>
              <w:bottom w:val="single" w:color="auto" w:sz="4" w:space="0"/>
              <w:right w:val="single" w:color="auto" w:sz="4" w:space="0"/>
            </w:tcBorders>
            <w:shd w:val="clear" w:color="auto" w:fill="auto"/>
            <w:noWrap/>
            <w:vAlign w:val="center"/>
          </w:tcPr>
          <w:p>
            <w:pPr>
              <w:pStyle w:val="88"/>
            </w:pPr>
            <w:r>
              <w:t>类型(长度,小数)</w:t>
            </w:r>
          </w:p>
        </w:tc>
        <w:tc>
          <w:tcPr>
            <w:tcW w:w="1702" w:type="dxa"/>
            <w:tcBorders>
              <w:top w:val="single" w:color="auto" w:sz="4" w:space="0"/>
              <w:left w:val="nil"/>
              <w:bottom w:val="single" w:color="auto" w:sz="4" w:space="0"/>
              <w:right w:val="single" w:color="auto" w:sz="4" w:space="0"/>
            </w:tcBorders>
            <w:shd w:val="clear" w:color="auto" w:fill="auto"/>
            <w:noWrap/>
            <w:vAlign w:val="center"/>
          </w:tcPr>
          <w:p>
            <w:pPr>
              <w:pStyle w:val="88"/>
            </w:pPr>
            <w:r>
              <w:t>关联维</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NBXH</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主体ID</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NBXH</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字符(50,0)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ZCH</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注册号</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ZCH</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QYMC</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企业名称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QYMC</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DPMC</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店铺名称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DPMC</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字符(150)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JJHKLB</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经济户口类别</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JJHKLB</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经济户口类别</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HYDM</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行业代码</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HYDM</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字符(100)</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行业代码</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JYZT</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经营状态</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JYZT</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状态</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DJJG</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登记机关</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DJJG</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登记机关</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GXGSS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管辖单位</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GXGSS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字符(19)</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管辖市场监管所</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QYGB</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国别</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QYGB</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国别-层次</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CLRQ</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成立日期</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CLRQ</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日期(日期型)</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HZRQ</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核准日期</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HZRQ</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日期(日期型)</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JYQXQ</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经营期限起</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JYQXQ</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日期(日期型)</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JYQXZ</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经营期限止</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JYQXZ</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日期(日期型)</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QYLX</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企业类型</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QYLX</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字符(4)</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企业类型</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XYDJ</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信用等级</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XYDJ</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信用等级</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SLFS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设立方式</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SLFS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设立方式</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JYFS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经营方式</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JYFS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字符(255)</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SFZX</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是否注销</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SFZX</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是否吊销转注销</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DXRQ</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吊销日期</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DXRQ</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日期(日期型)</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ZXYY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注销原因</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ZXYY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注销原因</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DXYY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吊销原因</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DXYY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ZCZB</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注册资本</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ZCZB</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ZCZBMY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注册资本折美元</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ZCZBMY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SSZB</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实收资本</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SSZB</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SSZBMY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实收资本折美元</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SSZBMY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TZZE</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投资总额</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TZZE</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TZZEMY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投资总额折美元</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TZZEMY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BZ</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币种</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BZ</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ZFRJE</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中方认缴额</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ZFRJE</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ZFRJEZMY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中方认缴额折美元</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ZFRJEZMY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ZFSJE</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中方实缴额</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ZFSJE</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ZFSJEZMY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中方实缴额折美元</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ZFSJEZMY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WFRJE</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外方认缴额</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WFRJE</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WFRJEZMY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外方认缴额折美元</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WFRJEZMY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WFSJE</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外方实缴额</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WFSJE</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WFSJEZMY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外方实缴额折美元</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WFSJEZMY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SFQYFR</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是否企业法人</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SFQYFR</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SFGQCZ</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是否股权出质</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SFGQCZ</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DBZSSE</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被担保债权数额</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DBZSSE</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浮点(18,6)</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CYRYS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从业人员数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CYRYS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HHRS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合伙人数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HHRS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XGCYRS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下岗失业人员在此从业人数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XGCYRS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AZXGRS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安置下岗失业人数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AZXGRS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GXBYSCYRS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高校毕业生在此从业人数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GXBYSCYRS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GXBYSRS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高校毕业生人数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GXBYSRS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XGTZRS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下岗失业人员参入投资人数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XGTZRS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GXBYSTZRS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高校毕业生参入投资(申办)人数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GXBYSTZRS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DAH</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档案号</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DAH</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FDDBR</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法定代表人</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FDDBR</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FXHY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风险行业</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FXHY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字符(150)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GDRS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股东人数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GDRS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JYDZ</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经营地址</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JYDZ</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JYFW</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经营范围</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JYFW</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字符(4000)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LXDH</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联系电话</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LXDH</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QYSX</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企业分类</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QYSX</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企业属性</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TZRS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投资人数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TZRS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XZQH</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行政区划</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XZQH</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字符(100)</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行政区划</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HHFS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合伙方式</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HHFS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合伙方式</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KGFS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控股方式</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KGFS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控股方式</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FDDBRDYBZ</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法定代表人党员标志</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FDDBRDYBZ</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FDDBRSJBZ</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法定代表人书记标志</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FDDBRSJBZ</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NUMPARM</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党员人数</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NUMPARM</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浮点(10,0)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PARINS</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党组织建制</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PARINS</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党组织建制代码</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PARORGW</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党组织组建方式</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PARORGW</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党组织建制方式</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ZRDHY</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重热点行业</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ZRDHY</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字符(300)</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重热点行业</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XWBZ</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小微企业标志</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XWBZ</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COMPFORM</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组成形式</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COMPFORM</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组成形式</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UNISCID</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社会统一信用代码</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UNISCID</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DATATYPE</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数据类型</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DATATYPE</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70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SJYXQQ</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数据有效期起</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SJYXQQ</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日期(日期型)</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SJYXQZ</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数据有效期止</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SJYXQZ</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日期(日期型)</w:t>
            </w:r>
          </w:p>
        </w:tc>
      </w:tr>
      <w:tr>
        <w:tblPrEx>
          <w:tblCellMar>
            <w:top w:w="0" w:type="dxa"/>
            <w:left w:w="108" w:type="dxa"/>
            <w:bottom w:w="0" w:type="dxa"/>
            <w:right w:w="108" w:type="dxa"/>
          </w:tblCellMar>
        </w:tblPrEx>
        <w:trPr>
          <w:trHeight w:val="288" w:hRule="atLeast"/>
        </w:trPr>
        <w:tc>
          <w:tcPr>
            <w:tcW w:w="1300"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zczbgm</w:t>
            </w:r>
          </w:p>
        </w:tc>
        <w:tc>
          <w:tcPr>
            <w:tcW w:w="2031" w:type="dxa"/>
            <w:tcBorders>
              <w:top w:val="nil"/>
              <w:left w:val="nil"/>
              <w:bottom w:val="single" w:color="auto" w:sz="4" w:space="0"/>
              <w:right w:val="single" w:color="auto" w:sz="4" w:space="0"/>
            </w:tcBorders>
            <w:shd w:val="clear" w:color="auto" w:fill="auto"/>
            <w:vAlign w:val="center"/>
          </w:tcPr>
          <w:p>
            <w:pPr>
              <w:pStyle w:val="88"/>
            </w:pPr>
            <w:r>
              <w:rPr>
                <w:rFonts w:hint="eastAsia"/>
              </w:rPr>
              <w:t>注册资本规模</w:t>
            </w:r>
          </w:p>
        </w:tc>
        <w:tc>
          <w:tcPr>
            <w:tcW w:w="137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case when F_DJ_QYZT.ZCZB&lt;50 then '微型企业' when F_DJ_QYZT.ZCZB&gt;=50 and F_DJ_QYZT.ZCZB&lt;100 then '小型企业' when F_DJ_QYZT.ZCZB&gt;=100 and F_DJ_QYZT.ZCZB&lt;500 then '中型企业' when F_DJ_QYZT.ZCZB&gt;=500 then '规上企业' end</w:t>
            </w:r>
          </w:p>
        </w:tc>
        <w:tc>
          <w:tcPr>
            <w:tcW w:w="1984"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w:t>
            </w:r>
          </w:p>
        </w:tc>
        <w:tc>
          <w:tcPr>
            <w:tcW w:w="1702" w:type="dxa"/>
            <w:tcBorders>
              <w:top w:val="nil"/>
              <w:left w:val="nil"/>
              <w:bottom w:val="single" w:color="auto" w:sz="4" w:space="0"/>
              <w:right w:val="single" w:color="auto" w:sz="4" w:space="0"/>
            </w:tcBorders>
            <w:shd w:val="clear" w:color="auto" w:fill="auto"/>
            <w:vAlign w:val="center"/>
          </w:tcPr>
          <w:p>
            <w:pPr>
              <w:pStyle w:val="88"/>
            </w:pPr>
            <w:r>
              <w:rPr>
                <w:rFonts w:hint="eastAsia"/>
              </w:rPr>
              <w:t>注册资本规模</w:t>
            </w:r>
          </w:p>
        </w:tc>
      </w:tr>
    </w:tbl>
    <w:p/>
    <w:p>
      <w:pPr>
        <w:pStyle w:val="6"/>
      </w:pPr>
      <w:r>
        <w:rPr>
          <w:rFonts w:hint="eastAsia"/>
        </w:rPr>
        <w:t>消费维权主题库</w:t>
      </w:r>
    </w:p>
    <w:p>
      <w:pPr>
        <w:pStyle w:val="7"/>
      </w:pPr>
      <w:r>
        <w:rPr>
          <w:rFonts w:hint="eastAsia"/>
        </w:rPr>
        <w:t>面向主题</w:t>
      </w:r>
    </w:p>
    <w:p>
      <w:r>
        <w:rPr>
          <w:rFonts w:hint="eastAsia"/>
        </w:rPr>
        <w:t>面向主题：为了向消费者提供消费警示信息和分析消费维权数据，以12315业务系统数据为基础，从投诉、举报、咨询、质量抽检、维权效能等方面建设12315专题数据库。</w:t>
      </w:r>
    </w:p>
    <w:p>
      <w:pPr>
        <w:pStyle w:val="7"/>
      </w:pPr>
      <w:r>
        <w:rPr>
          <w:rFonts w:hint="eastAsia"/>
        </w:rPr>
        <w:t>数据源表</w:t>
      </w:r>
    </w:p>
    <w:p>
      <w:r>
        <w:rPr>
          <w:rFonts w:hint="eastAsia"/>
        </w:rPr>
        <w:t>数据源表： 12315反馈信息、12315信息提供方信息、12315调解信息、12315涉案客体信息、12315涉案主体信息、12315案件信息表、12315登记信息相关维度表。</w:t>
      </w:r>
    </w:p>
    <w:p>
      <w:pPr>
        <w:pStyle w:val="7"/>
      </w:pPr>
      <w:r>
        <w:rPr>
          <w:rFonts w:hint="eastAsia"/>
        </w:rPr>
        <w:t>维度</w:t>
      </w:r>
    </w:p>
    <w:p>
      <w:r>
        <w:rPr>
          <w:rFonts w:hint="eastAsia"/>
        </w:rPr>
        <w:t>维度：区域，申诉主体类型，投诉内容，投诉问题，被诉主体类型，商品、服务类别，被诉主体行业，举报问题，咨询部门等。</w:t>
      </w:r>
    </w:p>
    <w:p>
      <w:pPr>
        <w:pStyle w:val="7"/>
      </w:pPr>
      <w:r>
        <w:rPr>
          <w:rFonts w:hint="eastAsia"/>
        </w:rPr>
        <w:t>度量值</w:t>
      </w:r>
    </w:p>
    <w:p>
      <w:r>
        <w:rPr>
          <w:rFonts w:hint="eastAsia"/>
        </w:rPr>
        <w:t>度量值：投诉不受理量、老人投诉量、农村投诉量、投诉量、涉及金额、被诉企业量、企业总量、被诉个体量、个体总量、商品合格率、诉求办结率、调解成功率、和解息诉率、现场处置率、及时反馈率、平均处理时长、处理及时率、投诉转立案率、举报属实立案率、挽回经济损失率、答复率、分流时长、一次接通率、咨询满意率、成果利用率、人均处理投诉量、经费预算、出勤车辆数、电话线路数、电话接收量比重、人均电话接收量、人均处理网络投诉量、人均处理投诉量、车辆出勤频次。</w:t>
      </w:r>
    </w:p>
    <w:p>
      <w:pPr>
        <w:pStyle w:val="7"/>
      </w:pPr>
      <w:r>
        <w:rPr>
          <w:rFonts w:hint="eastAsia"/>
        </w:rPr>
        <w:t>数据来源</w:t>
      </w:r>
    </w:p>
    <w:p>
      <w:r>
        <w:rPr>
          <w:rFonts w:hint="eastAsia"/>
        </w:rPr>
        <w:t>数据来源：省市场监管局。</w:t>
      </w:r>
    </w:p>
    <w:tbl>
      <w:tblPr>
        <w:tblStyle w:val="30"/>
        <w:tblW w:w="9180" w:type="dxa"/>
        <w:tblInd w:w="0" w:type="dxa"/>
        <w:tblLayout w:type="fixed"/>
        <w:tblCellMar>
          <w:top w:w="0" w:type="dxa"/>
          <w:left w:w="108" w:type="dxa"/>
          <w:bottom w:w="0" w:type="dxa"/>
          <w:right w:w="108" w:type="dxa"/>
        </w:tblCellMar>
      </w:tblPr>
      <w:tblGrid>
        <w:gridCol w:w="1809"/>
        <w:gridCol w:w="1985"/>
        <w:gridCol w:w="1701"/>
        <w:gridCol w:w="1843"/>
        <w:gridCol w:w="1842"/>
      </w:tblGrid>
      <w:tr>
        <w:tblPrEx>
          <w:tblCellMar>
            <w:top w:w="0" w:type="dxa"/>
            <w:left w:w="108" w:type="dxa"/>
            <w:bottom w:w="0" w:type="dxa"/>
            <w:right w:w="108" w:type="dxa"/>
          </w:tblCellMar>
        </w:tblPrEx>
        <w:trPr>
          <w:trHeight w:val="300" w:hRule="atLeast"/>
        </w:trPr>
        <w:tc>
          <w:tcPr>
            <w:tcW w:w="1809" w:type="dxa"/>
            <w:tcBorders>
              <w:top w:val="single" w:color="auto" w:sz="4" w:space="0"/>
              <w:left w:val="single" w:color="auto" w:sz="4" w:space="0"/>
              <w:bottom w:val="single" w:color="auto" w:sz="4" w:space="0"/>
              <w:right w:val="single" w:color="auto" w:sz="4" w:space="0"/>
            </w:tcBorders>
            <w:shd w:val="clear" w:color="auto" w:fill="auto"/>
            <w:noWrap/>
            <w:vAlign w:val="center"/>
          </w:tcPr>
          <w:p>
            <w:pPr>
              <w:pStyle w:val="88"/>
            </w:pPr>
            <w:r>
              <w:t>名称</w:t>
            </w:r>
          </w:p>
        </w:tc>
        <w:tc>
          <w:tcPr>
            <w:tcW w:w="1985" w:type="dxa"/>
            <w:tcBorders>
              <w:top w:val="single" w:color="auto" w:sz="4" w:space="0"/>
              <w:left w:val="nil"/>
              <w:bottom w:val="single" w:color="auto" w:sz="4" w:space="0"/>
              <w:right w:val="single" w:color="auto" w:sz="4" w:space="0"/>
            </w:tcBorders>
            <w:shd w:val="clear" w:color="auto" w:fill="auto"/>
            <w:noWrap/>
            <w:vAlign w:val="center"/>
          </w:tcPr>
          <w:p>
            <w:pPr>
              <w:pStyle w:val="88"/>
            </w:pPr>
            <w:r>
              <w:t>标题</w:t>
            </w:r>
          </w:p>
        </w:tc>
        <w:tc>
          <w:tcPr>
            <w:tcW w:w="1701" w:type="dxa"/>
            <w:tcBorders>
              <w:top w:val="single" w:color="auto" w:sz="4" w:space="0"/>
              <w:left w:val="nil"/>
              <w:bottom w:val="single" w:color="auto" w:sz="4" w:space="0"/>
              <w:right w:val="single" w:color="auto" w:sz="4" w:space="0"/>
            </w:tcBorders>
            <w:shd w:val="clear" w:color="auto" w:fill="auto"/>
            <w:noWrap/>
            <w:vAlign w:val="center"/>
          </w:tcPr>
          <w:p>
            <w:pPr>
              <w:pStyle w:val="88"/>
            </w:pPr>
            <w:r>
              <w:t>表达式/字段</w:t>
            </w:r>
          </w:p>
        </w:tc>
        <w:tc>
          <w:tcPr>
            <w:tcW w:w="1843" w:type="dxa"/>
            <w:tcBorders>
              <w:top w:val="single" w:color="auto" w:sz="4" w:space="0"/>
              <w:left w:val="nil"/>
              <w:bottom w:val="single" w:color="auto" w:sz="4" w:space="0"/>
              <w:right w:val="single" w:color="auto" w:sz="4" w:space="0"/>
            </w:tcBorders>
            <w:shd w:val="clear" w:color="auto" w:fill="auto"/>
            <w:noWrap/>
            <w:vAlign w:val="center"/>
          </w:tcPr>
          <w:p>
            <w:pPr>
              <w:pStyle w:val="88"/>
            </w:pPr>
            <w:r>
              <w:t>类型(长度,小数)</w:t>
            </w:r>
          </w:p>
        </w:tc>
        <w:tc>
          <w:tcPr>
            <w:tcW w:w="1842" w:type="dxa"/>
            <w:tcBorders>
              <w:top w:val="single" w:color="auto" w:sz="4" w:space="0"/>
              <w:left w:val="nil"/>
              <w:bottom w:val="single" w:color="auto" w:sz="4" w:space="0"/>
              <w:right w:val="single" w:color="auto" w:sz="4" w:space="0"/>
            </w:tcBorders>
            <w:shd w:val="clear" w:color="auto" w:fill="auto"/>
            <w:noWrap/>
            <w:vAlign w:val="center"/>
          </w:tcPr>
          <w:p>
            <w:pPr>
              <w:pStyle w:val="88"/>
            </w:pPr>
            <w:r>
              <w:t>关联维</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REGID</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登记ID</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REGID</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字符(32,0)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REGTIME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登记时间</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REGTIME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日期(日期型)</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SLBZ</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受理标识</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SLBZ</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受理类型</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BRANDCODE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品牌名称代码</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BRANDCODE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842" w:type="dxa"/>
            <w:tcBorders>
              <w:top w:val="nil"/>
              <w:left w:val="nil"/>
              <w:bottom w:val="single" w:color="auto" w:sz="4" w:space="0"/>
              <w:right w:val="single" w:color="auto" w:sz="4" w:space="0"/>
            </w:tcBorders>
            <w:shd w:val="clear" w:color="auto" w:fill="auto"/>
            <w:vAlign w:val="center"/>
          </w:tcPr>
          <w:p>
            <w:pPr>
              <w:pStyle w:val="88"/>
            </w:pP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INFOTYPE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信息类别</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INFOTYPE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信息类别</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INCFORM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接收方式</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INCFORM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接收方式</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INFOORI</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信息来源</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INFOORI</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信息来源</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PERIDE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人员身份</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PERIDE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人员身份</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PERTYPE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人员类别</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PERTYPE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人员类别</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SZA</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诉转案标志</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SZA</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BJJRLB</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被检举人类别</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BJJRLB</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CASEFLAG</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案件系统标识</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CASEFLAG</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SFJM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是否加盟</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SFJM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INFOORI_CODE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总局信息来源</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INFOORI_CODE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TSRQ</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投诉日期</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TSRQ</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字符(8)</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BLQX</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办理期限</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BLQX</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字符(8)</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BJDATE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办结日期</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BJDATE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字符(8)</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OBTYPE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涉及客体类别</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OBTYPE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字符(8)</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客体类别</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APPLBASQUE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申诉举报基本问题</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APPLBASQUE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申诉举报基本问题</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CONLRANGE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咨询范围</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CONLRANGE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咨询范围</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NAME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客户信息</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NAME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字符(70)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INVOPT</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涉及主体</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INVOPT</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MDSENAME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商品名称</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MDSENAME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BRANDNAME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品牌名称</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BRANDNAME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DFNR</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咨询答复内容</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DFNR</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APPLIDIQUE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申诉举报具体问题</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APPLIDIQUE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字符(4000)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CQRQ</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抽取日期</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CQRQ</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日期</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AJ_APPPROC</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案件_适用程序</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AJ_APPPROC</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适用程序</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AJ_ILLEGTYPE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案件_违法行为种类</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AJ_ILLEGTYPE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违法行为种类</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AJ_PENTYPE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案件_处罚种类</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AJ_PENTYPE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处罚种类</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AJ_SACNUM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案件_牺牲人数</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aj_sacnum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浮点(8,0)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AJ_INJNUM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案件_受伤人数</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aj_injnum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浮点(8,0)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AJ_ZYBLKF</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案件_遭遇暴力抗法人数</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aj_zyblkf</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浮点(8,0)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AJ_CASEVAL</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案件_案值</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AJ_CASEVAL</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AJ_PENAM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案件_罚款金额</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AJ_PENAM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AJ_FORFAM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案件_没收金额</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AJ_FORFAM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TJ_REDECOLOS</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调解_挽回经济损失</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TJ_REDECOLOS</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QYMC</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企业名称</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QYMC</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HYDM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行业代码</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HYDM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GXDW</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管辖单位</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GXDW</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GXGSS</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管辖市场监管所</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GXGSS</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GRID</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网格</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GRID</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SFAJ</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是否案件</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sfaj</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浮点(4,0)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SFTJ</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是否调解</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sftj</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浮点(4,0)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SPFWDM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商品服务代码</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SPFWDM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字符(12)</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KEYWORD</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关键字</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keyword</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字符(150,0)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WDWBMBM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外单位处理单位编码</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WDWBMBM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字符(15)</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ACCREGPER</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受理登记人</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ACCREGPER</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DQ_12315用户</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DOUSER</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当前处理人</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DOUSER</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字符(50)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LDHM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来电号码</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LDHM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字符(40)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ACCSCE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事发地</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accsce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字符(150,0)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CSDEPT</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抄送单位</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CSDEPT</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REVETYPE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信息提供方类型</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REVETYPE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CONLQUTYPE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咨询问题类别</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CONLQUTYPE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咨询问题类别</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ISXC</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出现场标志</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ISXC</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ZT</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主体</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ZT</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ISATTENTION</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是否重点关注</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ISATTENTION</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ISSRUS</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是否重大案件</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ISSRUS</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CASERELATE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案件关联标志</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CASERELATE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CFSS</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是否重复申诉</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CFSS</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CWCS</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催问次数</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cwcs</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浮点(4,0)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THCS</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退回次数</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thcs</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浮点(4,0)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SFLCSSJB</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是否另存申诉举报</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SFLCSSJB</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DHLY</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电话(语音)来源</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DHLY</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NATIONALITY</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咨询/投诉人国籍</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NATIONALITY</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国籍</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AJ_SFLA</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案件_是否立案</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AJ_SFLA</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DATASOURCE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数据来源</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DATASOURCE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MODIFYTIME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修改时间</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MODIFYTIME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时间戳</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REGDEPTID</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登记部门id</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REGDEPTID</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字符(32,0)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CURRENTSTATE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当前状态</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CURRENTSTATE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当前状态</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RETURNVISITSTATUS</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回访状态（0未回访，1已回访）</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RETURNVISITSTATUS</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字符(255,0)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AJ_COMMEATYPE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案件_行政强制措施类型</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AJ_COMMEATYPE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行政强制措施类型</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FK_EXEMANNUM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反馈_动用执法人员数量</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FK_EXEMANNUM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字符(255,0)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FK_EXECARNUM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反馈_动用执法车辆数量</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FK_EXECARNUM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字符(255,0)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AJ_CASECHR</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案件性质</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AJ_CASECHR</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案件性质</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URGENCY</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紧急程度</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URGENCY</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紧急程度</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HANDDEP</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办理部门</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HANDDEP</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字符(32,0)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DQ_12315部门表</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TJ_DISAM</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调解_争议金额</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TJ_DISAM</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浮点(19,6)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TJ_ENTTYPE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调解_企业类型</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TJ_ENTTYPE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字符(4,0)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企业类型</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AJ_PTTYPE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主体类别</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AJ_PTTYPE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主体类别</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TJ_INTRESULE</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调解_调解结果</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TJ_INTRESULE</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字符(1,0)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调解结果</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CURRENTDEPTID</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CURRENTDEPTID</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字符(40,0)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REGDEP</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登记部门</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REGDEP</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字符(40,0)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全国行政区划</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REGTIMESTAMP</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登记时刻</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REGTIMESTAMP</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字符(6)</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LXDH</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联系电话</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LXDH</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字符(60)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DCSS</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多次申诉</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DCSS</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r>
        <w:tblPrEx>
          <w:tblCellMar>
            <w:top w:w="0" w:type="dxa"/>
            <w:left w:w="108" w:type="dxa"/>
            <w:bottom w:w="0" w:type="dxa"/>
            <w:right w:w="108" w:type="dxa"/>
          </w:tblCellMar>
        </w:tblPrEx>
        <w:trPr>
          <w:trHeight w:val="288" w:hRule="atLeast"/>
        </w:trPr>
        <w:tc>
          <w:tcPr>
            <w:tcW w:w="1809" w:type="dxa"/>
            <w:tcBorders>
              <w:top w:val="nil"/>
              <w:left w:val="single" w:color="auto" w:sz="4" w:space="0"/>
              <w:bottom w:val="single" w:color="auto" w:sz="4" w:space="0"/>
              <w:right w:val="single" w:color="auto" w:sz="4" w:space="0"/>
            </w:tcBorders>
            <w:shd w:val="clear" w:color="auto" w:fill="auto"/>
            <w:noWrap/>
            <w:vAlign w:val="bottom"/>
          </w:tcPr>
          <w:p>
            <w:pPr>
              <w:pStyle w:val="88"/>
            </w:pPr>
            <w:r>
              <w:rPr>
                <w:rFonts w:hint="eastAsia"/>
              </w:rPr>
              <w:t>AJ_FKNR</w:t>
            </w:r>
          </w:p>
        </w:tc>
        <w:tc>
          <w:tcPr>
            <w:tcW w:w="1985" w:type="dxa"/>
            <w:tcBorders>
              <w:top w:val="nil"/>
              <w:left w:val="nil"/>
              <w:bottom w:val="single" w:color="auto" w:sz="4" w:space="0"/>
              <w:right w:val="single" w:color="auto" w:sz="4" w:space="0"/>
            </w:tcBorders>
            <w:shd w:val="clear" w:color="auto" w:fill="auto"/>
            <w:vAlign w:val="center"/>
          </w:tcPr>
          <w:p>
            <w:pPr>
              <w:pStyle w:val="88"/>
            </w:pPr>
            <w:r>
              <w:rPr>
                <w:rFonts w:hint="eastAsia"/>
              </w:rPr>
              <w:t>反馈内容</w:t>
            </w:r>
          </w:p>
        </w:tc>
        <w:tc>
          <w:tcPr>
            <w:tcW w:w="1701" w:type="dxa"/>
            <w:tcBorders>
              <w:top w:val="nil"/>
              <w:left w:val="nil"/>
              <w:bottom w:val="single" w:color="auto" w:sz="4" w:space="0"/>
              <w:right w:val="single" w:color="auto" w:sz="4" w:space="0"/>
            </w:tcBorders>
            <w:shd w:val="clear" w:color="auto" w:fill="auto"/>
            <w:noWrap/>
            <w:vAlign w:val="center"/>
          </w:tcPr>
          <w:p>
            <w:pPr>
              <w:pStyle w:val="88"/>
            </w:pPr>
            <w:r>
              <w:rPr>
                <w:rFonts w:hint="eastAsia"/>
              </w:rPr>
              <w:t>AJ_FKNR</w:t>
            </w:r>
          </w:p>
        </w:tc>
        <w:tc>
          <w:tcPr>
            <w:tcW w:w="1843" w:type="dxa"/>
            <w:tcBorders>
              <w:top w:val="nil"/>
              <w:left w:val="nil"/>
              <w:bottom w:val="single" w:color="auto" w:sz="4" w:space="0"/>
              <w:right w:val="single" w:color="auto" w:sz="4" w:space="0"/>
            </w:tcBorders>
            <w:shd w:val="clear" w:color="auto" w:fill="auto"/>
            <w:noWrap/>
            <w:vAlign w:val="center"/>
          </w:tcPr>
          <w:p>
            <w:pPr>
              <w:pStyle w:val="88"/>
            </w:pPr>
            <w:r>
              <w:rPr>
                <w:rFonts w:hint="eastAsia"/>
              </w:rPr>
              <w:t>字符(20)</w:t>
            </w:r>
          </w:p>
        </w:tc>
        <w:tc>
          <w:tcPr>
            <w:tcW w:w="1842" w:type="dxa"/>
            <w:tcBorders>
              <w:top w:val="nil"/>
              <w:left w:val="nil"/>
              <w:bottom w:val="single" w:color="auto" w:sz="4" w:space="0"/>
              <w:right w:val="single" w:color="auto" w:sz="4" w:space="0"/>
            </w:tcBorders>
            <w:shd w:val="clear" w:color="auto" w:fill="auto"/>
            <w:vAlign w:val="center"/>
          </w:tcPr>
          <w:p>
            <w:pPr>
              <w:pStyle w:val="88"/>
            </w:pPr>
            <w:r>
              <w:rPr>
                <w:rFonts w:hint="eastAsia"/>
              </w:rPr>
              <w:t>　</w:t>
            </w:r>
          </w:p>
        </w:tc>
      </w:tr>
    </w:tbl>
    <w:p>
      <w:pPr>
        <w:pStyle w:val="6"/>
      </w:pPr>
      <w:r>
        <w:rPr>
          <w:rFonts w:hint="eastAsia"/>
        </w:rPr>
        <w:t>失信被执行人主题库</w:t>
      </w:r>
    </w:p>
    <w:p>
      <w:pPr>
        <w:pStyle w:val="7"/>
      </w:pPr>
      <w:r>
        <w:rPr>
          <w:rFonts w:hint="eastAsia"/>
        </w:rPr>
        <w:t>面向主题</w:t>
      </w:r>
    </w:p>
    <w:p>
      <w:r>
        <w:rPr>
          <w:rFonts w:hint="eastAsia"/>
        </w:rPr>
        <w:t>面向主题：通过数据分析能为履行失信人联合惩治的《备忘录》和《办法》提供信息线索和依据，同时为进一步分析失信人的基本特征和投资行为提供数据基础，为我国的信用体系建设提供良好的建议，诚信社会环境的改善做出贡献。基于相关数据，分析失信被执行人的结构特征、分布情况，对失信被执行人的关联企业及人员进行监测，分析其失信的风险程度。</w:t>
      </w:r>
    </w:p>
    <w:p>
      <w:pPr>
        <w:pStyle w:val="7"/>
      </w:pPr>
      <w:r>
        <w:rPr>
          <w:rFonts w:hint="eastAsia"/>
        </w:rPr>
        <w:t>数据源表</w:t>
      </w:r>
    </w:p>
    <w:p>
      <w:r>
        <w:t>数据源表：主体基本信息汇总表、审慎信息库表、注销信息表、吊销信息表、自然投资人详细信息表。</w:t>
      </w:r>
    </w:p>
    <w:p>
      <w:pPr>
        <w:pStyle w:val="7"/>
      </w:pPr>
      <w:r>
        <w:rPr>
          <w:rFonts w:hint="eastAsia"/>
        </w:rPr>
        <w:t>维度</w:t>
      </w:r>
    </w:p>
    <w:p>
      <w:r>
        <w:rPr>
          <w:rFonts w:hint="eastAsia"/>
        </w:rPr>
        <w:t>维度：主体类型、区域、行业、注册规模、登记机关、登记时间、属地监管市场监管所、投资企业主体类型、投资企业区域、投资企业行业、投资企业注册规模、投资企业登记机关、投资企业登记时间、是否有处罚等。</w:t>
      </w:r>
    </w:p>
    <w:p>
      <w:pPr>
        <w:pStyle w:val="7"/>
      </w:pPr>
      <w:r>
        <w:rPr>
          <w:rFonts w:hint="eastAsia"/>
        </w:rPr>
        <w:t>度量值</w:t>
      </w:r>
    </w:p>
    <w:p>
      <w:r>
        <w:rPr>
          <w:rFonts w:hint="eastAsia"/>
        </w:rPr>
        <w:t>度量值：投资次数、投资金额、受处罚次数、涉案金额等。</w:t>
      </w:r>
    </w:p>
    <w:p>
      <w:pPr>
        <w:pStyle w:val="7"/>
      </w:pPr>
      <w:r>
        <w:rPr>
          <w:rFonts w:hint="eastAsia"/>
        </w:rPr>
        <w:t>数据来源</w:t>
      </w:r>
    </w:p>
    <w:p>
      <w:r>
        <w:rPr>
          <w:rFonts w:hint="eastAsia"/>
        </w:rPr>
        <w:t>数据来源：省市场监管局、政务信息共享交换平台。</w:t>
      </w:r>
    </w:p>
    <w:p>
      <w:pPr>
        <w:pStyle w:val="5"/>
      </w:pPr>
      <w:r>
        <w:rPr>
          <w:rFonts w:hint="eastAsia"/>
        </w:rPr>
        <w:t>监管大脑主题</w:t>
      </w:r>
    </w:p>
    <w:p>
      <w:pPr>
        <w:pStyle w:val="6"/>
      </w:pPr>
      <w:bookmarkStart w:id="281" w:name="_Toc81828602"/>
      <w:r>
        <w:rPr>
          <w:rFonts w:hint="eastAsia"/>
        </w:rPr>
        <w:t>首页</w:t>
      </w:r>
      <w:bookmarkEnd w:id="281"/>
    </w:p>
    <w:p>
      <w:r>
        <w:rPr>
          <w:rFonts w:hint="eastAsia"/>
        </w:rPr>
        <w:t>监管大脑首页从市场主体业务办理情况、监督检查情况、投诉举报情况、执法办案情况和监督效能情况出发，展示黑龙江全省及省内各区域的办理数量并进行从高到低的排名；同时，进行相关主题展示。</w:t>
      </w:r>
    </w:p>
    <w:p>
      <w:pPr>
        <w:pStyle w:val="6"/>
      </w:pPr>
      <w:r>
        <w:rPr>
          <w:rFonts w:hint="eastAsia"/>
        </w:rPr>
        <w:t>政务服务</w:t>
      </w:r>
      <w:bookmarkEnd w:id="280"/>
    </w:p>
    <w:p>
      <w:pPr>
        <w:pStyle w:val="7"/>
      </w:pPr>
      <w:r>
        <w:rPr>
          <w:rFonts w:hint="eastAsia"/>
        </w:rPr>
        <w:t>概述</w:t>
      </w:r>
    </w:p>
    <w:p>
      <w:r>
        <w:rPr>
          <w:rFonts w:hint="eastAsia"/>
        </w:rPr>
        <w:t>政务服务以市场监管政务服务整合融合各系统的业务数据为基础进行归集，清洗、整合，并做数据可视化展示。即通过归集全省市场监管政务服务办理的业务数据，可视化展示全局政务服务成果，包括业务的办理情况、业务审批的结果等。</w:t>
      </w:r>
    </w:p>
    <w:p>
      <w:pPr>
        <w:pStyle w:val="7"/>
      </w:pPr>
      <w:r>
        <w:rPr>
          <w:rFonts w:hint="eastAsia"/>
        </w:rPr>
        <w:t>网上企业开办分析5</w:t>
      </w:r>
    </w:p>
    <w:p>
      <w:pPr>
        <w:pStyle w:val="8"/>
      </w:pPr>
      <w:r>
        <w:rPr>
          <w:rFonts w:hint="eastAsia"/>
        </w:rPr>
        <w:t>当年累计</w:t>
      </w:r>
    </w:p>
    <w:p>
      <w:r>
        <w:t>实现当年1月1日至今的累计办理情况分析</w:t>
      </w:r>
      <w:r>
        <w:rPr>
          <w:rFonts w:hint="eastAsia"/>
        </w:rPr>
        <w:t>，</w:t>
      </w:r>
      <w:r>
        <w:t>包括网上申请总量（件）、日均申请量（件）、办结量（件）</w:t>
      </w:r>
      <w:r>
        <w:rPr>
          <w:rFonts w:hint="eastAsia"/>
        </w:rPr>
        <w:t>。</w:t>
      </w:r>
    </w:p>
    <w:p>
      <w:pPr>
        <w:pStyle w:val="8"/>
      </w:pPr>
      <w:r>
        <w:t>近一年业务办理情况分析</w:t>
      </w:r>
    </w:p>
    <w:p>
      <w:r>
        <w:t>实现近一年来业务办理情况的分析</w:t>
      </w:r>
      <w:r>
        <w:rPr>
          <w:rFonts w:hint="eastAsia"/>
        </w:rPr>
        <w:t>，</w:t>
      </w:r>
      <w:r>
        <w:t>用柱状图展示近一年来业务办理情况（户），用折线图展示近一年来网上业务占比情况（%）</w:t>
      </w:r>
      <w:r>
        <w:rPr>
          <w:rFonts w:hint="eastAsia"/>
        </w:rPr>
        <w:t>。</w:t>
      </w:r>
    </w:p>
    <w:p>
      <w:pPr>
        <w:pStyle w:val="8"/>
      </w:pPr>
      <w:r>
        <w:t>近一年来各地区业务办理情况</w:t>
      </w:r>
    </w:p>
    <w:p>
      <w:r>
        <w:t>实现近一年来各地区业务办理情况的分析</w:t>
      </w:r>
      <w:r>
        <w:rPr>
          <w:rFonts w:hint="eastAsia"/>
        </w:rPr>
        <w:t>，</w:t>
      </w:r>
      <w:r>
        <w:t>用柱状图展示近一年来各地区业务办理情况（户），用折线图展示各地区网上业务占比情况（%</w:t>
      </w:r>
      <w:r>
        <w:rPr>
          <w:rFonts w:hint="eastAsia"/>
        </w:rPr>
        <w:t>。</w:t>
      </w:r>
    </w:p>
    <w:p>
      <w:pPr>
        <w:pStyle w:val="8"/>
      </w:pPr>
      <w:r>
        <w:t>业务类型办理情况</w:t>
      </w:r>
    </w:p>
    <w:p>
      <w:r>
        <w:rPr>
          <w:rFonts w:hint="eastAsia"/>
        </w:rPr>
        <w:t>实现</w:t>
      </w:r>
      <w:r>
        <w:t>各业务类型办理情况的分析</w:t>
      </w:r>
      <w:r>
        <w:rPr>
          <w:rFonts w:hint="eastAsia"/>
        </w:rPr>
        <w:t>，</w:t>
      </w:r>
      <w:r>
        <w:t>用柱状图展示注销登记、变更登记、设立登记、名称登记的办结量（件），用折线图展示网上办理占比情况（%）</w:t>
      </w:r>
      <w:r>
        <w:rPr>
          <w:rFonts w:hint="eastAsia"/>
        </w:rPr>
        <w:t>。</w:t>
      </w:r>
    </w:p>
    <w:p>
      <w:pPr>
        <w:pStyle w:val="8"/>
      </w:pPr>
      <w:r>
        <w:rPr>
          <w:rFonts w:hint="eastAsia"/>
        </w:rPr>
        <w:t>主体类型业务办理情况</w:t>
      </w:r>
    </w:p>
    <w:p>
      <w:r>
        <w:rPr>
          <w:rFonts w:hint="eastAsia"/>
        </w:rPr>
        <w:t>实现各主体类型业务办理情况的分析，用柱状图展示农业专业合作社、个体工商户、私营企业、外资企业、内资企业的办结量（件），用折线图展示网上办理占比情况（</w:t>
      </w:r>
      <w:r>
        <w:t>%）。</w:t>
      </w:r>
    </w:p>
    <w:p>
      <w:pPr>
        <w:pStyle w:val="7"/>
      </w:pPr>
      <w:r>
        <w:rPr>
          <w:rFonts w:hint="eastAsia"/>
        </w:rPr>
        <w:t>一网通办分析</w:t>
      </w:r>
    </w:p>
    <w:p>
      <w:pPr>
        <w:pStyle w:val="8"/>
      </w:pPr>
      <w:r>
        <w:rPr>
          <w:rFonts w:hint="eastAsia"/>
        </w:rPr>
        <w:t>总体情况</w:t>
      </w:r>
    </w:p>
    <w:p>
      <w:r>
        <w:t>展示企业开办（全程网上办）总体概要</w:t>
      </w:r>
      <w:r>
        <w:rPr>
          <w:rFonts w:hint="eastAsia"/>
        </w:rPr>
        <w:t>，</w:t>
      </w:r>
      <w:r>
        <w:t>用文字描述“我省xx年xx月xx日”，上线“企业开办”全程网上办（一网通办）系统，上线以来，“企业开办”为XX小时/户，较上线前的用时XX小时/户相比，平均每户缩短了XX小时”</w:t>
      </w:r>
      <w:r>
        <w:rPr>
          <w:rFonts w:hint="eastAsia"/>
        </w:rPr>
        <w:t>。</w:t>
      </w:r>
    </w:p>
    <w:p>
      <w:pPr>
        <w:pStyle w:val="8"/>
      </w:pPr>
      <w:r>
        <w:t>本月和累计</w:t>
      </w:r>
    </w:p>
    <w:p>
      <w:r>
        <w:rPr>
          <w:rFonts w:hint="eastAsia"/>
        </w:rPr>
        <w:t>实现</w:t>
      </w:r>
      <w:r>
        <w:t>本月和累计申请、办理情况、平均办理时长、最短办理时长的分析</w:t>
      </w:r>
      <w:r>
        <w:rPr>
          <w:rFonts w:hint="eastAsia"/>
        </w:rPr>
        <w:t>，</w:t>
      </w:r>
      <w:r>
        <w:t>用数字展示本月和累计申请量（件），本月和累计办结量（件），本月和累计平均办理时长（h），本月和历史最短办理时长（h）</w:t>
      </w:r>
      <w:r>
        <w:rPr>
          <w:rFonts w:hint="eastAsia"/>
        </w:rPr>
        <w:t>。</w:t>
      </w:r>
    </w:p>
    <w:p>
      <w:pPr>
        <w:pStyle w:val="8"/>
      </w:pPr>
      <w:r>
        <w:t>业务类型办件情况</w:t>
      </w:r>
    </w:p>
    <w:p>
      <w:r>
        <w:rPr>
          <w:rFonts w:hint="eastAsia"/>
        </w:rPr>
        <w:t>实现</w:t>
      </w:r>
      <w:r>
        <w:t>各业务类型办件情况的分析</w:t>
      </w:r>
      <w:r>
        <w:rPr>
          <w:rFonts w:hint="eastAsia"/>
        </w:rPr>
        <w:t>，</w:t>
      </w:r>
      <w:r>
        <w:t>用二维表的形式展示业务类型、申请量、办结率和平均办理时长，给出各总计情况</w:t>
      </w:r>
      <w:r>
        <w:rPr>
          <w:rFonts w:hint="eastAsia"/>
        </w:rPr>
        <w:t>。</w:t>
      </w:r>
    </w:p>
    <w:p>
      <w:pPr>
        <w:pStyle w:val="8"/>
      </w:pPr>
      <w:r>
        <w:rPr>
          <w:rFonts w:hint="eastAsia"/>
        </w:rPr>
        <w:t>地图展示</w:t>
      </w:r>
    </w:p>
    <w:p>
      <w:r>
        <w:rPr>
          <w:rFonts w:hint="eastAsia"/>
        </w:rPr>
        <w:t>实现</w:t>
      </w:r>
      <w:r>
        <w:t>地图分析展示</w:t>
      </w:r>
      <w:r>
        <w:rPr>
          <w:rFonts w:hint="eastAsia"/>
        </w:rPr>
        <w:t>，</w:t>
      </w:r>
      <w:r>
        <w:t>用个地图颜色的深浅展示各地市平均办理时长情况</w:t>
      </w:r>
      <w:r>
        <w:rPr>
          <w:rFonts w:hint="eastAsia"/>
        </w:rPr>
        <w:t>。</w:t>
      </w:r>
    </w:p>
    <w:p>
      <w:pPr>
        <w:pStyle w:val="8"/>
      </w:pPr>
      <w:r>
        <w:rPr>
          <w:rFonts w:hint="eastAsia"/>
        </w:rPr>
        <w:t>分地区分析</w:t>
      </w:r>
    </w:p>
    <w:p>
      <w:r>
        <w:rPr>
          <w:rFonts w:hint="eastAsia"/>
        </w:rPr>
        <w:t>实现</w:t>
      </w:r>
      <w:r>
        <w:t>各地区情况分析</w:t>
      </w:r>
      <w:r>
        <w:rPr>
          <w:rFonts w:hint="eastAsia"/>
        </w:rPr>
        <w:t>，</w:t>
      </w:r>
      <w:r>
        <w:t>用二维图表展示各地区平均办理时长和排名情况。</w:t>
      </w:r>
    </w:p>
    <w:p>
      <w:pPr>
        <w:pStyle w:val="7"/>
      </w:pPr>
      <w:r>
        <w:rPr>
          <w:rFonts w:hint="eastAsia"/>
        </w:rPr>
        <w:t>变更登记</w:t>
      </w:r>
    </w:p>
    <w:p>
      <w:pPr>
        <w:pStyle w:val="8"/>
      </w:pPr>
      <w:r>
        <w:t>近一年变更趋势分析</w:t>
      </w:r>
    </w:p>
    <w:p>
      <w:r>
        <w:rPr>
          <w:rFonts w:hint="eastAsia"/>
        </w:rPr>
        <w:t>实现</w:t>
      </w:r>
      <w:r>
        <w:t>近一年来变更登记主体数量（户）趋势分析</w:t>
      </w:r>
      <w:r>
        <w:rPr>
          <w:rFonts w:hint="eastAsia"/>
        </w:rPr>
        <w:t>，</w:t>
      </w:r>
      <w:r>
        <w:t>用折线图展示近一年来变更登记主体数量（户）趋势</w:t>
      </w:r>
      <w:r>
        <w:rPr>
          <w:rFonts w:hint="eastAsia"/>
        </w:rPr>
        <w:t>。</w:t>
      </w:r>
    </w:p>
    <w:p>
      <w:pPr>
        <w:pStyle w:val="8"/>
      </w:pPr>
      <w:r>
        <w:t>变更登记主体类型分析</w:t>
      </w:r>
    </w:p>
    <w:p>
      <w:r>
        <w:rPr>
          <w:rFonts w:hint="eastAsia"/>
        </w:rPr>
        <w:t>实现</w:t>
      </w:r>
      <w:r>
        <w:t>全区变更登记主体类型分析</w:t>
      </w:r>
      <w:r>
        <w:rPr>
          <w:rFonts w:hint="eastAsia"/>
        </w:rPr>
        <w:t>，</w:t>
      </w:r>
      <w:r>
        <w:t>用饼状图展示全区内资、外资、私营、农专、个体变更登记占比情况（百分比）</w:t>
      </w:r>
      <w:r>
        <w:rPr>
          <w:rFonts w:hint="eastAsia"/>
        </w:rPr>
        <w:t>。</w:t>
      </w:r>
    </w:p>
    <w:p>
      <w:pPr>
        <w:pStyle w:val="8"/>
      </w:pPr>
      <w:r>
        <w:t>各地区变更登记情况</w:t>
      </w:r>
    </w:p>
    <w:p>
      <w:r>
        <w:rPr>
          <w:rFonts w:hint="eastAsia"/>
        </w:rPr>
        <w:t>实现</w:t>
      </w:r>
      <w:r>
        <w:t>全省各地区变更登记情况分析</w:t>
      </w:r>
      <w:r>
        <w:rPr>
          <w:rFonts w:hint="eastAsia"/>
        </w:rPr>
        <w:t>，</w:t>
      </w:r>
      <w:r>
        <w:t>用地图联动展示全省各地区变更登记数量（户）和同比情况（%）、变更登记次数和同比情况（%）</w:t>
      </w:r>
      <w:r>
        <w:rPr>
          <w:rFonts w:hint="eastAsia"/>
        </w:rPr>
        <w:t>。</w:t>
      </w:r>
    </w:p>
    <w:p>
      <w:pPr>
        <w:pStyle w:val="8"/>
      </w:pPr>
      <w:r>
        <w:t>变更登记事项分析</w:t>
      </w:r>
    </w:p>
    <w:p>
      <w:r>
        <w:rPr>
          <w:rFonts w:hint="eastAsia"/>
        </w:rPr>
        <w:t>实现</w:t>
      </w:r>
      <w:r>
        <w:t>各类变更登记事项分析</w:t>
      </w:r>
      <w:r>
        <w:rPr>
          <w:rFonts w:hint="eastAsia"/>
        </w:rPr>
        <w:t>，</w:t>
      </w:r>
      <w:r>
        <w:t>按事项类型展示变更登记数量（户）和变更登记次数分布情况</w:t>
      </w:r>
      <w:r>
        <w:rPr>
          <w:rFonts w:hint="eastAsia"/>
        </w:rPr>
        <w:t>。</w:t>
      </w:r>
    </w:p>
    <w:p>
      <w:pPr>
        <w:pStyle w:val="8"/>
      </w:pPr>
      <w:r>
        <w:t>变更登记TOP10</w:t>
      </w:r>
    </w:p>
    <w:p>
      <w:r>
        <w:rPr>
          <w:rFonts w:hint="eastAsia"/>
        </w:rPr>
        <w:t>实现</w:t>
      </w:r>
      <w:r>
        <w:t>企业变更登记次数TOP10</w:t>
      </w:r>
      <w:r>
        <w:rPr>
          <w:rFonts w:hint="eastAsia"/>
        </w:rPr>
        <w:t>，</w:t>
      </w:r>
      <w:r>
        <w:t>从高到低进行排序展示本省企业变更登记次数（次）。</w:t>
      </w:r>
    </w:p>
    <w:p>
      <w:pPr>
        <w:pStyle w:val="7"/>
      </w:pPr>
      <w:r>
        <w:rPr>
          <w:rFonts w:hint="eastAsia"/>
        </w:rPr>
        <w:t>食品生产经营许可分析</w:t>
      </w:r>
    </w:p>
    <w:p>
      <w:pPr>
        <w:pStyle w:val="8"/>
      </w:pPr>
      <w:r>
        <w:t>食品许可整体概况</w:t>
      </w:r>
    </w:p>
    <w:p>
      <w:r>
        <w:rPr>
          <w:rFonts w:hint="eastAsia"/>
        </w:rPr>
        <w:t>实现</w:t>
      </w:r>
      <w:r>
        <w:t>食品许可整体概况分析</w:t>
      </w:r>
      <w:r>
        <w:rPr>
          <w:rFonts w:hint="eastAsia"/>
        </w:rPr>
        <w:t>，</w:t>
      </w:r>
      <w:r>
        <w:t>用二维图表展示期末有效、本年新增、本年注销的许可证数量（张）和同比增长情况（%）</w:t>
      </w:r>
      <w:r>
        <w:rPr>
          <w:rFonts w:hint="eastAsia"/>
        </w:rPr>
        <w:t>。</w:t>
      </w:r>
    </w:p>
    <w:p>
      <w:pPr>
        <w:pStyle w:val="8"/>
      </w:pPr>
      <w:r>
        <w:t>食品经营主体业态</w:t>
      </w:r>
    </w:p>
    <w:p>
      <w:r>
        <w:rPr>
          <w:rFonts w:hint="eastAsia"/>
        </w:rPr>
        <w:t>实现</w:t>
      </w:r>
      <w:r>
        <w:t>食品经营主体业态许可证情况分析</w:t>
      </w:r>
      <w:r>
        <w:rPr>
          <w:rFonts w:hint="eastAsia"/>
        </w:rPr>
        <w:t>，</w:t>
      </w:r>
      <w:r>
        <w:t>用仪表盘展示食品销售经营者、餐饮服务经营者、单位食堂的许可证数量（张）、占比情况（%）和同比增长情况（%）</w:t>
      </w:r>
      <w:r>
        <w:rPr>
          <w:rFonts w:hint="eastAsia"/>
        </w:rPr>
        <w:t>。</w:t>
      </w:r>
    </w:p>
    <w:p>
      <w:pPr>
        <w:pStyle w:val="8"/>
      </w:pPr>
      <w:r>
        <w:t>食品经营项目类型</w:t>
      </w:r>
      <w:r>
        <w:rPr>
          <w:rFonts w:hint="eastAsia"/>
        </w:rPr>
        <w:t>分析</w:t>
      </w:r>
    </w:p>
    <w:p>
      <w:r>
        <w:rPr>
          <w:rFonts w:hint="eastAsia"/>
        </w:rPr>
        <w:t>实现</w:t>
      </w:r>
      <w:r>
        <w:t>食品经营项目类型许可证情况分析</w:t>
      </w:r>
      <w:r>
        <w:rPr>
          <w:rFonts w:hint="eastAsia"/>
        </w:rPr>
        <w:t>，</w:t>
      </w:r>
      <w:r>
        <w:t>用柱状图表示预包装食品销售、热食类食品销售等食品经营项目类型的许可证情况</w:t>
      </w:r>
      <w:r>
        <w:rPr>
          <w:rFonts w:hint="eastAsia"/>
        </w:rPr>
        <w:t>。</w:t>
      </w:r>
    </w:p>
    <w:p>
      <w:pPr>
        <w:pStyle w:val="8"/>
      </w:pPr>
      <w:r>
        <w:rPr>
          <w:rFonts w:hint="eastAsia"/>
        </w:rPr>
        <w:t>分地区</w:t>
      </w:r>
      <w:r>
        <w:t>食品生产经营</w:t>
      </w:r>
    </w:p>
    <w:p>
      <w:r>
        <w:rPr>
          <w:rFonts w:hint="eastAsia"/>
        </w:rPr>
        <w:t>实现</w:t>
      </w:r>
      <w:r>
        <w:t>全省各地区食品生产经营许可情况分析</w:t>
      </w:r>
      <w:r>
        <w:rPr>
          <w:rFonts w:hint="eastAsia"/>
        </w:rPr>
        <w:t>，</w:t>
      </w:r>
      <w:r>
        <w:t>用地图联动展示全省各地区食品生产经营许可数量（张）、食品生产企业数量（户）、食品经营流通企业数量情况（户）</w:t>
      </w:r>
      <w:r>
        <w:rPr>
          <w:rFonts w:hint="eastAsia"/>
        </w:rPr>
        <w:t>。</w:t>
      </w:r>
    </w:p>
    <w:p>
      <w:pPr>
        <w:pStyle w:val="8"/>
      </w:pPr>
      <w:r>
        <w:t>近12个月食品监管</w:t>
      </w:r>
    </w:p>
    <w:p>
      <w:r>
        <w:rPr>
          <w:rFonts w:hint="eastAsia"/>
        </w:rPr>
        <w:t>实现</w:t>
      </w:r>
      <w:r>
        <w:t>近12个月食品监管情况分析</w:t>
      </w:r>
      <w:r>
        <w:rPr>
          <w:rFonts w:hint="eastAsia"/>
        </w:rPr>
        <w:t>，</w:t>
      </w:r>
      <w:r>
        <w:t>用柱状图展示近12个月食品获证企业数量（户）和同比增幅情况（%）</w:t>
      </w:r>
      <w:r>
        <w:rPr>
          <w:rFonts w:hint="eastAsia"/>
        </w:rPr>
        <w:t>。</w:t>
      </w:r>
    </w:p>
    <w:p>
      <w:pPr>
        <w:pStyle w:val="8"/>
      </w:pPr>
      <w:r>
        <w:t>食品生产经营</w:t>
      </w:r>
      <w:r>
        <w:rPr>
          <w:rFonts w:hint="eastAsia"/>
        </w:rPr>
        <w:t>整体概况</w:t>
      </w:r>
    </w:p>
    <w:p>
      <w:r>
        <w:rPr>
          <w:rFonts w:hint="eastAsia"/>
        </w:rPr>
        <w:t>实现</w:t>
      </w:r>
      <w:r>
        <w:t>食品生产经营单位整体概况分析</w:t>
      </w:r>
      <w:r>
        <w:rPr>
          <w:rFonts w:hint="eastAsia"/>
        </w:rPr>
        <w:t>，</w:t>
      </w:r>
      <w:r>
        <w:t>用二维图表展示期末有效、本年新增、本年注销的许可证数量（户）和同比增长情况（%）</w:t>
      </w:r>
      <w:r>
        <w:rPr>
          <w:rFonts w:hint="eastAsia"/>
        </w:rPr>
        <w:t>。</w:t>
      </w:r>
    </w:p>
    <w:p>
      <w:pPr>
        <w:pStyle w:val="8"/>
      </w:pPr>
      <w:r>
        <w:t>食品主体类型分布</w:t>
      </w:r>
    </w:p>
    <w:p>
      <w:r>
        <w:rPr>
          <w:rFonts w:hint="eastAsia"/>
        </w:rPr>
        <w:t>实现</w:t>
      </w:r>
      <w:r>
        <w:t>食品主体类型分布分析</w:t>
      </w:r>
      <w:r>
        <w:rPr>
          <w:rFonts w:hint="eastAsia"/>
        </w:rPr>
        <w:t>，</w:t>
      </w:r>
      <w:r>
        <w:t>用环状图展示企业、个体户、其他企业类型各自数量（户）；用饼状图展示食品经营（餐饮服务类）、食品经营（销售类）、食品生产的各自数量（户）</w:t>
      </w:r>
      <w:r>
        <w:rPr>
          <w:rFonts w:hint="eastAsia"/>
        </w:rPr>
        <w:t>。</w:t>
      </w:r>
    </w:p>
    <w:p>
      <w:pPr>
        <w:pStyle w:val="8"/>
      </w:pPr>
      <w:r>
        <w:t>食品主体区域分布</w:t>
      </w:r>
    </w:p>
    <w:p>
      <w:r>
        <w:rPr>
          <w:rFonts w:hint="eastAsia"/>
        </w:rPr>
        <w:t>实现</w:t>
      </w:r>
      <w:r>
        <w:t>食品主体区域分布分析</w:t>
      </w:r>
      <w:r>
        <w:rPr>
          <w:rFonts w:hint="eastAsia"/>
        </w:rPr>
        <w:t>，</w:t>
      </w:r>
      <w:r>
        <w:t>用柱状图展示全省各地区食品生产企业、食品经营企业数量。</w:t>
      </w:r>
    </w:p>
    <w:p>
      <w:pPr>
        <w:pStyle w:val="7"/>
      </w:pPr>
      <w:r>
        <w:rPr>
          <w:rFonts w:hint="eastAsia"/>
        </w:rPr>
        <w:t>特种设备行政许可总体概览</w:t>
      </w:r>
    </w:p>
    <w:p>
      <w:pPr>
        <w:pStyle w:val="8"/>
      </w:pPr>
      <w:r>
        <w:rPr>
          <w:rFonts w:hint="eastAsia"/>
        </w:rPr>
        <w:t>分类</w:t>
      </w:r>
      <w:r>
        <w:t>特种设备生产</w:t>
      </w:r>
      <w:r>
        <w:rPr>
          <w:rFonts w:hint="eastAsia"/>
        </w:rPr>
        <w:t>情况</w:t>
      </w:r>
    </w:p>
    <w:p>
      <w:r>
        <w:rPr>
          <w:rFonts w:hint="eastAsia"/>
        </w:rPr>
        <w:t>实现</w:t>
      </w:r>
      <w:r>
        <w:t>各类型特种设备生产许可情况分析</w:t>
      </w:r>
      <w:r>
        <w:rPr>
          <w:rFonts w:hint="eastAsia"/>
        </w:rPr>
        <w:t>，</w:t>
      </w:r>
      <w:r>
        <w:t>从高到低排序展示八大类特种设备生产许可数量（张）</w:t>
      </w:r>
      <w:r>
        <w:rPr>
          <w:rFonts w:hint="eastAsia"/>
        </w:rPr>
        <w:t>。</w:t>
      </w:r>
    </w:p>
    <w:p>
      <w:pPr>
        <w:pStyle w:val="8"/>
      </w:pPr>
      <w:r>
        <w:t>特种设备生产</w:t>
      </w:r>
      <w:r>
        <w:rPr>
          <w:rFonts w:hint="eastAsia"/>
        </w:rPr>
        <w:t>情况</w:t>
      </w:r>
    </w:p>
    <w:p>
      <w:r>
        <w:rPr>
          <w:rFonts w:hint="eastAsia"/>
        </w:rPr>
        <w:t>实现</w:t>
      </w:r>
      <w:r>
        <w:t>特种设备生产许可情况分析</w:t>
      </w:r>
      <w:r>
        <w:rPr>
          <w:rFonts w:hint="eastAsia"/>
        </w:rPr>
        <w:t>，</w:t>
      </w:r>
      <w:r>
        <w:t>以饼图的方式展示特种设备生产许可证、移动式压力容器充装许可证、气瓶充装许可证、特种设备检验检测核准证的各自数量情况（张）</w:t>
      </w:r>
      <w:r>
        <w:rPr>
          <w:rFonts w:hint="eastAsia"/>
        </w:rPr>
        <w:t>。</w:t>
      </w:r>
    </w:p>
    <w:p>
      <w:pPr>
        <w:pStyle w:val="8"/>
      </w:pPr>
      <w:r>
        <w:t>全省情况</w:t>
      </w:r>
      <w:r>
        <w:rPr>
          <w:rFonts w:hint="eastAsia"/>
        </w:rPr>
        <w:t>分析</w:t>
      </w:r>
    </w:p>
    <w:p>
      <w:r>
        <w:rPr>
          <w:rFonts w:hint="eastAsia"/>
        </w:rPr>
        <w:t>实现</w:t>
      </w:r>
      <w:r>
        <w:t>全省各地情况分析</w:t>
      </w:r>
      <w:r>
        <w:rPr>
          <w:rFonts w:hint="eastAsia"/>
        </w:rPr>
        <w:t>，</w:t>
      </w:r>
      <w:r>
        <w:t>用地图的方式展示全省各地特种设备生产许可证数量（张）、使用登记数量（万台），单位数（万户）和作业人员数量（万人）</w:t>
      </w:r>
      <w:r>
        <w:rPr>
          <w:rFonts w:hint="eastAsia"/>
        </w:rPr>
        <w:t>。</w:t>
      </w:r>
    </w:p>
    <w:p>
      <w:pPr>
        <w:pStyle w:val="8"/>
      </w:pPr>
      <w:r>
        <w:t>特种设备使用</w:t>
      </w:r>
      <w:r>
        <w:rPr>
          <w:rFonts w:hint="eastAsia"/>
        </w:rPr>
        <w:t>情况</w:t>
      </w:r>
    </w:p>
    <w:p>
      <w:r>
        <w:rPr>
          <w:rFonts w:hint="eastAsia"/>
        </w:rPr>
        <w:t>实现</w:t>
      </w:r>
      <w:r>
        <w:t>各类型特种设备使用登记情况分析</w:t>
      </w:r>
      <w:r>
        <w:rPr>
          <w:rFonts w:hint="eastAsia"/>
        </w:rPr>
        <w:t>，</w:t>
      </w:r>
      <w:r>
        <w:t>从高到低排序展示八大类特种设备使用登记数量（万台）</w:t>
      </w:r>
      <w:r>
        <w:rPr>
          <w:rFonts w:hint="eastAsia"/>
        </w:rPr>
        <w:t>。</w:t>
      </w:r>
    </w:p>
    <w:p>
      <w:pPr>
        <w:pStyle w:val="8"/>
      </w:pPr>
      <w:r>
        <w:t>特种设备检验检测</w:t>
      </w:r>
      <w:r>
        <w:rPr>
          <w:rFonts w:hint="eastAsia"/>
        </w:rPr>
        <w:t>分析</w:t>
      </w:r>
    </w:p>
    <w:p>
      <w:r>
        <w:rPr>
          <w:rFonts w:hint="eastAsia"/>
        </w:rPr>
        <w:t>实现</w:t>
      </w:r>
      <w:r>
        <w:t>特种设备检验检测机构核准情况分析</w:t>
      </w:r>
      <w:r>
        <w:rPr>
          <w:rFonts w:hint="eastAsia"/>
        </w:rPr>
        <w:t>，</w:t>
      </w:r>
      <w:r>
        <w:t>按照综合检验检测机构核准、无损检验检测机构核准、型式试验检验检测机构核准、气瓶检验检测机构核准展示各自数量（户）</w:t>
      </w:r>
      <w:r>
        <w:rPr>
          <w:rFonts w:hint="eastAsia"/>
        </w:rPr>
        <w:t>。</w:t>
      </w:r>
    </w:p>
    <w:p>
      <w:pPr>
        <w:pStyle w:val="8"/>
      </w:pPr>
      <w:r>
        <w:rPr>
          <w:rFonts w:hint="eastAsia"/>
        </w:rPr>
        <w:t>验检检测人员和作业人员分析</w:t>
      </w:r>
    </w:p>
    <w:p>
      <w:r>
        <w:rPr>
          <w:rFonts w:hint="eastAsia"/>
        </w:rPr>
        <w:t>实现特种设备检验检测人员和作业人员情况分析，以环状图的形式展示作业人员、焊接操作人员、无损检验人员、检验人员的各自人数情况（万人）。</w:t>
      </w:r>
    </w:p>
    <w:p>
      <w:pPr>
        <w:pStyle w:val="7"/>
      </w:pPr>
      <w:r>
        <w:rPr>
          <w:rFonts w:hint="eastAsia"/>
        </w:rPr>
        <w:t>工业产品生产企业发展概况</w:t>
      </w:r>
    </w:p>
    <w:p>
      <w:pPr>
        <w:pStyle w:val="8"/>
      </w:pPr>
      <w:r>
        <w:t>工业产品生产企业</w:t>
      </w:r>
    </w:p>
    <w:p>
      <w:r>
        <w:rPr>
          <w:rFonts w:hint="eastAsia"/>
        </w:rPr>
        <w:t>实现</w:t>
      </w:r>
      <w:r>
        <w:t>工业产品生产企业发展情况分析</w:t>
      </w:r>
      <w:r>
        <w:rPr>
          <w:rFonts w:hint="eastAsia"/>
        </w:rPr>
        <w:t>，</w:t>
      </w:r>
      <w:r>
        <w:t>以数字形式展示黑龙江省工业产品生产企业总数量（户）、今日新增数量（户）、工业产品生产许可证数量（张）、今日新增许可证数量（张）、企业平均生存年限（年）。</w:t>
      </w:r>
    </w:p>
    <w:p>
      <w:pPr>
        <w:pStyle w:val="8"/>
      </w:pPr>
      <w:r>
        <w:t>企业总资产规模</w:t>
      </w:r>
    </w:p>
    <w:p>
      <w:r>
        <w:rPr>
          <w:rFonts w:hint="eastAsia"/>
        </w:rPr>
        <w:t>实现</w:t>
      </w:r>
      <w:r>
        <w:t>工业产品企业总资产规模分布分析</w:t>
      </w:r>
      <w:r>
        <w:rPr>
          <w:rFonts w:hint="eastAsia"/>
        </w:rPr>
        <w:t>，</w:t>
      </w:r>
      <w:r>
        <w:t>以饼状图的形式展示总资产规模在1-100万、100-500万、500-1000万、1000-1500万、1500万以上区间的工业产品企业占比情况</w:t>
      </w:r>
      <w:r>
        <w:rPr>
          <w:rFonts w:hint="eastAsia"/>
        </w:rPr>
        <w:t>。</w:t>
      </w:r>
    </w:p>
    <w:p>
      <w:pPr>
        <w:pStyle w:val="8"/>
      </w:pPr>
      <w:r>
        <w:t>从业人数</w:t>
      </w:r>
      <w:r>
        <w:rPr>
          <w:rFonts w:hint="eastAsia"/>
        </w:rPr>
        <w:t>分布</w:t>
      </w:r>
    </w:p>
    <w:p>
      <w:r>
        <w:rPr>
          <w:rFonts w:hint="eastAsia"/>
        </w:rPr>
        <w:t>实现</w:t>
      </w:r>
      <w:r>
        <w:t>按工业产品企业从业人数的企业数量（户）分布</w:t>
      </w:r>
      <w:r>
        <w:rPr>
          <w:rFonts w:hint="eastAsia"/>
        </w:rPr>
        <w:t>，</w:t>
      </w:r>
      <w:r>
        <w:t>以柱状图形式展示100人以下、100-300人、300-500人、500-1000人、1000人以上的企业数量（户）</w:t>
      </w:r>
      <w:r>
        <w:rPr>
          <w:rFonts w:hint="eastAsia"/>
        </w:rPr>
        <w:t>。</w:t>
      </w:r>
    </w:p>
    <w:p>
      <w:pPr>
        <w:pStyle w:val="8"/>
      </w:pPr>
      <w:r>
        <w:t>工业产品企业趋势分析</w:t>
      </w:r>
    </w:p>
    <w:p>
      <w:r>
        <w:rPr>
          <w:rFonts w:hint="eastAsia"/>
        </w:rPr>
        <w:t>实现</w:t>
      </w:r>
      <w:r>
        <w:t>近五年工业产品企业趋势分析</w:t>
      </w:r>
      <w:r>
        <w:rPr>
          <w:rFonts w:hint="eastAsia"/>
        </w:rPr>
        <w:t>，</w:t>
      </w:r>
      <w:r>
        <w:t>以柱状图形式展示近五年工业产品企业数量（户），以折线图形式展现同比情况（%）</w:t>
      </w:r>
      <w:r>
        <w:rPr>
          <w:rFonts w:hint="eastAsia"/>
        </w:rPr>
        <w:t>。</w:t>
      </w:r>
    </w:p>
    <w:p>
      <w:pPr>
        <w:pStyle w:val="8"/>
      </w:pPr>
      <w:r>
        <w:t>地市工业产品企业趋势分析</w:t>
      </w:r>
    </w:p>
    <w:p>
      <w:r>
        <w:rPr>
          <w:rFonts w:hint="eastAsia"/>
        </w:rPr>
        <w:t>实现对</w:t>
      </w:r>
      <w:r>
        <w:t>各地市工业产品企业趋势分析</w:t>
      </w:r>
      <w:r>
        <w:rPr>
          <w:rFonts w:hint="eastAsia"/>
        </w:rPr>
        <w:t>，</w:t>
      </w:r>
      <w:r>
        <w:t>以柱状图形式展现黑龙江全省各地市工业产品企业数量（户），以折线图形式展现同比增长情况（%）</w:t>
      </w:r>
      <w:r>
        <w:rPr>
          <w:rFonts w:hint="eastAsia"/>
        </w:rPr>
        <w:t>。</w:t>
      </w:r>
    </w:p>
    <w:p>
      <w:pPr>
        <w:pStyle w:val="8"/>
      </w:pPr>
      <w:r>
        <w:t>工业产品生产许可证分析</w:t>
      </w:r>
    </w:p>
    <w:p>
      <w:r>
        <w:rPr>
          <w:rFonts w:hint="eastAsia"/>
        </w:rPr>
        <w:t>实现</w:t>
      </w:r>
      <w:r>
        <w:t>近五年工业产品生产许可证企业数量分析</w:t>
      </w:r>
      <w:r>
        <w:rPr>
          <w:rFonts w:hint="eastAsia"/>
        </w:rPr>
        <w:t>，</w:t>
      </w:r>
      <w:r>
        <w:t>以折线图形式展现近五年来工业产品生产许可证企业数量变化趋势（户）</w:t>
      </w:r>
      <w:r>
        <w:rPr>
          <w:rFonts w:hint="eastAsia"/>
        </w:rPr>
        <w:t>。</w:t>
      </w:r>
    </w:p>
    <w:p>
      <w:pPr>
        <w:pStyle w:val="8"/>
      </w:pPr>
      <w:r>
        <w:t>企业数量TOP5</w:t>
      </w:r>
    </w:p>
    <w:p>
      <w:r>
        <w:rPr>
          <w:rFonts w:hint="eastAsia"/>
        </w:rPr>
        <w:t>实现</w:t>
      </w:r>
      <w:r>
        <w:t>工业产品生产企业数量TOP5分析</w:t>
      </w:r>
      <w:r>
        <w:rPr>
          <w:rFonts w:hint="eastAsia"/>
        </w:rPr>
        <w:t>，</w:t>
      </w:r>
      <w:r>
        <w:t>以柱状图形式展现行业总数量排名前五的行业和各自数量（户）。</w:t>
      </w:r>
    </w:p>
    <w:p>
      <w:pPr>
        <w:pStyle w:val="6"/>
      </w:pPr>
      <w:bookmarkStart w:id="282" w:name="_Toc81828604"/>
      <w:r>
        <w:rPr>
          <w:rFonts w:hint="eastAsia"/>
        </w:rPr>
        <w:t>创新发展</w:t>
      </w:r>
      <w:bookmarkEnd w:id="282"/>
    </w:p>
    <w:p>
      <w:pPr>
        <w:pStyle w:val="7"/>
      </w:pPr>
      <w:r>
        <w:rPr>
          <w:rFonts w:hint="eastAsia"/>
        </w:rPr>
        <w:t>概述</w:t>
      </w:r>
    </w:p>
    <w:p>
      <w:r>
        <w:rPr>
          <w:rFonts w:hint="eastAsia"/>
        </w:rPr>
        <w:t>围绕建设“有效市场”目标，从市场机制的资源配置效率出发，落实质量强国、质量强省战略，通过创新发展主题，为市场体系的高标准发展提供支撑。从计量、标准、检验检测和认证认可等方面，展示强制检定计量器具监管、标准改革创新、认证认可检验检测服务发展、以及产品质量和服务监管情况。</w:t>
      </w:r>
    </w:p>
    <w:p>
      <w:pPr>
        <w:pStyle w:val="7"/>
      </w:pPr>
      <w:r>
        <w:rPr>
          <w:rFonts w:hint="eastAsia"/>
        </w:rPr>
        <w:t>高质量发展宏观分析</w:t>
      </w:r>
    </w:p>
    <w:p>
      <w:pPr>
        <w:pStyle w:val="8"/>
      </w:pPr>
      <w:r>
        <w:t>发展概况分析</w:t>
      </w:r>
    </w:p>
    <w:p>
      <w:r>
        <w:rPr>
          <w:rFonts w:hint="eastAsia"/>
        </w:rPr>
        <w:t>实现</w:t>
      </w:r>
      <w:r>
        <w:t>高质量发展概况分析</w:t>
      </w:r>
      <w:r>
        <w:rPr>
          <w:rFonts w:hint="eastAsia"/>
        </w:rPr>
        <w:t>，</w:t>
      </w:r>
      <w:r>
        <w:t>以文字和数字结合的方式展现省质量奖的数量（家）、中国质量奖提名数量（家）、黑龙江名牌数量（家）、区域名牌数量（家）、省优质产品示范区数量（家）、全国知名品牌示范区数量（个）和命名授牌数量（个）、全国质量强市示范城市获命名数量（个）和获批创建数量（个）、质量信用等级企业中AA级数量（个）、AAA级数量（个）</w:t>
      </w:r>
      <w:r>
        <w:rPr>
          <w:rFonts w:hint="eastAsia"/>
        </w:rPr>
        <w:t>。</w:t>
      </w:r>
    </w:p>
    <w:p>
      <w:pPr>
        <w:pStyle w:val="8"/>
      </w:pPr>
      <w:r>
        <w:t>基础服务支撑</w:t>
      </w:r>
    </w:p>
    <w:p>
      <w:r>
        <w:rPr>
          <w:rFonts w:hint="eastAsia"/>
        </w:rPr>
        <w:t>实现</w:t>
      </w:r>
      <w:r>
        <w:t>基础服务支撑情况分析</w:t>
      </w:r>
      <w:r>
        <w:rPr>
          <w:rFonts w:hint="eastAsia"/>
        </w:rPr>
        <w:t>，</w:t>
      </w:r>
      <w:r>
        <w:t>从认证机构数量（家）、检验检测机构数量（家）、强检计量器具台数、认可机构数量（家）和制定标准数量（项），以及各项同比增长率（%）来展现基础服务能力</w:t>
      </w:r>
      <w:r>
        <w:rPr>
          <w:rFonts w:hint="eastAsia"/>
        </w:rPr>
        <w:t>。</w:t>
      </w:r>
    </w:p>
    <w:p>
      <w:pPr>
        <w:pStyle w:val="8"/>
      </w:pPr>
      <w:r>
        <w:t>认证证书分布</w:t>
      </w:r>
    </w:p>
    <w:p>
      <w:r>
        <w:rPr>
          <w:rFonts w:hint="eastAsia"/>
        </w:rPr>
        <w:t>实现</w:t>
      </w:r>
      <w:r>
        <w:t>有效认证证书分布</w:t>
      </w:r>
      <w:r>
        <w:rPr>
          <w:rFonts w:hint="eastAsia"/>
        </w:rPr>
        <w:t>，</w:t>
      </w:r>
      <w:r>
        <w:t>以二维表的形式展现质量管理体系认证ISO9000、环境管理体系认证ISO9000、职业健康安全管理体系认证ISO90000、强制性产品认证、国家推行的服务认证和一般认证的有效证书数量（个）和本年新发数量（个）</w:t>
      </w:r>
      <w:r>
        <w:rPr>
          <w:rFonts w:hint="eastAsia"/>
        </w:rPr>
        <w:t>。</w:t>
      </w:r>
    </w:p>
    <w:p>
      <w:pPr>
        <w:pStyle w:val="8"/>
      </w:pPr>
      <w:r>
        <w:t>计量器具分析</w:t>
      </w:r>
    </w:p>
    <w:p>
      <w:r>
        <w:rPr>
          <w:rFonts w:hint="eastAsia"/>
        </w:rPr>
        <w:t>实现</w:t>
      </w:r>
      <w:r>
        <w:t>强制计量器具分析</w:t>
      </w:r>
      <w:r>
        <w:rPr>
          <w:rFonts w:hint="eastAsia"/>
        </w:rPr>
        <w:t>，</w:t>
      </w:r>
      <w:r>
        <w:t>展现强检的标准器具数量并以环状图的形式展现安全防护类、医疗卫生类、贸易结算类、环境检测类的各自数量（台数量（件））和占比情况（%）</w:t>
      </w:r>
      <w:r>
        <w:rPr>
          <w:rFonts w:hint="eastAsia"/>
        </w:rPr>
        <w:t>。</w:t>
      </w:r>
    </w:p>
    <w:p>
      <w:pPr>
        <w:pStyle w:val="8"/>
      </w:pPr>
      <w:r>
        <w:t>重点指标分析</w:t>
      </w:r>
    </w:p>
    <w:p>
      <w:r>
        <w:rPr>
          <w:rFonts w:hint="eastAsia"/>
        </w:rPr>
        <w:t>实现</w:t>
      </w:r>
      <w:r>
        <w:t>质量监管重点指标分析</w:t>
      </w:r>
      <w:r>
        <w:rPr>
          <w:rFonts w:hint="eastAsia"/>
        </w:rPr>
        <w:t>，</w:t>
      </w:r>
      <w:r>
        <w:t>以二维表的形式展现制造业产品质量合格率（%）、制造业产品质量合格企业（家）、制修订各类标准（项）、制造业产品质量合格率的年度目标值和完成值</w:t>
      </w:r>
      <w:r>
        <w:rPr>
          <w:rFonts w:hint="eastAsia"/>
        </w:rPr>
        <w:t>。</w:t>
      </w:r>
    </w:p>
    <w:p>
      <w:pPr>
        <w:pStyle w:val="8"/>
      </w:pPr>
      <w:r>
        <w:t>地理标志产品</w:t>
      </w:r>
    </w:p>
    <w:p>
      <w:r>
        <w:rPr>
          <w:rFonts w:hint="eastAsia"/>
        </w:rPr>
        <w:t>实现</w:t>
      </w:r>
      <w:r>
        <w:t>地理标志产品情况分析</w:t>
      </w:r>
      <w:r>
        <w:rPr>
          <w:rFonts w:hint="eastAsia"/>
        </w:rPr>
        <w:t>，</w:t>
      </w:r>
      <w:r>
        <w:t>展现地理标志总数和词云</w:t>
      </w:r>
      <w:r>
        <w:rPr>
          <w:rFonts w:hint="eastAsia"/>
        </w:rPr>
        <w:t>。</w:t>
      </w:r>
    </w:p>
    <w:p>
      <w:pPr>
        <w:pStyle w:val="8"/>
      </w:pPr>
      <w:r>
        <w:t>知识产权指标</w:t>
      </w:r>
    </w:p>
    <w:p>
      <w:r>
        <w:rPr>
          <w:rFonts w:hint="eastAsia"/>
        </w:rPr>
        <w:t>实现</w:t>
      </w:r>
      <w:r>
        <w:t>知识产权指标完成情况分析</w:t>
      </w:r>
      <w:r>
        <w:rPr>
          <w:rFonts w:hint="eastAsia"/>
        </w:rPr>
        <w:t>，</w:t>
      </w:r>
      <w:r>
        <w:t>以文字加数字的形式展现发明专利拥有量（件/百万人）、发明专利审查周期（月）、商标注册平均审查周期（月/个）、知识产权质押融资登记金额（亿元）</w:t>
      </w:r>
      <w:r>
        <w:rPr>
          <w:rFonts w:hint="eastAsia"/>
        </w:rPr>
        <w:t>。</w:t>
      </w:r>
    </w:p>
    <w:p>
      <w:pPr>
        <w:pStyle w:val="8"/>
      </w:pPr>
      <w:r>
        <w:t>知识产权</w:t>
      </w:r>
    </w:p>
    <w:p>
      <w:r>
        <w:rPr>
          <w:rFonts w:hint="eastAsia"/>
        </w:rPr>
        <w:t>实现</w:t>
      </w:r>
      <w:r>
        <w:t>知识产权创造分析</w:t>
      </w:r>
      <w:r>
        <w:rPr>
          <w:rFonts w:hint="eastAsia"/>
        </w:rPr>
        <w:t>，</w:t>
      </w:r>
      <w:r>
        <w:t>以柱状图方式展现近五年发明专利有效量</w:t>
      </w:r>
      <w:r>
        <w:rPr>
          <w:rFonts w:hint="eastAsia"/>
        </w:rPr>
        <w:t>。</w:t>
      </w:r>
    </w:p>
    <w:p>
      <w:pPr>
        <w:pStyle w:val="8"/>
      </w:pPr>
      <w:r>
        <w:t>近一年</w:t>
      </w:r>
      <w:r>
        <w:rPr>
          <w:rFonts w:hint="eastAsia"/>
        </w:rPr>
        <w:t>分析</w:t>
      </w:r>
    </w:p>
    <w:p>
      <w:r>
        <w:rPr>
          <w:rFonts w:hint="eastAsia"/>
        </w:rPr>
        <w:t>实现</w:t>
      </w:r>
      <w:r>
        <w:t>近一年知识产权保护分析</w:t>
      </w:r>
      <w:r>
        <w:rPr>
          <w:rFonts w:hint="eastAsia"/>
        </w:rPr>
        <w:t>，</w:t>
      </w:r>
      <w:r>
        <w:t>以折线图形式展现近一年知识产权案数量（件）量变化趋势。</w:t>
      </w:r>
    </w:p>
    <w:p>
      <w:pPr>
        <w:pStyle w:val="7"/>
      </w:pPr>
      <w:r>
        <w:rPr>
          <w:rFonts w:hint="eastAsia"/>
        </w:rPr>
        <w:t>企业商标分析</w:t>
      </w:r>
    </w:p>
    <w:p>
      <w:pPr>
        <w:pStyle w:val="8"/>
      </w:pPr>
      <w:r>
        <w:t>商标发展趋势</w:t>
      </w:r>
    </w:p>
    <w:p>
      <w:r>
        <w:rPr>
          <w:rFonts w:hint="eastAsia"/>
        </w:rPr>
        <w:t>实现</w:t>
      </w:r>
      <w:r>
        <w:t>企业商标存量发展趋势分析</w:t>
      </w:r>
      <w:r>
        <w:rPr>
          <w:rFonts w:hint="eastAsia"/>
        </w:rPr>
        <w:t>，</w:t>
      </w:r>
      <w:r>
        <w:t>以柱状图形式展现近8年来企业商标数量（件）</w:t>
      </w:r>
      <w:r>
        <w:rPr>
          <w:rFonts w:hint="eastAsia"/>
        </w:rPr>
        <w:t>。</w:t>
      </w:r>
    </w:p>
    <w:p>
      <w:pPr>
        <w:pStyle w:val="8"/>
      </w:pPr>
      <w:r>
        <w:t>TOP5分析</w:t>
      </w:r>
    </w:p>
    <w:p>
      <w:r>
        <w:rPr>
          <w:rFonts w:hint="eastAsia"/>
        </w:rPr>
        <w:t>实现</w:t>
      </w:r>
      <w:r>
        <w:t>截至目前商标集中行业TOP5分析</w:t>
      </w:r>
      <w:r>
        <w:rPr>
          <w:rFonts w:hint="eastAsia"/>
        </w:rPr>
        <w:t>，</w:t>
      </w:r>
      <w:r>
        <w:t>以柱状图形式展现商标数量前五名的行业和各自数量</w:t>
      </w:r>
      <w:r>
        <w:rPr>
          <w:rFonts w:hint="eastAsia"/>
        </w:rPr>
        <w:t>。</w:t>
      </w:r>
    </w:p>
    <w:p>
      <w:pPr>
        <w:pStyle w:val="8"/>
      </w:pPr>
      <w:r>
        <w:t>企业规模分布</w:t>
      </w:r>
    </w:p>
    <w:p>
      <w:r>
        <w:rPr>
          <w:rFonts w:hint="eastAsia"/>
        </w:rPr>
        <w:t>实现</w:t>
      </w:r>
      <w:r>
        <w:t>截至目前有商标企业规模分布分析</w:t>
      </w:r>
      <w:r>
        <w:rPr>
          <w:rFonts w:hint="eastAsia"/>
        </w:rPr>
        <w:t>，</w:t>
      </w:r>
      <w:r>
        <w:t>以柱状图形式展现注册资本≤100万，100万&lt;注册资本≤500万，500万有&lt;注册资本≤1000万、注册资本&gt;1000万有商标企业数量（户）；以折线图形式展示各自占比情况</w:t>
      </w:r>
      <w:r>
        <w:rPr>
          <w:rFonts w:hint="eastAsia"/>
        </w:rPr>
        <w:t>。</w:t>
      </w:r>
    </w:p>
    <w:p>
      <w:pPr>
        <w:pStyle w:val="8"/>
      </w:pPr>
      <w:r>
        <w:t>商标区域发展</w:t>
      </w:r>
    </w:p>
    <w:p>
      <w:r>
        <w:rPr>
          <w:rFonts w:hint="eastAsia"/>
        </w:rPr>
        <w:t>实现</w:t>
      </w:r>
      <w:r>
        <w:t>截至目前商标区域发展趋势分析</w:t>
      </w:r>
      <w:r>
        <w:rPr>
          <w:rFonts w:hint="eastAsia"/>
        </w:rPr>
        <w:t>，</w:t>
      </w:r>
      <w:r>
        <w:t>以柱状图形式展现全省各地市商标数量（件）分布情况；以折线图形式展现各地区每万户市场主体拥有的商标量（件）的情况</w:t>
      </w:r>
      <w:r>
        <w:rPr>
          <w:rFonts w:hint="eastAsia"/>
        </w:rPr>
        <w:t>。</w:t>
      </w:r>
    </w:p>
    <w:p>
      <w:pPr>
        <w:pStyle w:val="8"/>
      </w:pPr>
      <w:r>
        <w:t>商标注册概况</w:t>
      </w:r>
    </w:p>
    <w:p>
      <w:r>
        <w:rPr>
          <w:rFonts w:hint="eastAsia"/>
        </w:rPr>
        <w:t>实现</w:t>
      </w:r>
      <w:r>
        <w:t>全省商标注册概况</w:t>
      </w:r>
      <w:r>
        <w:rPr>
          <w:rFonts w:hint="eastAsia"/>
        </w:rPr>
        <w:t>，</w:t>
      </w:r>
      <w:r>
        <w:t>展现全省累计商标注册量（件）、今年新增商标量（件）、较去年增长率（%）</w:t>
      </w:r>
      <w:r>
        <w:rPr>
          <w:rFonts w:hint="eastAsia"/>
        </w:rPr>
        <w:t>。</w:t>
      </w:r>
    </w:p>
    <w:p>
      <w:pPr>
        <w:pStyle w:val="8"/>
      </w:pPr>
      <w:r>
        <w:t>20强企业分析</w:t>
      </w:r>
    </w:p>
    <w:p>
      <w:r>
        <w:rPr>
          <w:rFonts w:hint="eastAsia"/>
        </w:rPr>
        <w:t>实现</w:t>
      </w:r>
      <w:r>
        <w:t>截止目前商标20强企业分析</w:t>
      </w:r>
      <w:r>
        <w:rPr>
          <w:rFonts w:hint="eastAsia"/>
        </w:rPr>
        <w:t>，</w:t>
      </w:r>
      <w:r>
        <w:t>数量从多到少展现全省目前商标20强企业名称和数量（件）。</w:t>
      </w:r>
    </w:p>
    <w:p>
      <w:pPr>
        <w:pStyle w:val="6"/>
      </w:pPr>
      <w:bookmarkStart w:id="283" w:name="_Toc81828605"/>
      <w:r>
        <w:rPr>
          <w:rFonts w:hint="eastAsia"/>
        </w:rPr>
        <w:t>效能督察</w:t>
      </w:r>
      <w:bookmarkEnd w:id="283"/>
    </w:p>
    <w:p>
      <w:r>
        <w:rPr>
          <w:rFonts w:hint="eastAsia"/>
        </w:rPr>
        <w:t>以“有为政务”为价值导向，督效率、提能力，实现“有为市监”、提高市场监管治理体系和能力现代化水平。通过效能监督，对各区域、各部门、各监管人员的监管职责执行情况进行监管。效能监管以行政审批业务超时办结、消保投诉举报处理超时、群众服务满意度低、风险处置不及时等方面为抓手，对各区域、各部门、各监管人员进行效能打分与排名。</w:t>
      </w:r>
    </w:p>
    <w:p>
      <w:pPr>
        <w:pStyle w:val="7"/>
      </w:pPr>
      <w:r>
        <w:rPr>
          <w:rFonts w:hint="eastAsia"/>
        </w:rPr>
        <w:t>效能监督总体概况</w:t>
      </w:r>
    </w:p>
    <w:p>
      <w:pPr>
        <w:pStyle w:val="8"/>
      </w:pPr>
      <w:r>
        <w:t>总体情况</w:t>
      </w:r>
    </w:p>
    <w:p>
      <w:pPr>
        <w:rPr>
          <w:rFonts w:ascii="宋体" w:hAnsi="宋体"/>
        </w:rPr>
      </w:pPr>
      <w:r>
        <w:rPr>
          <w:rFonts w:hint="eastAsia" w:ascii="宋体" w:hAnsi="宋体"/>
        </w:rPr>
        <w:t>实现</w:t>
      </w:r>
      <w:r>
        <w:rPr>
          <w:rFonts w:ascii="宋体" w:hAnsi="宋体"/>
        </w:rPr>
        <w:t>效能监督总体情况</w:t>
      </w:r>
      <w:r>
        <w:rPr>
          <w:rFonts w:hint="eastAsia" w:ascii="宋体" w:hAnsi="宋体"/>
        </w:rPr>
        <w:t>，</w:t>
      </w:r>
      <w:r>
        <w:rPr>
          <w:rFonts w:ascii="宋体" w:hAnsi="宋体"/>
        </w:rPr>
        <w:t>以文字的全省业务总量（件）、预期办理量（件）、投诉总量（件）、监督事的数量（项）和同比增量率（%），并以地图的形式展现全省各地区业务总量（件）、按时办件率（%）、逾期办件率（%）</w:t>
      </w:r>
      <w:r>
        <w:rPr>
          <w:rFonts w:hint="eastAsia" w:ascii="宋体" w:hAnsi="宋体"/>
        </w:rPr>
        <w:t>。</w:t>
      </w:r>
    </w:p>
    <w:p>
      <w:pPr>
        <w:pStyle w:val="8"/>
      </w:pPr>
      <w:r>
        <w:t>整体效能情况</w:t>
      </w:r>
    </w:p>
    <w:p>
      <w:pPr>
        <w:rPr>
          <w:rFonts w:ascii="宋体" w:hAnsi="宋体"/>
        </w:rPr>
      </w:pPr>
      <w:r>
        <w:rPr>
          <w:rFonts w:hint="eastAsia" w:ascii="宋体" w:hAnsi="宋体"/>
        </w:rPr>
        <w:t>实现</w:t>
      </w:r>
      <w:r>
        <w:rPr>
          <w:rFonts w:ascii="宋体" w:hAnsi="宋体"/>
        </w:rPr>
        <w:t>整体效能情况分析</w:t>
      </w:r>
      <w:r>
        <w:rPr>
          <w:rFonts w:hint="eastAsia" w:ascii="宋体" w:hAnsi="宋体"/>
        </w:rPr>
        <w:t>，</w:t>
      </w:r>
      <w:r>
        <w:rPr>
          <w:rFonts w:ascii="宋体" w:hAnsi="宋体"/>
        </w:rPr>
        <w:t>用仪表盘的形式分别展示按时办件百分比和预期办件百分比；用折线图的形式展现近6个月办数量趋势（件）；用折线图的形式展现近6个月预期办件量趋势（件）</w:t>
      </w:r>
      <w:r>
        <w:rPr>
          <w:rFonts w:hint="eastAsia" w:ascii="宋体" w:hAnsi="宋体"/>
        </w:rPr>
        <w:t>。</w:t>
      </w:r>
    </w:p>
    <w:p>
      <w:pPr>
        <w:pStyle w:val="8"/>
      </w:pPr>
      <w:r>
        <w:t>时限异常对比</w:t>
      </w:r>
    </w:p>
    <w:p>
      <w:pPr>
        <w:rPr>
          <w:rFonts w:ascii="宋体" w:hAnsi="宋体"/>
        </w:rPr>
      </w:pPr>
      <w:r>
        <w:rPr>
          <w:rFonts w:hint="eastAsia" w:ascii="宋体" w:hAnsi="宋体"/>
        </w:rPr>
        <w:t>实现</w:t>
      </w:r>
      <w:r>
        <w:rPr>
          <w:rFonts w:ascii="宋体" w:hAnsi="宋体"/>
        </w:rPr>
        <w:t>地区业务办理时限异常对比</w:t>
      </w:r>
      <w:r>
        <w:rPr>
          <w:rFonts w:hint="eastAsia" w:ascii="宋体" w:hAnsi="宋体"/>
        </w:rPr>
        <w:t>，</w:t>
      </w:r>
      <w:r>
        <w:rPr>
          <w:rFonts w:ascii="宋体" w:hAnsi="宋体"/>
        </w:rPr>
        <w:t>用柱状图的形式展现全省各地区预期办件量（件）；以折线图的形式展现较上月增幅情况（%）</w:t>
      </w:r>
      <w:r>
        <w:rPr>
          <w:rFonts w:hint="eastAsia" w:ascii="宋体" w:hAnsi="宋体"/>
        </w:rPr>
        <w:t>。</w:t>
      </w:r>
    </w:p>
    <w:p>
      <w:pPr>
        <w:pStyle w:val="8"/>
      </w:pPr>
      <w:r>
        <w:t>投诉数量地区排名</w:t>
      </w:r>
    </w:p>
    <w:p>
      <w:pPr>
        <w:rPr>
          <w:rFonts w:ascii="宋体" w:hAnsi="宋体"/>
        </w:rPr>
      </w:pPr>
      <w:r>
        <w:rPr>
          <w:rFonts w:hint="eastAsia" w:ascii="宋体" w:hAnsi="宋体"/>
        </w:rPr>
        <w:t>实现</w:t>
      </w:r>
      <w:r>
        <w:rPr>
          <w:rFonts w:ascii="宋体" w:hAnsi="宋体"/>
        </w:rPr>
        <w:t>效能监督投诉数量地区排名</w:t>
      </w:r>
      <w:r>
        <w:rPr>
          <w:rFonts w:hint="eastAsia" w:ascii="宋体" w:hAnsi="宋体"/>
        </w:rPr>
        <w:t>，</w:t>
      </w:r>
      <w:r>
        <w:rPr>
          <w:rFonts w:ascii="宋体" w:hAnsi="宋体"/>
        </w:rPr>
        <w:t>以柱状图的形式从高到低展现全省各地区效能监督投诉数量（件）和排名情况</w:t>
      </w:r>
      <w:r>
        <w:rPr>
          <w:rFonts w:hint="eastAsia" w:ascii="宋体" w:hAnsi="宋体"/>
        </w:rPr>
        <w:t>。</w:t>
      </w:r>
    </w:p>
    <w:p>
      <w:pPr>
        <w:pStyle w:val="8"/>
      </w:pPr>
      <w:r>
        <w:t>投诉问题分析</w:t>
      </w:r>
    </w:p>
    <w:p>
      <w:pPr>
        <w:rPr>
          <w:rFonts w:ascii="宋体" w:hAnsi="宋体"/>
        </w:rPr>
      </w:pPr>
      <w:r>
        <w:rPr>
          <w:rFonts w:hint="eastAsia" w:ascii="宋体" w:hAnsi="宋体"/>
        </w:rPr>
        <w:t>实现</w:t>
      </w:r>
      <w:r>
        <w:rPr>
          <w:rFonts w:ascii="宋体" w:hAnsi="宋体"/>
        </w:rPr>
        <w:t>效能监督投诉问题分析</w:t>
      </w:r>
      <w:r>
        <w:rPr>
          <w:rFonts w:hint="eastAsia" w:ascii="宋体" w:hAnsi="宋体"/>
        </w:rPr>
        <w:t>，</w:t>
      </w:r>
      <w:r>
        <w:rPr>
          <w:rFonts w:ascii="宋体" w:hAnsi="宋体"/>
        </w:rPr>
        <w:t>以柱状图的形式展现上期和本期劳动纪律、服务程度、工作效率和其他违纪效能监督问题数量对比（件）。</w:t>
      </w:r>
    </w:p>
    <w:p>
      <w:pPr>
        <w:pStyle w:val="7"/>
      </w:pPr>
      <w:r>
        <w:rPr>
          <w:rFonts w:hint="eastAsia"/>
        </w:rPr>
        <w:t>今日市场监管</w:t>
      </w:r>
    </w:p>
    <w:p>
      <w:pPr>
        <w:pStyle w:val="8"/>
      </w:pPr>
      <w:r>
        <w:t>市场主体发展情况</w:t>
      </w:r>
    </w:p>
    <w:p>
      <w:r>
        <w:rPr>
          <w:rFonts w:hint="eastAsia"/>
        </w:rPr>
        <w:t>展现</w:t>
      </w:r>
      <w:r>
        <w:t>截止目前市场主体发展情况</w:t>
      </w:r>
      <w:r>
        <w:rPr>
          <w:rFonts w:hint="eastAsia"/>
        </w:rPr>
        <w:t>，</w:t>
      </w:r>
      <w:r>
        <w:t>展现市场主体总量（万户）、资本总额（万亿元）和各自同比变化（%），并展示其中企业数量（万户）、个体数量（万户）、农专数量（万户）及各自占比情况（%）和同比情况（%）</w:t>
      </w:r>
      <w:r>
        <w:rPr>
          <w:rFonts w:hint="eastAsia"/>
        </w:rPr>
        <w:t>。</w:t>
      </w:r>
      <w:r>
        <w:t>；</w:t>
      </w:r>
    </w:p>
    <w:p>
      <w:pPr>
        <w:pStyle w:val="8"/>
      </w:pPr>
      <w:r>
        <w:t>截止目前行政许可情况</w:t>
      </w:r>
    </w:p>
    <w:p>
      <w:r>
        <w:rPr>
          <w:rFonts w:hint="eastAsia"/>
        </w:rPr>
        <w:t>实现</w:t>
      </w:r>
      <w:r>
        <w:t>截止目前行政许可情况</w:t>
      </w:r>
      <w:r>
        <w:rPr>
          <w:rFonts w:hint="eastAsia"/>
        </w:rPr>
        <w:t>展示，</w:t>
      </w:r>
      <w:r>
        <w:t>展现许可证总数（万张）以及其中食品生产许可证、食品经营许可证、特种设备生产许可（设计、制造、安装、改造、维修）、移动式压力容器充装许可、气瓶冲转公许可、药品、换妆品、医疗器械生产许可、药品、换妆品、医疗器械经营许可的各自数量（万张）</w:t>
      </w:r>
      <w:r>
        <w:rPr>
          <w:rFonts w:hint="eastAsia"/>
        </w:rPr>
        <w:t>。</w:t>
      </w:r>
    </w:p>
    <w:p>
      <w:pPr>
        <w:pStyle w:val="8"/>
      </w:pPr>
      <w:r>
        <w:t>警示企业排行</w:t>
      </w:r>
    </w:p>
    <w:p>
      <w:r>
        <w:rPr>
          <w:rFonts w:hint="eastAsia"/>
        </w:rPr>
        <w:t>实现</w:t>
      </w:r>
      <w:r>
        <w:t>各类型警示企业数量排行分析</w:t>
      </w:r>
      <w:r>
        <w:rPr>
          <w:rFonts w:hint="eastAsia"/>
        </w:rPr>
        <w:t>，</w:t>
      </w:r>
      <w:r>
        <w:t>展现截至目前，分析挖掘各类警示企业数量（户），其中，证照过期企业数量（户）、占比（%）；并以柱状图形式给出警示原因TOP5的数量（户）</w:t>
      </w:r>
      <w:r>
        <w:rPr>
          <w:rFonts w:hint="eastAsia"/>
        </w:rPr>
        <w:t>。</w:t>
      </w:r>
    </w:p>
    <w:p>
      <w:pPr>
        <w:pStyle w:val="8"/>
      </w:pPr>
      <w:r>
        <w:t>警示市场主体排行</w:t>
      </w:r>
    </w:p>
    <w:p>
      <w:r>
        <w:rPr>
          <w:rFonts w:hint="eastAsia"/>
        </w:rPr>
        <w:t>实现</w:t>
      </w:r>
      <w:r>
        <w:t>各类型警示市场主体数量排行分析</w:t>
      </w:r>
      <w:r>
        <w:rPr>
          <w:rFonts w:hint="eastAsia"/>
        </w:rPr>
        <w:t>，</w:t>
      </w:r>
      <w:r>
        <w:t>展现截至目前违法市场主体数量（户）、较去年同比增加数量（户）、增幅（%）；严重违法、行政处罚、失信被执行人、未已发公示年报的数量（户）和同比增幅（%）</w:t>
      </w:r>
      <w:r>
        <w:rPr>
          <w:rFonts w:hint="eastAsia"/>
        </w:rPr>
        <w:t>。</w:t>
      </w:r>
    </w:p>
    <w:p>
      <w:pPr>
        <w:pStyle w:val="8"/>
      </w:pPr>
      <w:r>
        <w:t>特种设备安全监管</w:t>
      </w:r>
      <w:r>
        <w:rPr>
          <w:rFonts w:hint="eastAsia"/>
        </w:rPr>
        <w:t>情况</w:t>
      </w:r>
    </w:p>
    <w:p>
      <w:r>
        <w:rPr>
          <w:rFonts w:hint="eastAsia"/>
        </w:rPr>
        <w:t>实现对</w:t>
      </w:r>
      <w:r>
        <w:t>特种设备安全监管实时情况分析</w:t>
      </w:r>
      <w:r>
        <w:rPr>
          <w:rFonts w:hint="eastAsia"/>
        </w:rPr>
        <w:t>，展示</w:t>
      </w:r>
      <w:r>
        <w:t>截至目前，在册设备数量（台）、在用设备数量（台）、停用设备数量（台）、本年度事故数量（起）、本年度办理案数量（件）量（件）；设备登记率（%）、未登记设备数量（台）、设备检验率（%）、超期未检设备数量（台）、隐患设备吕（%）、隐患设备数量（台）</w:t>
      </w:r>
      <w:r>
        <w:rPr>
          <w:rFonts w:hint="eastAsia"/>
        </w:rPr>
        <w:t>。</w:t>
      </w:r>
    </w:p>
    <w:p>
      <w:pPr>
        <w:pStyle w:val="8"/>
      </w:pPr>
      <w:r>
        <w:t>年博鳌进度</w:t>
      </w:r>
      <w:r>
        <w:rPr>
          <w:rFonts w:hint="eastAsia"/>
        </w:rPr>
        <w:t>情况</w:t>
      </w:r>
    </w:p>
    <w:p>
      <w:r>
        <w:rPr>
          <w:rFonts w:hint="eastAsia"/>
        </w:rPr>
        <w:t>实现</w:t>
      </w:r>
      <w:r>
        <w:t>年度企业年博鳌进度实施情况。展现年报率（%）、已报送数量（万户）以及含不报数量（户）、未报送数量（万户）；</w:t>
      </w:r>
    </w:p>
    <w:p>
      <w:pPr>
        <w:pStyle w:val="8"/>
      </w:pPr>
      <w:r>
        <w:t>双随机抽查</w:t>
      </w:r>
      <w:r>
        <w:rPr>
          <w:rFonts w:hint="eastAsia"/>
        </w:rPr>
        <w:t>情况</w:t>
      </w:r>
    </w:p>
    <w:p>
      <w:r>
        <w:rPr>
          <w:rFonts w:hint="eastAsia"/>
        </w:rPr>
        <w:t>实现</w:t>
      </w:r>
      <w:r>
        <w:t>年度双随机抽查进度实时情况</w:t>
      </w:r>
      <w:r>
        <w:rPr>
          <w:rFonts w:hint="eastAsia"/>
        </w:rPr>
        <w:t>展示，</w:t>
      </w:r>
      <w:r>
        <w:t>展现本年至今，抽查检查数量（次）、返现问题数量（项）、抽查计划数量（次）、计划抽检对象数量（户）、检查比例（%）、抽查进度（%）、已抽查数量（万户）、未抽查数量（万户）</w:t>
      </w:r>
      <w:r>
        <w:rPr>
          <w:rFonts w:hint="eastAsia"/>
        </w:rPr>
        <w:t>。</w:t>
      </w:r>
    </w:p>
    <w:p>
      <w:pPr>
        <w:pStyle w:val="8"/>
      </w:pPr>
      <w:r>
        <w:t>抽查合格率分析</w:t>
      </w:r>
    </w:p>
    <w:p>
      <w:r>
        <w:rPr>
          <w:rFonts w:hint="eastAsia"/>
        </w:rPr>
        <w:t>实现</w:t>
      </w:r>
      <w:r>
        <w:t>本年度至今抽查合格率分析</w:t>
      </w:r>
      <w:r>
        <w:rPr>
          <w:rFonts w:hint="eastAsia"/>
        </w:rPr>
        <w:t>，</w:t>
      </w:r>
      <w:r>
        <w:t>展示食品生产环节合格率（%）、食品餐饮环节合格率（%）、保健品合格率（%）</w:t>
      </w:r>
      <w:r>
        <w:rPr>
          <w:rFonts w:hint="eastAsia"/>
        </w:rPr>
        <w:t>。</w:t>
      </w:r>
    </w:p>
    <w:p>
      <w:pPr>
        <w:pStyle w:val="8"/>
      </w:pPr>
      <w:r>
        <w:t>行政处罚案件情况</w:t>
      </w:r>
    </w:p>
    <w:p>
      <w:r>
        <w:rPr>
          <w:rFonts w:hint="eastAsia"/>
        </w:rPr>
        <w:t>实现</w:t>
      </w:r>
      <w:r>
        <w:t>本年度至今行政处罚案件情况</w:t>
      </w:r>
      <w:r>
        <w:rPr>
          <w:rFonts w:hint="eastAsia"/>
        </w:rPr>
        <w:t>，</w:t>
      </w:r>
      <w:r>
        <w:t>展示办理案件总量（万件）、案件罚没款总额（亿元）、违法市场主体数量（户）以及各自同比情况（%）</w:t>
      </w:r>
      <w:r>
        <w:rPr>
          <w:rFonts w:hint="eastAsia"/>
        </w:rPr>
        <w:t>。</w:t>
      </w:r>
    </w:p>
    <w:p>
      <w:pPr>
        <w:pStyle w:val="8"/>
      </w:pPr>
      <w:r>
        <w:t>行政许可业务</w:t>
      </w:r>
    </w:p>
    <w:p>
      <w:r>
        <w:rPr>
          <w:rFonts w:hint="eastAsia"/>
        </w:rPr>
        <w:t>实现</w:t>
      </w:r>
      <w:r>
        <w:t>今日行政许可业务实时监控分析</w:t>
      </w:r>
      <w:r>
        <w:rPr>
          <w:rFonts w:hint="eastAsia"/>
        </w:rPr>
        <w:t>，</w:t>
      </w:r>
      <w:r>
        <w:t>展现登记业务受理数量（件）、审核数量（件）以及全程电子化、半程电子化、窗口的各自受理比例（%）；以二维表的形式展示名称登记、设立登记、变更登记、注销登记的各自受理数量（件）、审核数量（件）、全程电子化办理率（%）</w:t>
      </w:r>
      <w:r>
        <w:rPr>
          <w:rFonts w:hint="eastAsia"/>
        </w:rPr>
        <w:t>。</w:t>
      </w:r>
    </w:p>
    <w:p>
      <w:pPr>
        <w:pStyle w:val="8"/>
      </w:pPr>
      <w:r>
        <w:t>全程电子化办理情况</w:t>
      </w:r>
    </w:p>
    <w:p>
      <w:r>
        <w:rPr>
          <w:rFonts w:hint="eastAsia"/>
        </w:rPr>
        <w:t>实现</w:t>
      </w:r>
      <w:r>
        <w:t>本月全程电子化办理情况</w:t>
      </w:r>
      <w:r>
        <w:rPr>
          <w:rFonts w:hint="eastAsia"/>
        </w:rPr>
        <w:t>分析，</w:t>
      </w:r>
      <w:r>
        <w:t>展示网上办理量（件）、网上办件率（%）</w:t>
      </w:r>
      <w:r>
        <w:rPr>
          <w:rFonts w:hint="eastAsia"/>
        </w:rPr>
        <w:t>。</w:t>
      </w:r>
    </w:p>
    <w:p>
      <w:pPr>
        <w:pStyle w:val="8"/>
      </w:pPr>
      <w:r>
        <w:t>投诉举报业务情况</w:t>
      </w:r>
    </w:p>
    <w:p>
      <w:r>
        <w:rPr>
          <w:rFonts w:hint="eastAsia"/>
        </w:rPr>
        <w:t>实现</w:t>
      </w:r>
      <w:r>
        <w:t>各渠道受理投诉举报业务情况分析</w:t>
      </w:r>
      <w:r>
        <w:rPr>
          <w:rFonts w:hint="eastAsia"/>
        </w:rPr>
        <w:t>，</w:t>
      </w:r>
      <w:r>
        <w:t>展现投诉举报受理数量、查处数量、待处理数量以及咨询受理数量；以二维表的形式展现销售企业、生产企业、人大、政协、欣慰媒体、直接到12315投诉举报中心（消费者）以及服务企业的各自数量和维权联络点各自占比情况（%）</w:t>
      </w:r>
      <w:r>
        <w:rPr>
          <w:rFonts w:hint="eastAsia"/>
        </w:rPr>
        <w:t>。</w:t>
      </w:r>
    </w:p>
    <w:p>
      <w:pPr>
        <w:pStyle w:val="8"/>
      </w:pPr>
      <w:r>
        <w:t>行政执法情况</w:t>
      </w:r>
    </w:p>
    <w:p>
      <w:r>
        <w:rPr>
          <w:rFonts w:hint="eastAsia"/>
        </w:rPr>
        <w:t>实现</w:t>
      </w:r>
      <w:r>
        <w:t>行政执法情况</w:t>
      </w:r>
      <w:r>
        <w:rPr>
          <w:rFonts w:hint="eastAsia"/>
        </w:rPr>
        <w:t>分析，</w:t>
      </w:r>
      <w:r>
        <w:t>分别展现行政执法案件受理、查处和待处理数量（件）等。</w:t>
      </w:r>
    </w:p>
    <w:p>
      <w:pPr>
        <w:pStyle w:val="6"/>
      </w:pPr>
      <w:r>
        <w:rPr>
          <w:rFonts w:hint="eastAsia"/>
        </w:rPr>
        <w:t>食品安全</w:t>
      </w:r>
    </w:p>
    <w:p>
      <w:pPr>
        <w:pStyle w:val="7"/>
      </w:pPr>
      <w:r>
        <w:rPr>
          <w:rFonts w:hint="eastAsia"/>
        </w:rPr>
        <w:t>概述</w:t>
      </w:r>
    </w:p>
    <w:p>
      <w:r>
        <w:rPr>
          <w:rFonts w:hint="eastAsia"/>
        </w:rPr>
        <w:t>以食品安全为重点领域监管对象，展示食品领域专业监管宏观、中观、微观的治理状况，包括监管对象主体责任履行情况、监管对象风险监测、风险预警与处置情况。</w:t>
      </w:r>
    </w:p>
    <w:p>
      <w:pPr>
        <w:pStyle w:val="7"/>
      </w:pPr>
      <w:r>
        <w:rPr>
          <w:rFonts w:hint="eastAsia"/>
        </w:rPr>
        <w:t>整体概况</w:t>
      </w:r>
    </w:p>
    <w:p>
      <w:pPr>
        <w:pStyle w:val="8"/>
      </w:pPr>
      <w:r>
        <w:t>区域分布情况</w:t>
      </w:r>
    </w:p>
    <w:p>
      <w:r>
        <w:rPr>
          <w:rFonts w:hint="eastAsia"/>
        </w:rPr>
        <w:t>实现</w:t>
      </w:r>
      <w:r>
        <w:t>食品市场主体总量及区域分布情况分析</w:t>
      </w:r>
      <w:r>
        <w:rPr>
          <w:rFonts w:hint="eastAsia"/>
        </w:rPr>
        <w:t>，</w:t>
      </w:r>
      <w:r>
        <w:t>以地图的形式用颜色区分全省各地市场主体总量分布高低情况</w:t>
      </w:r>
      <w:r>
        <w:rPr>
          <w:rFonts w:hint="eastAsia"/>
        </w:rPr>
        <w:t>。</w:t>
      </w:r>
    </w:p>
    <w:p>
      <w:pPr>
        <w:pStyle w:val="8"/>
      </w:pPr>
      <w:r>
        <w:t>食品主体分布</w:t>
      </w:r>
    </w:p>
    <w:p>
      <w:r>
        <w:rPr>
          <w:rFonts w:hint="eastAsia"/>
        </w:rPr>
        <w:t>实现对</w:t>
      </w:r>
      <w:r>
        <w:t>食品主体分布情况分析</w:t>
      </w:r>
      <w:r>
        <w:rPr>
          <w:rFonts w:hint="eastAsia"/>
        </w:rPr>
        <w:t>，</w:t>
      </w:r>
      <w:r>
        <w:t>展示食品及相关生产企业、食品销售企业、餐饮服务单位、三小食品各自数量（家）；以饼状图的形式展示上述四类食品相关企业的食品许可办理数量（件）和占比情况（%）；以折现图的形式展现近5年来食品销售、餐饮服务单位、食品生产企业市场主体类型的数量变化趋势（户）</w:t>
      </w:r>
      <w:r>
        <w:rPr>
          <w:rFonts w:hint="eastAsia"/>
        </w:rPr>
        <w:t>。</w:t>
      </w:r>
    </w:p>
    <w:p>
      <w:pPr>
        <w:pStyle w:val="8"/>
      </w:pPr>
      <w:r>
        <w:t>食品投诉举报</w:t>
      </w:r>
      <w:r>
        <w:rPr>
          <w:rFonts w:hint="eastAsia"/>
        </w:rPr>
        <w:t>排名</w:t>
      </w:r>
    </w:p>
    <w:p>
      <w:r>
        <w:rPr>
          <w:rFonts w:hint="eastAsia"/>
        </w:rPr>
        <w:t>展示</w:t>
      </w:r>
      <w:r>
        <w:t>食品投诉举报区域排名TOP5</w:t>
      </w:r>
      <w:r>
        <w:rPr>
          <w:rFonts w:hint="eastAsia"/>
        </w:rPr>
        <w:t>，</w:t>
      </w:r>
      <w:r>
        <w:t>按照地市区域展现投诉举报量（件）前五名和其对应的投诉数量、举报数量</w:t>
      </w:r>
      <w:r>
        <w:rPr>
          <w:rFonts w:hint="eastAsia"/>
        </w:rPr>
        <w:t>。</w:t>
      </w:r>
    </w:p>
    <w:p>
      <w:pPr>
        <w:pStyle w:val="8"/>
      </w:pPr>
      <w:r>
        <w:t>食品安全监测</w:t>
      </w:r>
    </w:p>
    <w:p>
      <w:r>
        <w:rPr>
          <w:rFonts w:hint="eastAsia"/>
        </w:rPr>
        <w:t>实现对</w:t>
      </w:r>
      <w:r>
        <w:t>食品安全实时监测</w:t>
      </w:r>
      <w:r>
        <w:rPr>
          <w:rFonts w:hint="eastAsia"/>
        </w:rPr>
        <w:t>，</w:t>
      </w:r>
      <w:r>
        <w:t>以环状图形式展现高风险、中高风险、一般风险和低风险的数量（户）和占比情况</w:t>
      </w:r>
      <w:r>
        <w:rPr>
          <w:rFonts w:hint="eastAsia"/>
        </w:rPr>
        <w:t>。</w:t>
      </w:r>
    </w:p>
    <w:p>
      <w:pPr>
        <w:pStyle w:val="8"/>
      </w:pPr>
      <w:r>
        <w:t>食品监督检查分析</w:t>
      </w:r>
    </w:p>
    <w:p>
      <w:r>
        <w:rPr>
          <w:rFonts w:hint="eastAsia"/>
        </w:rPr>
        <w:t>实现</w:t>
      </w:r>
      <w:r>
        <w:t>食品监督检查分析</w:t>
      </w:r>
      <w:r>
        <w:rPr>
          <w:rFonts w:hint="eastAsia"/>
        </w:rPr>
        <w:t>，</w:t>
      </w:r>
      <w:r>
        <w:t>展示栓雇司机抽查企业合格率（%）、监督抽检样品合格率（%）、快速检验合格率（%）、快速检验筛检阳性率（%）及各自同比情况</w:t>
      </w:r>
      <w:r>
        <w:rPr>
          <w:rFonts w:hint="eastAsia"/>
        </w:rPr>
        <w:t>。</w:t>
      </w:r>
    </w:p>
    <w:p>
      <w:pPr>
        <w:pStyle w:val="8"/>
      </w:pPr>
      <w:r>
        <w:t>食品执法</w:t>
      </w:r>
      <w:r>
        <w:rPr>
          <w:rFonts w:hint="eastAsia"/>
        </w:rPr>
        <w:t>情况</w:t>
      </w:r>
    </w:p>
    <w:p>
      <w:r>
        <w:rPr>
          <w:rFonts w:hint="eastAsia"/>
        </w:rPr>
        <w:t>实现</w:t>
      </w:r>
      <w:r>
        <w:t>食品执法案件情况分析</w:t>
      </w:r>
      <w:r>
        <w:rPr>
          <w:rFonts w:hint="eastAsia"/>
        </w:rPr>
        <w:t>，</w:t>
      </w:r>
      <w:r>
        <w:t>以柱状图的形式展现近五年来食品执法案件办理量（件）并且用折线图的形式展现同比增幅</w:t>
      </w:r>
      <w:r>
        <w:rPr>
          <w:rFonts w:hint="eastAsia"/>
        </w:rPr>
        <w:t>。</w:t>
      </w:r>
    </w:p>
    <w:p>
      <w:pPr>
        <w:pStyle w:val="8"/>
      </w:pPr>
      <w:r>
        <w:t>安全示范城市</w:t>
      </w:r>
      <w:r>
        <w:rPr>
          <w:rFonts w:hint="eastAsia"/>
        </w:rPr>
        <w:t>情况</w:t>
      </w:r>
    </w:p>
    <w:p>
      <w:r>
        <w:rPr>
          <w:rFonts w:hint="eastAsia"/>
        </w:rPr>
        <w:t>实现</w:t>
      </w:r>
      <w:r>
        <w:t>食品安全示范城市建设情况</w:t>
      </w:r>
      <w:r>
        <w:rPr>
          <w:rFonts w:hint="eastAsia"/>
        </w:rPr>
        <w:t>展示，</w:t>
      </w:r>
      <w:r>
        <w:t>展现国内外广泛关注造成严重不良社会影响的食品安全事件（件/千人）、近三年里重大食品安全事故数量（件）、本年食品检验量（件/千人）以及展现群众食品安全总体满意度（%）、食品安全违法案件查办率（%）、食品监督抽检不合格产品核查处置完成率（%）、食品监督执法信息公开率（%）、食品行政处罚信息公开率（%）。</w:t>
      </w:r>
    </w:p>
    <w:p>
      <w:pPr>
        <w:pStyle w:val="7"/>
      </w:pPr>
      <w:bookmarkStart w:id="284" w:name="_Toc81828607"/>
      <w:r>
        <w:rPr>
          <w:rFonts w:hint="eastAsia"/>
        </w:rPr>
        <w:t>食品安全抽样检验分析</w:t>
      </w:r>
    </w:p>
    <w:p>
      <w:r>
        <w:rPr>
          <w:rFonts w:hint="eastAsia" w:ascii="宋体" w:hAnsi="宋体"/>
        </w:rPr>
        <w:t>实现了对近五年食品抽检趋势、近五年食品抽检不合格情况、不合格产品产地TOP10、抽检产地分析、不合格食品核查情况、不合格原因分布情况、食品不合格批次类型分布的分析展示。</w:t>
      </w:r>
    </w:p>
    <w:p>
      <w:pPr>
        <w:pStyle w:val="8"/>
      </w:pPr>
      <w:r>
        <w:t>食品抽检趋势</w:t>
      </w:r>
    </w:p>
    <w:p>
      <w:r>
        <w:rPr>
          <w:rFonts w:hint="eastAsia"/>
        </w:rPr>
        <w:t>实现</w:t>
      </w:r>
      <w:r>
        <w:t>近五年食品抽检趋势</w:t>
      </w:r>
      <w:r>
        <w:rPr>
          <w:rFonts w:hint="eastAsia"/>
        </w:rPr>
        <w:t>分析，以折线图的形式展示了近五年食品抽检批次及每千人抽检批次率的变化趋势。</w:t>
      </w:r>
    </w:p>
    <w:p>
      <w:pPr>
        <w:pStyle w:val="8"/>
      </w:pPr>
      <w:r>
        <w:t>食品抽检不合格情况</w:t>
      </w:r>
    </w:p>
    <w:p>
      <w:r>
        <w:rPr>
          <w:rFonts w:hint="eastAsia"/>
        </w:rPr>
        <w:t>实现对</w:t>
      </w:r>
      <w:r>
        <w:t>近五年食品抽检不合格情况</w:t>
      </w:r>
      <w:r>
        <w:rPr>
          <w:rFonts w:hint="eastAsia"/>
        </w:rPr>
        <w:t>分析，以折线图的形式展示了近五年食品抽检不合格量及不合格率变化趋势。</w:t>
      </w:r>
    </w:p>
    <w:p>
      <w:pPr>
        <w:pStyle w:val="8"/>
      </w:pPr>
      <w:r>
        <w:t>不合格产品</w:t>
      </w:r>
      <w:r>
        <w:rPr>
          <w:rFonts w:hint="eastAsia"/>
        </w:rPr>
        <w:t>T</w:t>
      </w:r>
      <w:r>
        <w:t>OP</w:t>
      </w:r>
    </w:p>
    <w:p>
      <w:r>
        <w:rPr>
          <w:rFonts w:hint="eastAsia"/>
        </w:rPr>
        <w:t>实现</w:t>
      </w:r>
      <w:r>
        <w:t>不合格产品产地TOP10</w:t>
      </w:r>
      <w:r>
        <w:rPr>
          <w:rFonts w:hint="eastAsia"/>
        </w:rPr>
        <w:t>，以柱状图的形式展示了不合格产品产地按批次排名</w:t>
      </w:r>
      <w:r>
        <w:t>TOP10。</w:t>
      </w:r>
    </w:p>
    <w:p>
      <w:pPr>
        <w:pStyle w:val="8"/>
      </w:pPr>
      <w:r>
        <w:t>抽检产地</w:t>
      </w:r>
    </w:p>
    <w:p>
      <w:r>
        <w:rPr>
          <w:rFonts w:hint="eastAsia"/>
        </w:rPr>
        <w:t>按</w:t>
      </w:r>
      <w:r>
        <w:t>抽检产地分析</w:t>
      </w:r>
      <w:r>
        <w:rPr>
          <w:rFonts w:hint="eastAsia"/>
        </w:rPr>
        <w:t>，以数字加地图的形式展示了食品抽检企业数、抽检批次数、合格批次数、不合格率及各个地市的抽检热力地图。</w:t>
      </w:r>
    </w:p>
    <w:p>
      <w:pPr>
        <w:pStyle w:val="8"/>
      </w:pPr>
      <w:r>
        <w:t>不合格食品核查</w:t>
      </w:r>
    </w:p>
    <w:p>
      <w:r>
        <w:rPr>
          <w:rFonts w:hint="eastAsia"/>
        </w:rPr>
        <w:t>实现</w:t>
      </w:r>
      <w:r>
        <w:t>不合格食品核查情况</w:t>
      </w:r>
      <w:r>
        <w:rPr>
          <w:rFonts w:hint="eastAsia"/>
        </w:rPr>
        <w:t>分析，以图表的形式展示了不合格产品核查情况中的不合格产品名称、核查情况、产品控制和召回情况、原因排查和整改情况、行政处罚情况。</w:t>
      </w:r>
    </w:p>
    <w:p>
      <w:pPr>
        <w:pStyle w:val="8"/>
      </w:pPr>
      <w:r>
        <w:t>不合格原因</w:t>
      </w:r>
    </w:p>
    <w:p>
      <w:r>
        <w:rPr>
          <w:rFonts w:hint="eastAsia"/>
        </w:rPr>
        <w:t>实现对</w:t>
      </w:r>
      <w:r>
        <w:t>不合格原因分布情况</w:t>
      </w:r>
      <w:r>
        <w:rPr>
          <w:rFonts w:hint="eastAsia"/>
        </w:rPr>
        <w:t>分析，以柱线图的形式展示了不合格原因分布数量。</w:t>
      </w:r>
    </w:p>
    <w:p>
      <w:pPr>
        <w:pStyle w:val="8"/>
      </w:pPr>
      <w:r>
        <w:t>食品不合格批次类型</w:t>
      </w:r>
    </w:p>
    <w:p>
      <w:r>
        <w:rPr>
          <w:rFonts w:hint="eastAsia"/>
        </w:rPr>
        <w:t>实现对</w:t>
      </w:r>
      <w:r>
        <w:t>食品不合格批次类型分布</w:t>
      </w:r>
      <w:r>
        <w:rPr>
          <w:rFonts w:hint="eastAsia"/>
        </w:rPr>
        <w:t>分析，以图表的形式展示了食品不合格批次类型分布中的排名、食品类型、不合格批次、不合格率。</w:t>
      </w:r>
    </w:p>
    <w:p>
      <w:pPr>
        <w:pStyle w:val="6"/>
      </w:pPr>
      <w:r>
        <w:rPr>
          <w:rFonts w:hint="eastAsia"/>
        </w:rPr>
        <w:t>放心消费</w:t>
      </w:r>
      <w:bookmarkEnd w:id="284"/>
    </w:p>
    <w:p>
      <w:pPr>
        <w:pStyle w:val="7"/>
      </w:pPr>
      <w:r>
        <w:rPr>
          <w:rFonts w:hint="eastAsia"/>
        </w:rPr>
        <w:t>概述</w:t>
      </w:r>
    </w:p>
    <w:p>
      <w:r>
        <w:rPr>
          <w:rFonts w:hint="eastAsia"/>
        </w:rPr>
        <w:t>围绕诚信经营、放心消费，开展市场主体诚信经营分析、社会公众监督分析，主要包括投诉举报分析、亮照亮证分析、诚信经营示范单位分析。</w:t>
      </w:r>
    </w:p>
    <w:p>
      <w:pPr>
        <w:pStyle w:val="7"/>
      </w:pPr>
      <w:r>
        <w:rPr>
          <w:rFonts w:hint="eastAsia"/>
        </w:rPr>
        <w:t>放心消费整体概况</w:t>
      </w:r>
    </w:p>
    <w:p>
      <w:pPr>
        <w:pStyle w:val="8"/>
      </w:pPr>
      <w:r>
        <w:rPr>
          <w:rFonts w:hint="eastAsia"/>
        </w:rPr>
        <w:t>本年</w:t>
      </w:r>
      <w:r>
        <w:t>整体情况</w:t>
      </w:r>
    </w:p>
    <w:p>
      <w:r>
        <w:rPr>
          <w:rFonts w:hint="eastAsia"/>
        </w:rPr>
        <w:t>实现</w:t>
      </w:r>
      <w:r>
        <w:t>本年放心消费整体情况</w:t>
      </w:r>
      <w:r>
        <w:rPr>
          <w:rFonts w:hint="eastAsia"/>
        </w:rPr>
        <w:t>分析，</w:t>
      </w:r>
      <w:r>
        <w:t>展示本年受理总量（件）、办结总量（件）、整体办结率（%）；展现投诉、举报和咨询各自受理量（件）、办结量（件）和以环状图的形式展示办结率（%）；以地图颜色展示全省各地市的投诉举报数理高低情况</w:t>
      </w:r>
      <w:r>
        <w:rPr>
          <w:rFonts w:hint="eastAsia"/>
        </w:rPr>
        <w:t>。</w:t>
      </w:r>
    </w:p>
    <w:p>
      <w:pPr>
        <w:pStyle w:val="8"/>
      </w:pPr>
      <w:r>
        <w:t>监督检查与执法</w:t>
      </w:r>
    </w:p>
    <w:p>
      <w:r>
        <w:rPr>
          <w:rFonts w:hint="eastAsia"/>
        </w:rPr>
        <w:t>实现</w:t>
      </w:r>
      <w:r>
        <w:t>本年度监督检查与执法情况分析</w:t>
      </w:r>
      <w:r>
        <w:rPr>
          <w:rFonts w:hint="eastAsia"/>
        </w:rPr>
        <w:t>，</w:t>
      </w:r>
      <w:r>
        <w:t>展示抽检量（批次）、合格率（%）、案数量（件）（件）、罚没金额（万元）以及各自的同比变化率（%）</w:t>
      </w:r>
      <w:r>
        <w:rPr>
          <w:rFonts w:hint="eastAsia"/>
        </w:rPr>
        <w:t>。</w:t>
      </w:r>
    </w:p>
    <w:p>
      <w:pPr>
        <w:pStyle w:val="8"/>
      </w:pPr>
      <w:r>
        <w:t>创新举措</w:t>
      </w:r>
    </w:p>
    <w:p>
      <w:r>
        <w:rPr>
          <w:rFonts w:hint="eastAsia"/>
        </w:rPr>
        <w:t>实现</w:t>
      </w:r>
      <w:r>
        <w:t>创新举措分析</w:t>
      </w:r>
      <w:r>
        <w:rPr>
          <w:rFonts w:hint="eastAsia"/>
        </w:rPr>
        <w:t>，</w:t>
      </w:r>
      <w:r>
        <w:t>展示修订消费类团体标准或农业标准数（项）、放心消费基层服务网点数（个）、ODR协调处理量（个）、消费警示信息发布量（个）和争创食品安全示范城市数量（个）</w:t>
      </w:r>
      <w:r>
        <w:rPr>
          <w:rFonts w:hint="eastAsia"/>
        </w:rPr>
        <w:t>。</w:t>
      </w:r>
    </w:p>
    <w:p>
      <w:pPr>
        <w:pStyle w:val="8"/>
      </w:pPr>
      <w:r>
        <w:t>监管对象分布</w:t>
      </w:r>
    </w:p>
    <w:p>
      <w:r>
        <w:rPr>
          <w:rFonts w:hint="eastAsia"/>
        </w:rPr>
        <w:t>实现</w:t>
      </w:r>
      <w:r>
        <w:t>截至目前监管对象分布情况分析</w:t>
      </w:r>
      <w:r>
        <w:rPr>
          <w:rFonts w:hint="eastAsia"/>
        </w:rPr>
        <w:t>，</w:t>
      </w:r>
      <w:r>
        <w:t>按行业展示TOP6监管对象数量（户）</w:t>
      </w:r>
      <w:r>
        <w:rPr>
          <w:rFonts w:hint="eastAsia"/>
        </w:rPr>
        <w:t>。</w:t>
      </w:r>
    </w:p>
    <w:p>
      <w:pPr>
        <w:pStyle w:val="8"/>
      </w:pPr>
      <w:r>
        <w:t>诚信经营情况</w:t>
      </w:r>
    </w:p>
    <w:p>
      <w:r>
        <w:rPr>
          <w:rFonts w:hint="eastAsia"/>
        </w:rPr>
        <w:t>实现</w:t>
      </w:r>
      <w:r>
        <w:t>截至目前诚信经营情况分析</w:t>
      </w:r>
      <w:r>
        <w:rPr>
          <w:rFonts w:hint="eastAsia"/>
        </w:rPr>
        <w:t>，</w:t>
      </w:r>
      <w:r>
        <w:t>以二维表的形式展现放心消费示范单位、ODR企业、亮证亮照单位、产品标准自我声明公开企业的各自数量（户）和行业覆盖率（%）</w:t>
      </w:r>
      <w:r>
        <w:rPr>
          <w:rFonts w:hint="eastAsia"/>
        </w:rPr>
        <w:t>。</w:t>
      </w:r>
    </w:p>
    <w:p>
      <w:pPr>
        <w:pStyle w:val="8"/>
      </w:pPr>
      <w:r>
        <w:t>违法违规分析</w:t>
      </w:r>
    </w:p>
    <w:p>
      <w:r>
        <w:rPr>
          <w:rFonts w:hint="eastAsia"/>
        </w:rPr>
        <w:t>实现对</w:t>
      </w:r>
      <w:r>
        <w:t>违法违规趋势分析</w:t>
      </w:r>
      <w:r>
        <w:rPr>
          <w:rFonts w:hint="eastAsia"/>
        </w:rPr>
        <w:t>，</w:t>
      </w:r>
      <w:r>
        <w:t>以柱状图形式展现今年以来违法违规单位、合规经营单位的数量（户）；以折线图形式展现违法违规单位占比变化趋势（%）</w:t>
      </w:r>
      <w:r>
        <w:rPr>
          <w:rFonts w:hint="eastAsia"/>
        </w:rPr>
        <w:t>。</w:t>
      </w:r>
    </w:p>
    <w:p>
      <w:pPr>
        <w:pStyle w:val="8"/>
      </w:pPr>
      <w:r>
        <w:t>合理诉求情况</w:t>
      </w:r>
    </w:p>
    <w:p>
      <w:r>
        <w:rPr>
          <w:rFonts w:hint="eastAsia"/>
        </w:rPr>
        <w:t>实现</w:t>
      </w:r>
      <w:r>
        <w:t>本年度公众放心消费合理诉求情况分析</w:t>
      </w:r>
      <w:r>
        <w:rPr>
          <w:rFonts w:hint="eastAsia"/>
        </w:rPr>
        <w:t>，</w:t>
      </w:r>
      <w:r>
        <w:t>展示公众监管人员数量（人）、同比情况（%）、投诉举报量（件）、同比情况（%）</w:t>
      </w:r>
      <w:r>
        <w:rPr>
          <w:rFonts w:hint="eastAsia"/>
        </w:rPr>
        <w:t>。</w:t>
      </w:r>
    </w:p>
    <w:p>
      <w:pPr>
        <w:pStyle w:val="8"/>
      </w:pPr>
      <w:r>
        <w:t>合理诉求响应情况</w:t>
      </w:r>
    </w:p>
    <w:p>
      <w:r>
        <w:rPr>
          <w:rFonts w:hint="eastAsia"/>
        </w:rPr>
        <w:t>实现对</w:t>
      </w:r>
      <w:r>
        <w:t>公众放心消费合理诉求响应情况分析</w:t>
      </w:r>
      <w:r>
        <w:rPr>
          <w:rFonts w:hint="eastAsia"/>
        </w:rPr>
        <w:t>，</w:t>
      </w:r>
      <w:r>
        <w:t>展示纠纷处理率（%）和按时办结率（%）；以柱状图的形式展示近5年纠纷调解量（件）、立案量（件），并以折线图的详实展示赔偿金额（万元）</w:t>
      </w:r>
      <w:r>
        <w:rPr>
          <w:rFonts w:hint="eastAsia"/>
        </w:rPr>
        <w:t>。</w:t>
      </w:r>
    </w:p>
    <w:p>
      <w:pPr>
        <w:pStyle w:val="8"/>
      </w:pPr>
      <w:r>
        <w:t>放心消费满意度</w:t>
      </w:r>
    </w:p>
    <w:p>
      <w:r>
        <w:rPr>
          <w:rFonts w:hint="eastAsia"/>
        </w:rPr>
        <w:t>实现对</w:t>
      </w:r>
      <w:r>
        <w:t>公众放心消费满意度情况</w:t>
      </w:r>
      <w:r>
        <w:rPr>
          <w:rFonts w:hint="eastAsia"/>
        </w:rPr>
        <w:t>，</w:t>
      </w:r>
      <w:r>
        <w:t>从网上消费满意度调查数据，以折线图的形式展示参评城市近三年来的公众放心满意度变化趋势。</w:t>
      </w:r>
    </w:p>
    <w:p>
      <w:pPr>
        <w:pStyle w:val="6"/>
      </w:pPr>
      <w:bookmarkStart w:id="285" w:name="_Toc81828608"/>
      <w:r>
        <w:rPr>
          <w:rFonts w:hint="eastAsia"/>
        </w:rPr>
        <w:t>执法办案</w:t>
      </w:r>
      <w:bookmarkEnd w:id="285"/>
    </w:p>
    <w:p>
      <w:pPr>
        <w:pStyle w:val="7"/>
      </w:pPr>
      <w:r>
        <w:rPr>
          <w:rFonts w:hint="eastAsia"/>
        </w:rPr>
        <w:t>概述</w:t>
      </w:r>
    </w:p>
    <w:p>
      <w:r>
        <w:rPr>
          <w:rFonts w:hint="eastAsia"/>
        </w:rPr>
        <w:t>围绕行政处罚、行政强制、行政诉讼、行政复议等工作开展情况，开展专题分析。针对案源、案件类型、涉及监管主体类型等开展行政处罚案件的对比分析、趋势分析、结构分析与风险研判。</w:t>
      </w:r>
    </w:p>
    <w:p>
      <w:pPr>
        <w:pStyle w:val="7"/>
      </w:pPr>
      <w:r>
        <w:rPr>
          <w:rFonts w:hint="eastAsia"/>
        </w:rPr>
        <w:t>总体概览</w:t>
      </w:r>
    </w:p>
    <w:p>
      <w:pPr>
        <w:pStyle w:val="8"/>
      </w:pPr>
      <w:r>
        <w:t>案件总体概况</w:t>
      </w:r>
    </w:p>
    <w:p>
      <w:r>
        <w:rPr>
          <w:rFonts w:hint="eastAsia"/>
        </w:rPr>
        <w:t>实现</w:t>
      </w:r>
      <w:r>
        <w:t>本年案件总体概况</w:t>
      </w:r>
      <w:r>
        <w:rPr>
          <w:rFonts w:hint="eastAsia"/>
        </w:rPr>
        <w:t>展现，</w:t>
      </w:r>
      <w:r>
        <w:t>展示本年案数量（件）量（件）、罚没金额（亿元）、移送司法案数量（件）、纠错案数量（件）；并以地图的形式展示全省各地市案件总量（其中包括一般案数量（件）和简易案数量（件）、案值总金额（万元）、罚没金额（万元）。</w:t>
      </w:r>
    </w:p>
    <w:p>
      <w:pPr>
        <w:pStyle w:val="8"/>
      </w:pPr>
      <w:r>
        <w:t>执法办案排名</w:t>
      </w:r>
    </w:p>
    <w:p>
      <w:r>
        <w:rPr>
          <w:rFonts w:hint="eastAsia"/>
        </w:rPr>
        <w:t>实现对</w:t>
      </w:r>
      <w:r>
        <w:t>各区域执法办案情况排名</w:t>
      </w:r>
      <w:r>
        <w:rPr>
          <w:rFonts w:hint="eastAsia"/>
        </w:rPr>
        <w:t>，</w:t>
      </w:r>
      <w:r>
        <w:t>以柱状图的形式展示全省各地区案数量（件），并区简易案件量（件）和一般案件量（件），用折线图的形式展示各地区案件办结率（%）</w:t>
      </w:r>
      <w:r>
        <w:rPr>
          <w:rFonts w:hint="eastAsia"/>
        </w:rPr>
        <w:t>。</w:t>
      </w:r>
    </w:p>
    <w:p>
      <w:pPr>
        <w:pStyle w:val="8"/>
      </w:pPr>
      <w:r>
        <w:t>案件趋势分析</w:t>
      </w:r>
    </w:p>
    <w:p>
      <w:r>
        <w:rPr>
          <w:rFonts w:hint="eastAsia"/>
        </w:rPr>
        <w:t>对</w:t>
      </w:r>
      <w:r>
        <w:t>执法办案案件趋势分析</w:t>
      </w:r>
      <w:r>
        <w:rPr>
          <w:rFonts w:hint="eastAsia"/>
        </w:rPr>
        <w:t>，</w:t>
      </w:r>
      <w:r>
        <w:t>以折线图的形式展示近5年执法办案案件编号趋势及对应的数量（件）</w:t>
      </w:r>
      <w:r>
        <w:rPr>
          <w:rFonts w:hint="eastAsia"/>
        </w:rPr>
        <w:t>。</w:t>
      </w:r>
    </w:p>
    <w:p>
      <w:pPr>
        <w:pStyle w:val="8"/>
      </w:pPr>
      <w:r>
        <w:t>执法办案情况</w:t>
      </w:r>
    </w:p>
    <w:p>
      <w:r>
        <w:rPr>
          <w:rFonts w:hint="eastAsia"/>
        </w:rPr>
        <w:t>实现对</w:t>
      </w:r>
      <w:r>
        <w:t>执法办案情况</w:t>
      </w:r>
      <w:r>
        <w:rPr>
          <w:rFonts w:hint="eastAsia"/>
        </w:rPr>
        <w:t>分析，</w:t>
      </w:r>
      <w:r>
        <w:t>以柱状图的形式分别展示行政处罚、行政诉讼、行政复议、行政赔偿的案数量（件）和办结量（件）</w:t>
      </w:r>
      <w:r>
        <w:rPr>
          <w:rFonts w:hint="eastAsia"/>
        </w:rPr>
        <w:t>。</w:t>
      </w:r>
    </w:p>
    <w:p>
      <w:pPr>
        <w:pStyle w:val="8"/>
      </w:pPr>
      <w:r>
        <w:t>案件线索/来源</w:t>
      </w:r>
    </w:p>
    <w:p>
      <w:r>
        <w:rPr>
          <w:rFonts w:hint="eastAsia"/>
        </w:rPr>
        <w:t>实现对</w:t>
      </w:r>
      <w:r>
        <w:t>执法办案案件线索/来源分布</w:t>
      </w:r>
      <w:r>
        <w:rPr>
          <w:rFonts w:hint="eastAsia"/>
        </w:rPr>
        <w:t>分析，</w:t>
      </w:r>
      <w:r>
        <w:t>以柱状图的形式这哪是监督检查、投诉举报、其他机关移交、上级机关交办和其他等线索来源的数量（件）和根据线索转案件的数量（件）</w:t>
      </w:r>
      <w:r>
        <w:rPr>
          <w:rFonts w:hint="eastAsia"/>
        </w:rPr>
        <w:t>。</w:t>
      </w:r>
    </w:p>
    <w:p>
      <w:pPr>
        <w:pStyle w:val="8"/>
      </w:pPr>
      <w:r>
        <w:t>执法办案领域</w:t>
      </w:r>
      <w:r>
        <w:rPr>
          <w:rFonts w:hint="eastAsia"/>
        </w:rPr>
        <w:t>分析</w:t>
      </w:r>
    </w:p>
    <w:p>
      <w:r>
        <w:rPr>
          <w:rFonts w:hint="eastAsia"/>
        </w:rPr>
        <w:t>实现对</w:t>
      </w:r>
      <w:r>
        <w:t>执法办案</w:t>
      </w:r>
      <w:r>
        <w:rPr>
          <w:rFonts w:hint="eastAsia"/>
        </w:rPr>
        <w:t>涉及</w:t>
      </w:r>
      <w:r>
        <w:t>领域分布分析</w:t>
      </w:r>
      <w:r>
        <w:rPr>
          <w:rFonts w:hint="eastAsia"/>
        </w:rPr>
        <w:t>，</w:t>
      </w:r>
      <w:r>
        <w:t>以环状图的形式展示食品、药品、换妆品、医疗器械、其他领域的各自占比情况（%）</w:t>
      </w:r>
      <w:r>
        <w:rPr>
          <w:rFonts w:hint="eastAsia"/>
        </w:rPr>
        <w:t>。</w:t>
      </w:r>
    </w:p>
    <w:p>
      <w:pPr>
        <w:pStyle w:val="8"/>
      </w:pPr>
      <w:r>
        <w:t>执法办案</w:t>
      </w:r>
      <w:r>
        <w:rPr>
          <w:rFonts w:hint="eastAsia"/>
        </w:rPr>
        <w:t>T</w:t>
      </w:r>
      <w:r>
        <w:t>OP5</w:t>
      </w:r>
    </w:p>
    <w:p>
      <w:r>
        <w:rPr>
          <w:rFonts w:hint="eastAsia"/>
        </w:rPr>
        <w:t>实现</w:t>
      </w:r>
      <w:r>
        <w:t>执法办案行业TOP5</w:t>
      </w:r>
      <w:r>
        <w:rPr>
          <w:rFonts w:hint="eastAsia"/>
        </w:rPr>
        <w:t>分析展现，</w:t>
      </w:r>
      <w:r>
        <w:t>展示案数量（件）量最多的TOP5行业及对应的案数量（件）（件）；展示罚没金额最高的TOP5行业及对应的金额（万元）</w:t>
      </w:r>
      <w:r>
        <w:rPr>
          <w:rFonts w:hint="eastAsia"/>
        </w:rPr>
        <w:t>。</w:t>
      </w:r>
    </w:p>
    <w:p>
      <w:pPr>
        <w:pStyle w:val="8"/>
      </w:pPr>
      <w:r>
        <w:t>最新执法办案</w:t>
      </w:r>
    </w:p>
    <w:p>
      <w:r>
        <w:rPr>
          <w:rFonts w:hint="eastAsia"/>
        </w:rPr>
        <w:t>实现</w:t>
      </w:r>
      <w:r>
        <w:t>最新执法办案列表</w:t>
      </w:r>
      <w:r>
        <w:rPr>
          <w:rFonts w:hint="eastAsia"/>
        </w:rPr>
        <w:t>展现，</w:t>
      </w:r>
      <w:r>
        <w:t>以二维表的形式展示涉案企业、违法实施、罚没金额（万元）、处罚结果。</w:t>
      </w:r>
    </w:p>
    <w:p>
      <w:pPr>
        <w:pStyle w:val="5"/>
      </w:pPr>
      <w:bookmarkStart w:id="286" w:name="_Toc99092999"/>
      <w:r>
        <w:rPr>
          <w:rFonts w:hint="eastAsia"/>
        </w:rPr>
        <w:t>监管大脑主题库技术架构</w:t>
      </w:r>
    </w:p>
    <w:p>
      <w:r>
        <w:t>监管大脑主题库技术架构</w:t>
      </w:r>
      <w:r>
        <w:rPr>
          <w:rFonts w:hint="eastAsia"/>
        </w:rPr>
        <w:t>，根据总局市场监管领域智慧监管的技术要求，本项目运用大数据等现代技术，通过强化机制创新、流程再造、业务协同、资源统筹、数据共享、系统整合和安全管控，统筹推进总局与地方市场监管部门的智慧监管工作。</w:t>
      </w:r>
    </w:p>
    <w:p>
      <w:pPr>
        <w:pStyle w:val="6"/>
      </w:pPr>
      <w:r>
        <w:t>数据可视化工具</w:t>
      </w:r>
    </w:p>
    <w:p>
      <w:r>
        <w:rPr>
          <w:rFonts w:hint="eastAsia"/>
        </w:rPr>
        <w:t>基于商业智能（</w:t>
      </w:r>
      <w:r>
        <w:t>BI）使用数据仓库技术、数据获取技术、联机分析处理技术和数据挖掘技术进行数据分析。基于已有的数据源的数据进行收集，提取有用的数据进行加工、处理以保证数据的正确性，加工后的数据经过转换、重构存入数据仓库成为实体信息，并对这些实体信息进行查询、挖掘、分析和评估，使其成为辅助决策的知识进行可视化呈现，为用户提供精准数据支撑。</w:t>
      </w:r>
    </w:p>
    <w:p>
      <w:r>
        <w:rPr>
          <w:rFonts w:hint="eastAsia"/>
        </w:rPr>
        <w:t>数据可视化工具整合了各行业的数据分析和决策支持的需求，满足用户需求的数据获取、数据建模、数据分析、报表、绩效监控和信息发布等需求，具有仪表盘、管理驾驶舱、智能报表、统计图控件、</w:t>
      </w:r>
      <w:r>
        <w:t>OLAP、Query、Mobile、工作流、全文检索等丰富的功能，可实现非固定自定义报表制表功能，具有展现丰富、快速开发的特点，可将政府中现有的数据转化为信息和知识，辅助政府精细化管理、领导决策等。</w:t>
      </w:r>
    </w:p>
    <w:p>
      <w:pPr>
        <w:pStyle w:val="6"/>
      </w:pPr>
      <w:r>
        <w:rPr>
          <w:rFonts w:hint="eastAsia"/>
        </w:rPr>
        <w:t>G</w:t>
      </w:r>
      <w:r>
        <w:t>IS地理信息引擎</w:t>
      </w:r>
    </w:p>
    <w:p>
      <w:r>
        <w:t>GIS以可视化和分析地理配准信息为目的，超越静态地图的能力，为访问和使用所有地理信息，描述性数据创建的丰富的空间分析提供交互式窗口。可在地图上绘制描点信息，存储在数据库中进行管理，同时支持台式计算机、移动设备和WEB浏览器等任何位置使用。</w:t>
      </w:r>
    </w:p>
    <w:p>
      <w:pPr>
        <w:pStyle w:val="6"/>
      </w:pPr>
      <w:r>
        <w:rPr>
          <w:rFonts w:hint="eastAsia"/>
        </w:rPr>
        <w:t>大数据技术</w:t>
      </w:r>
    </w:p>
    <w:p>
      <w:pPr>
        <w:pStyle w:val="7"/>
      </w:pPr>
      <w:r>
        <w:rPr>
          <w:rFonts w:hint="eastAsia"/>
        </w:rPr>
        <w:t>海量数据处理</w:t>
      </w:r>
    </w:p>
    <w:p>
      <w:pPr>
        <w:rPr>
          <w:rFonts w:ascii="宋体" w:hAnsi="宋体" w:cs="Times New Roman"/>
          <w:color w:val="auto"/>
          <w:szCs w:val="22"/>
        </w:rPr>
      </w:pPr>
      <w:r>
        <w:rPr>
          <w:rFonts w:hint="eastAsia" w:ascii="宋体" w:hAnsi="宋体"/>
        </w:rPr>
        <w:t>提供海量数据处理分析能力，能够按照业务诉求，对海量数据快速加工分析，并保证数据时效性。为决策方的决策提供有力的数据支持。同时，对数据加工处理过程以可视化的方式进行配置，提高技术人员工作效率。</w:t>
      </w:r>
    </w:p>
    <w:p/>
    <w:p>
      <w:pPr>
        <w:pStyle w:val="7"/>
      </w:pPr>
      <w:r>
        <w:rPr>
          <w:rFonts w:hint="eastAsia"/>
        </w:rPr>
        <w:t>大数据分析挖掘</w:t>
      </w:r>
    </w:p>
    <w:p>
      <w:r>
        <w:rPr>
          <w:rFonts w:hint="eastAsia"/>
        </w:rPr>
        <w:t>基于自然语言智能处理、全文检索、遗传算法、神经网络等前沿技术，实现大数据的应用研究。主要包括但不限于以下几点：</w:t>
      </w:r>
    </w:p>
    <w:p>
      <w:r>
        <w:rPr>
          <w:rFonts w:hint="eastAsia"/>
        </w:rPr>
        <w:t>自然语言智能处理技术（</w:t>
      </w:r>
      <w:r>
        <w:t>NLP），包括自动分词技术、自动关键词和自动摘要技术、全文检索技术，分词准确性达到99%，融合多种技术，提供丰富的检索手段以及同义词等智能检索方式，有效实现企业信息的抓取、关联与归集。</w:t>
      </w:r>
    </w:p>
    <w:p>
      <w:r>
        <w:rPr>
          <w:rFonts w:hint="eastAsia"/>
        </w:rPr>
        <w:t>利用专业的建模工具，深入研究涉企数据内在关联及特性，通过对工商及相关人员在数据内部关联方面需求的深入调研，建立重点监管对象的风险评估模型等多个数据分析模型。</w:t>
      </w:r>
    </w:p>
    <w:p>
      <w:pPr>
        <w:pStyle w:val="7"/>
      </w:pPr>
      <w:r>
        <w:rPr>
          <w:rFonts w:hint="eastAsia"/>
        </w:rPr>
        <w:t>数据分析体系</w:t>
      </w:r>
    </w:p>
    <w:p>
      <w:r>
        <w:rPr>
          <w:rFonts w:hint="eastAsia"/>
        </w:rPr>
        <w:t>数据分析平台具备可扩展性，应遵循成熟的</w:t>
      </w:r>
      <w:r>
        <w:t>DW多维模型理论，使用数据分析平台提供的数据仓库建模工具即可定义规范的数据仓库模型，遵循多维模型、雪花模型、总线架构、一致性维度等规范，可以非常方便的使用拖拽式操作定义报表、OLAP和查询。提供完全开放的接口，而且易用、成本低。具有完全可视化且简单易用的图形界面，拥有零客户端特性，节约大量部署成本，使管理简单易行。</w:t>
      </w:r>
    </w:p>
    <w:p>
      <w:pPr>
        <w:pStyle w:val="5"/>
        <w:rPr>
          <w:rFonts w:ascii="仿宋" w:hAnsi="仿宋" w:cs="仿宋"/>
          <w:sz w:val="24"/>
        </w:rPr>
      </w:pPr>
      <w:r>
        <w:rPr>
          <w:rFonts w:hint="eastAsia"/>
        </w:rPr>
        <w:t>主题库</w:t>
      </w:r>
      <w:r>
        <w:rPr>
          <w:rFonts w:hint="eastAsia" w:ascii="仿宋" w:hAnsi="仿宋"/>
        </w:rPr>
        <w:t>设计原则</w:t>
      </w:r>
    </w:p>
    <w:p>
      <w:pPr>
        <w:pStyle w:val="14"/>
        <w:ind w:firstLine="480"/>
        <w:rPr>
          <w:rFonts w:hint="eastAsia"/>
        </w:rPr>
      </w:pPr>
      <w:r>
        <w:rPr>
          <w:rFonts w:hint="eastAsia"/>
        </w:rPr>
        <w:t>主题库建设，是一个数据集成系统，需要整合各个业务部门的数据，涉及到多种数据库和不同标准的数据信息，要想做好这些数据的分析和利用，系统的设计是至关重要的问题，无论从硬件还是软件，都需要做好整体设计，我们采取以下设计原则对系统进行设计工作。</w:t>
      </w:r>
    </w:p>
    <w:p>
      <w:pPr>
        <w:pStyle w:val="14"/>
        <w:ind w:firstLine="480"/>
      </w:pPr>
      <w:r>
        <w:rPr>
          <w:rFonts w:hint="eastAsia"/>
        </w:rPr>
        <w:t>首先，通过制定严密周到的系统调研方案和业务需求分析方法，高质量地完成系统调研工作，制定出操作性强的各种规范。</w:t>
      </w:r>
    </w:p>
    <w:p>
      <w:pPr>
        <w:pStyle w:val="14"/>
        <w:ind w:firstLine="480"/>
      </w:pPr>
      <w:r>
        <w:rPr>
          <w:rFonts w:hint="eastAsia"/>
        </w:rPr>
        <w:t>其次，对政务数据库做整体规划，明确核心库、输入数据库、输出数据库三个层次的数据存储模式，分布式共享和集中存储的数据共享方式。</w:t>
      </w:r>
    </w:p>
    <w:p>
      <w:pPr>
        <w:pStyle w:val="14"/>
        <w:ind w:firstLine="480"/>
      </w:pPr>
      <w:r>
        <w:rPr>
          <w:rFonts w:hint="eastAsia"/>
        </w:rPr>
        <w:t>第三，遵循相关数据安全标准、数据共享标准，在数据库设计上满足数据分布式共享的需求。</w:t>
      </w:r>
    </w:p>
    <w:p>
      <w:pPr>
        <w:pStyle w:val="6"/>
      </w:pPr>
      <w:r>
        <w:rPr>
          <w:rFonts w:hint="eastAsia"/>
        </w:rPr>
        <w:t>数据粒度</w:t>
      </w:r>
    </w:p>
    <w:p>
      <w:pPr>
        <w:pStyle w:val="14"/>
        <w:ind w:firstLine="480"/>
        <w:rPr>
          <w:rFonts w:hint="eastAsia"/>
        </w:rPr>
      </w:pPr>
      <w:r>
        <w:rPr>
          <w:rFonts w:hint="eastAsia"/>
        </w:rPr>
        <w:t>数据粒度指数据仓库中数据保留的详细程度，数据粒度越低，数据越详细；越高则汇总程度越高。数据粒度低，则可以获取更详细数据，但应用的响应速度越低；越高则响应速度越高，但可能丧失某些层面的信息。</w:t>
      </w:r>
    </w:p>
    <w:p>
      <w:pPr>
        <w:pStyle w:val="6"/>
      </w:pPr>
      <w:r>
        <w:rPr>
          <w:rFonts w:hint="eastAsia"/>
        </w:rPr>
        <w:t>数据保留时间和采集及时性</w:t>
      </w:r>
    </w:p>
    <w:p>
      <w:pPr>
        <w:pStyle w:val="14"/>
        <w:ind w:firstLine="480"/>
        <w:rPr>
          <w:rFonts w:hint="eastAsia"/>
        </w:rPr>
      </w:pPr>
      <w:r>
        <w:rPr>
          <w:rFonts w:hint="eastAsia"/>
        </w:rPr>
        <w:t>数据保留时间越长，保留的历史信息越丰富，但也需要更大的数据仓库空间；采集越及时，越能更及时地提供应用，但对源业务系统、数据</w:t>
      </w:r>
      <w:r>
        <w:t>ETL</w:t>
      </w:r>
      <w:r>
        <w:rPr>
          <w:rFonts w:hint="eastAsia"/>
        </w:rPr>
        <w:t>和数据仓库提出的要求越高。</w:t>
      </w:r>
    </w:p>
    <w:p>
      <w:pPr>
        <w:pStyle w:val="6"/>
      </w:pPr>
      <w:r>
        <w:rPr>
          <w:rFonts w:hint="eastAsia"/>
        </w:rPr>
        <w:t>可存取性</w:t>
      </w:r>
    </w:p>
    <w:p>
      <w:pPr>
        <w:pStyle w:val="14"/>
        <w:ind w:firstLine="480"/>
        <w:rPr>
          <w:rFonts w:hint="eastAsia"/>
        </w:rPr>
      </w:pPr>
      <w:r>
        <w:rPr>
          <w:rFonts w:hint="eastAsia"/>
        </w:rPr>
        <w:t>可存取性指最终用户需要的数据仓库应用的可用程度。</w:t>
      </w:r>
      <w:r>
        <w:t>7x24</w:t>
      </w:r>
      <w:r>
        <w:rPr>
          <w:rFonts w:hint="eastAsia"/>
        </w:rPr>
        <w:t>的可存取性固然对最终用户而言非常好，但可能要求对系统进行更大的投入。</w:t>
      </w:r>
    </w:p>
    <w:p>
      <w:pPr>
        <w:pStyle w:val="6"/>
      </w:pPr>
      <w:r>
        <w:rPr>
          <w:rFonts w:hint="eastAsia"/>
        </w:rPr>
        <w:t>可扩展性</w:t>
      </w:r>
    </w:p>
    <w:p>
      <w:pPr>
        <w:pStyle w:val="14"/>
        <w:ind w:firstLine="480"/>
        <w:rPr>
          <w:rFonts w:hint="eastAsia"/>
        </w:rPr>
      </w:pPr>
      <w:r>
        <w:rPr>
          <w:rFonts w:hint="eastAsia"/>
        </w:rPr>
        <w:t>可扩展性是在不显著增加系统响应时间和软硬件花费的情况下，在用户数量、数据量或处理能力方面增加系统负载的能力。如果在架构的早期设计中充分考虑以下因素，数据仓库的可扩展性就能得以提高：</w:t>
      </w:r>
    </w:p>
    <w:p>
      <w:pPr>
        <w:pStyle w:val="14"/>
        <w:ind w:firstLine="480"/>
      </w:pPr>
      <w:r>
        <w:rPr>
          <w:rFonts w:hint="eastAsia"/>
        </w:rPr>
        <w:t>数据库管理系统软件选型；</w:t>
      </w:r>
    </w:p>
    <w:p>
      <w:pPr>
        <w:pStyle w:val="14"/>
        <w:ind w:firstLine="480"/>
      </w:pPr>
      <w:r>
        <w:rPr>
          <w:rFonts w:hint="eastAsia"/>
        </w:rPr>
        <w:t>技术架构设计，特别是</w:t>
      </w:r>
      <w:r>
        <w:t>ETL</w:t>
      </w:r>
      <w:r>
        <w:rPr>
          <w:rFonts w:hint="eastAsia"/>
        </w:rPr>
        <w:t>、数据仓库组件的选择，硬件、操作系统平台的选择，以及并行和集群技术的使用。</w:t>
      </w:r>
    </w:p>
    <w:p>
      <w:pPr>
        <w:pStyle w:val="6"/>
      </w:pPr>
      <w:r>
        <w:rPr>
          <w:rFonts w:hint="eastAsia"/>
        </w:rPr>
        <w:t>数据加载频率</w:t>
      </w:r>
    </w:p>
    <w:p>
      <w:pPr>
        <w:pStyle w:val="14"/>
        <w:ind w:firstLine="480"/>
        <w:rPr>
          <w:rFonts w:hint="eastAsia"/>
        </w:rPr>
      </w:pPr>
      <w:r>
        <w:rPr>
          <w:rFonts w:hint="eastAsia"/>
        </w:rPr>
        <w:t>数据加载频度指在数据仓库中进行数据加载的频率，数据加载频率越高，应用的实时性越强，对业务系统、</w:t>
      </w:r>
      <w:r>
        <w:t>ETL</w:t>
      </w:r>
      <w:r>
        <w:rPr>
          <w:rFonts w:hint="eastAsia"/>
        </w:rPr>
        <w:t>系统和数据仓库的要求越高、对业务系统的影响越大。</w:t>
      </w:r>
    </w:p>
    <w:p>
      <w:pPr>
        <w:pStyle w:val="6"/>
      </w:pPr>
      <w:r>
        <w:rPr>
          <w:rFonts w:hint="eastAsia"/>
        </w:rPr>
        <w:t>行业特殊需求</w:t>
      </w:r>
    </w:p>
    <w:p>
      <w:pPr>
        <w:pStyle w:val="7"/>
        <w:rPr>
          <w:rFonts w:hint="eastAsia" w:ascii="宋体" w:hAnsi="宋体"/>
        </w:rPr>
      </w:pPr>
      <w:r>
        <w:rPr>
          <w:rFonts w:hint="eastAsia" w:ascii="宋体" w:hAnsi="宋体"/>
        </w:rPr>
        <w:t>主题的增加应便捷灵活</w:t>
      </w:r>
    </w:p>
    <w:p>
      <w:pPr>
        <w:rPr>
          <w:rFonts w:hint="eastAsia"/>
        </w:rPr>
      </w:pPr>
      <w:r>
        <w:rPr>
          <w:rFonts w:hint="eastAsia"/>
        </w:rPr>
        <w:t>市场监管业务复杂多变，随着社会的进步，业务不断发生着变化，例如随着电商的兴起，网络商品交易监管制度与时俱进的加入到市场监管日常业务中，系统就需要增加相应的主题，使数据仓库不断完善。另外系统的分析方向众多，涉及社会各界，且热点每年都会发生变化，分析主题会随着社会经济的发展不断有所增加，系统采用自上而下的设计方法来设计数据仓库系统，采用自底向上的方式实施，这样每增加一个主题就是建设一个新的数据集市，每个数据集市都是整体数据仓库的有机组成部分，分步骤分阶段建成完整的数据仓库，在完整的数据仓库建立起来以后，就可以更快的建立更多的数据集市，满足系统不断增加的业务需求。</w:t>
      </w:r>
    </w:p>
    <w:p>
      <w:pPr>
        <w:pStyle w:val="7"/>
        <w:rPr>
          <w:rFonts w:ascii="宋体" w:hAnsi="宋体"/>
        </w:rPr>
      </w:pPr>
      <w:r>
        <w:rPr>
          <w:rFonts w:hint="eastAsia" w:ascii="宋体" w:hAnsi="宋体"/>
        </w:rPr>
        <w:t>主题所含指标的修改应便捷灵活</w:t>
      </w:r>
    </w:p>
    <w:p>
      <w:pPr>
        <w:pStyle w:val="14"/>
        <w:ind w:firstLine="480"/>
        <w:rPr>
          <w:rFonts w:hint="eastAsia"/>
        </w:rPr>
      </w:pPr>
      <w:r>
        <w:rPr>
          <w:rFonts w:hint="eastAsia"/>
        </w:rPr>
        <w:t>主题的内容是由指标来体现，主题的分析目标可能在一定的范围内发生变化，其所包含的指标就会有相应的增加或减少，由于数据仓库采用的是多维方式的数据存储方式，某个主题下指标的增加（减少），只需要在相应的指标维表、事实表中增加（减少）新的数据即可；每个主题在数据库对应一个指标代码表，具体解释主题下所含指标。每个主题相关数据组成一个事实表。这样主题可以很方便增加，且效率比较高，主题下指标可以灵活适当的调整。</w:t>
      </w:r>
    </w:p>
    <w:p>
      <w:pPr>
        <w:pStyle w:val="7"/>
        <w:rPr>
          <w:rFonts w:ascii="宋体" w:hAnsi="宋体"/>
        </w:rPr>
      </w:pPr>
      <w:r>
        <w:rPr>
          <w:rFonts w:hint="eastAsia" w:ascii="宋体" w:hAnsi="宋体"/>
        </w:rPr>
        <w:t>指标数据修改</w:t>
      </w:r>
    </w:p>
    <w:p>
      <w:pPr>
        <w:pStyle w:val="14"/>
        <w:ind w:firstLine="480"/>
        <w:rPr>
          <w:rFonts w:hint="eastAsia"/>
        </w:rPr>
      </w:pPr>
      <w:r>
        <w:rPr>
          <w:rFonts w:hint="eastAsia"/>
        </w:rPr>
        <w:t>数据具有不可修改性是数据仓库中一个非常重要的原则。然而制度在不断地完善，指标口径会发生变化，为保持同一指标不同历史时期的数据具有可比性，则要求数据在一定范围内可调整。为了解决这一矛盾，系统在数据库设计时把数据分为原始业务数据和主题事实数据，的原始数据一旦进入数据仓库（专业事实表）将不容许发生变化，对指标进行调整都是基于原始专业数据进行的，调整后的数据放入主题数据表中，用户查询的是调整后具有可比性的数据。这种设计可以容许对同一数据在不同历史时期进行不同的调整，同时又能保存最原始的历史数据不丢失，保持历史的真实性。</w:t>
      </w:r>
    </w:p>
    <w:p>
      <w:pPr>
        <w:pStyle w:val="7"/>
        <w:rPr>
          <w:rFonts w:ascii="宋体" w:hAnsi="宋体"/>
        </w:rPr>
      </w:pPr>
      <w:r>
        <w:rPr>
          <w:rFonts w:hint="eastAsia" w:ascii="宋体" w:hAnsi="宋体"/>
        </w:rPr>
        <w:t>数据更新一致性</w:t>
      </w:r>
    </w:p>
    <w:p>
      <w:pPr>
        <w:pStyle w:val="14"/>
        <w:ind w:firstLine="480"/>
        <w:rPr>
          <w:rFonts w:hint="eastAsia"/>
        </w:rPr>
      </w:pPr>
      <w:r>
        <w:rPr>
          <w:rFonts w:hint="eastAsia"/>
        </w:rPr>
        <w:t>由于数据仓库的数据来源来自不同数据库，为了防止数据的异步操作给系统的数据一致性问题。我们通过制定严格的数据库操作权限，保证每个指标数据只有唯一的用户拥有更新（增加、删除）权限，但可以有多个用户有查询权限。</w:t>
      </w:r>
    </w:p>
    <w:p>
      <w:pPr>
        <w:pStyle w:val="7"/>
        <w:rPr>
          <w:rFonts w:ascii="宋体" w:hAnsi="宋体"/>
        </w:rPr>
      </w:pPr>
      <w:r>
        <w:rPr>
          <w:rFonts w:hint="eastAsia" w:ascii="宋体" w:hAnsi="宋体"/>
        </w:rPr>
        <w:t>定时报警</w:t>
      </w:r>
    </w:p>
    <w:p>
      <w:pPr>
        <w:pStyle w:val="14"/>
        <w:ind w:firstLine="480"/>
        <w:rPr>
          <w:rFonts w:hint="eastAsia"/>
        </w:rPr>
      </w:pPr>
      <w:r>
        <w:rPr>
          <w:rFonts w:hint="eastAsia"/>
        </w:rPr>
        <w:t>定时检测各个数据源的数据是否按设计要求及时导入数据仓库，否则以适当方式报警。</w:t>
      </w:r>
    </w:p>
    <w:p>
      <w:pPr>
        <w:pStyle w:val="7"/>
        <w:rPr>
          <w:rFonts w:ascii="宋体" w:hAnsi="宋体"/>
        </w:rPr>
      </w:pPr>
      <w:r>
        <w:rPr>
          <w:rFonts w:hint="eastAsia" w:ascii="宋体" w:hAnsi="宋体"/>
        </w:rPr>
        <w:t>跨主题指标的查询</w:t>
      </w:r>
    </w:p>
    <w:p>
      <w:pPr>
        <w:rPr>
          <w:rFonts w:hint="eastAsia" w:ascii="新宋体" w:hAnsi="新宋体" w:eastAsia="新宋体"/>
          <w:szCs w:val="32"/>
        </w:rPr>
      </w:pPr>
      <w:r>
        <w:rPr>
          <w:rFonts w:hint="eastAsia" w:ascii="新宋体" w:hAnsi="新宋体" w:eastAsia="新宋体"/>
          <w:szCs w:val="32"/>
        </w:rPr>
        <w:t>通过调整主题指标，适当冗余一些指标，减少跨主题指标的查询，以提高数据仓库效率，更高效的为各应用服务；</w:t>
      </w:r>
    </w:p>
    <w:p>
      <w:pPr>
        <w:pStyle w:val="14"/>
        <w:ind w:firstLine="480"/>
      </w:pPr>
      <w:r>
        <w:rPr>
          <w:rFonts w:hint="eastAsia"/>
        </w:rPr>
        <w:t>临时性的跨主题指标查询，利用全局指标库，从不同的主题事实表中查询。</w:t>
      </w:r>
    </w:p>
    <w:p>
      <w:pPr>
        <w:pStyle w:val="4"/>
        <w:bidi w:val="0"/>
        <w:ind w:left="240" w:leftChars="0" w:firstLineChars="0"/>
      </w:pPr>
      <w:bookmarkStart w:id="287" w:name="_Toc5918"/>
      <w:r>
        <w:rPr>
          <w:rFonts w:hint="eastAsia"/>
        </w:rPr>
        <w:t>证照库平台</w:t>
      </w:r>
      <w:bookmarkEnd w:id="286"/>
      <w:bookmarkEnd w:id="287"/>
    </w:p>
    <w:p>
      <w:pPr>
        <w:pStyle w:val="5"/>
      </w:pPr>
      <w:bookmarkStart w:id="288" w:name="_Toc20252"/>
      <w:r>
        <w:rPr>
          <w:rFonts w:hint="eastAsia"/>
        </w:rPr>
        <w:t>电子证照生成</w:t>
      </w:r>
      <w:bookmarkEnd w:id="288"/>
    </w:p>
    <w:p>
      <w:pPr>
        <w:pStyle w:val="6"/>
      </w:pPr>
      <w:r>
        <w:rPr>
          <w:rFonts w:hint="eastAsia"/>
        </w:rPr>
        <w:t>业务描述</w:t>
      </w:r>
    </w:p>
    <w:p>
      <w:pPr>
        <w:rPr>
          <w:rFonts w:ascii="新宋体" w:hAnsi="新宋体" w:eastAsia="新宋体"/>
          <w:szCs w:val="32"/>
        </w:rPr>
      </w:pPr>
      <w:r>
        <w:rPr>
          <w:rFonts w:hint="eastAsia" w:ascii="新宋体" w:hAnsi="新宋体" w:eastAsia="新宋体"/>
          <w:szCs w:val="32"/>
        </w:rPr>
        <w:t>按照总局要求以及本地化需求，需生成特种设备生产许可证、全国工业产品生产许可证、计量器具型式批准证书、食品经营许可证、食品生产许可证，然后根据信息生成PDF，再通过黑龙江省垂管信息系统与一体化平台电子印章系统对PDF进行盖章。</w:t>
      </w:r>
    </w:p>
    <w:p>
      <w:pPr>
        <w:pStyle w:val="6"/>
      </w:pPr>
      <w:bookmarkStart w:id="289" w:name="_Hlk110240451"/>
      <w:r>
        <w:rPr>
          <w:rFonts w:hint="eastAsia"/>
        </w:rPr>
        <w:t>业务活动图</w:t>
      </w:r>
    </w:p>
    <w:bookmarkEnd w:id="289"/>
    <w:p>
      <w:r>
        <w:drawing>
          <wp:inline distT="0" distB="0" distL="114300" distR="114300">
            <wp:extent cx="5200650" cy="3848100"/>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2"/>
                    <a:stretch>
                      <a:fillRect/>
                    </a:stretch>
                  </pic:blipFill>
                  <pic:spPr>
                    <a:xfrm>
                      <a:off x="0" y="0"/>
                      <a:ext cx="5200650" cy="3848100"/>
                    </a:xfrm>
                    <a:prstGeom prst="rect">
                      <a:avLst/>
                    </a:prstGeom>
                    <a:noFill/>
                    <a:ln>
                      <a:noFill/>
                    </a:ln>
                  </pic:spPr>
                </pic:pic>
              </a:graphicData>
            </a:graphic>
          </wp:inline>
        </w:drawing>
      </w:r>
    </w:p>
    <w:p>
      <w:pPr>
        <w:pStyle w:val="6"/>
      </w:pPr>
      <w:r>
        <w:rPr>
          <w:rFonts w:hint="eastAsia"/>
        </w:rPr>
        <w:t>功能组成</w:t>
      </w:r>
    </w:p>
    <w:p>
      <w:pPr>
        <w:jc w:val="center"/>
      </w:pPr>
      <w:r>
        <w:drawing>
          <wp:inline distT="0" distB="0" distL="114300" distR="114300">
            <wp:extent cx="2362200" cy="253365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3"/>
                    <a:stretch>
                      <a:fillRect/>
                    </a:stretch>
                  </pic:blipFill>
                  <pic:spPr>
                    <a:xfrm>
                      <a:off x="0" y="0"/>
                      <a:ext cx="2362200" cy="2533650"/>
                    </a:xfrm>
                    <a:prstGeom prst="rect">
                      <a:avLst/>
                    </a:prstGeom>
                    <a:noFill/>
                    <a:ln>
                      <a:noFill/>
                    </a:ln>
                  </pic:spPr>
                </pic:pic>
              </a:graphicData>
            </a:graphic>
          </wp:inline>
        </w:drawing>
      </w:r>
    </w:p>
    <w:p>
      <w:pPr>
        <w:pStyle w:val="6"/>
      </w:pPr>
      <w:r>
        <w:rPr>
          <w:rFonts w:hint="eastAsia"/>
        </w:rPr>
        <w:t>新增照面信息</w:t>
      </w:r>
    </w:p>
    <w:p>
      <w:r>
        <w:rPr>
          <w:rFonts w:hint="eastAsia"/>
        </w:rPr>
        <w:t>新增相关照面信息，并保存至数据库中。</w:t>
      </w:r>
    </w:p>
    <w:p>
      <w:pPr>
        <w:pStyle w:val="6"/>
      </w:pPr>
      <w:r>
        <w:rPr>
          <w:rFonts w:hint="eastAsia"/>
        </w:rPr>
        <w:t>修改照面信息</w:t>
      </w:r>
    </w:p>
    <w:p>
      <w:r>
        <w:rPr>
          <w:rFonts w:hint="eastAsia"/>
        </w:rPr>
        <w:t>可以修改数据库已经存在的计量器具型式批准证照面信息，包括统一社会信用代码，企业名称，证书编号，住所，批准人，有效期限至，发证日期，发证机关等。</w:t>
      </w:r>
    </w:p>
    <w:p>
      <w:pPr>
        <w:pStyle w:val="6"/>
      </w:pPr>
      <w:r>
        <w:rPr>
          <w:rFonts w:hint="eastAsia"/>
        </w:rPr>
        <w:t>删除照面信息</w:t>
      </w:r>
    </w:p>
    <w:p>
      <w:r>
        <w:rPr>
          <w:rFonts w:hint="eastAsia"/>
        </w:rPr>
        <w:t>让用户查询不到数据库已经存在的证照信息，但后台数据还保留。</w:t>
      </w:r>
    </w:p>
    <w:p>
      <w:pPr>
        <w:pStyle w:val="6"/>
      </w:pPr>
      <w:r>
        <w:rPr>
          <w:rFonts w:hint="eastAsia"/>
        </w:rPr>
        <w:t>查看照面信息</w:t>
      </w:r>
    </w:p>
    <w:p>
      <w:r>
        <w:rPr>
          <w:rFonts w:hint="eastAsia"/>
        </w:rPr>
        <w:t>用户可以查看数据库已经存在的电子证照信息。</w:t>
      </w:r>
    </w:p>
    <w:p>
      <w:pPr>
        <w:pStyle w:val="6"/>
      </w:pPr>
      <w:r>
        <w:rPr>
          <w:rFonts w:hint="eastAsia"/>
        </w:rPr>
        <w:t>生成电子证照</w:t>
      </w:r>
    </w:p>
    <w:p>
      <w:r>
        <w:rPr>
          <w:rFonts w:hint="eastAsia"/>
        </w:rPr>
        <w:t>根据数据库已经存在的照面信息，将相关信息放置照面对应位置，生成PDF；再通过黑龙江省垂管信息系统与一体化平台电子印章系统对PDF进行电子印章盖章；将盖章后的PDF保存到电子证照存放服务器；最后将电子证照信息上报至证照目录中心。</w:t>
      </w:r>
    </w:p>
    <w:p>
      <w:pPr>
        <w:pStyle w:val="6"/>
      </w:pPr>
      <w:r>
        <w:rPr>
          <w:rFonts w:hint="eastAsia"/>
        </w:rPr>
        <w:t>查看电子证照</w:t>
      </w:r>
    </w:p>
    <w:p>
      <w:r>
        <w:rPr>
          <w:rFonts w:hint="eastAsia"/>
        </w:rPr>
        <w:t>用户可以查看已经生成的电子证照文档（PDF格式）。</w:t>
      </w:r>
    </w:p>
    <w:p>
      <w:pPr>
        <w:pStyle w:val="5"/>
      </w:pPr>
      <w:bookmarkStart w:id="290" w:name="_Toc3614"/>
      <w:r>
        <w:rPr>
          <w:rFonts w:hint="eastAsia"/>
        </w:rPr>
        <w:t>电子证照共享</w:t>
      </w:r>
      <w:bookmarkEnd w:id="290"/>
      <w:r>
        <w:rPr>
          <w:rFonts w:hint="eastAsia"/>
        </w:rPr>
        <w:t>接口服务</w:t>
      </w:r>
    </w:p>
    <w:p>
      <w:pPr>
        <w:pStyle w:val="6"/>
      </w:pPr>
      <w:r>
        <w:rPr>
          <w:rFonts w:hint="eastAsia"/>
        </w:rPr>
        <w:t>业务描述</w:t>
      </w:r>
    </w:p>
    <w:p>
      <w:r>
        <w:rPr>
          <w:rFonts w:hint="eastAsia"/>
        </w:rPr>
        <w:t>按照黑龙江省营商环境建设监督局《黑龙江省一体化政务服务平台电子证照及共享规范》，把已生成电子证照共享至省政务服务网。</w:t>
      </w:r>
    </w:p>
    <w:p>
      <w:pPr>
        <w:pStyle w:val="6"/>
      </w:pPr>
      <w:bookmarkStart w:id="291" w:name="_Hlk110240492"/>
      <w:r>
        <w:rPr>
          <w:rFonts w:hint="eastAsia"/>
        </w:rPr>
        <w:t>业务活动图</w:t>
      </w:r>
    </w:p>
    <w:bookmarkEnd w:id="291"/>
    <w:p>
      <w:r>
        <w:drawing>
          <wp:inline distT="0" distB="0" distL="114300" distR="114300">
            <wp:extent cx="5200650" cy="3848100"/>
            <wp:effectExtent l="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2"/>
                    <a:stretch>
                      <a:fillRect/>
                    </a:stretch>
                  </pic:blipFill>
                  <pic:spPr>
                    <a:xfrm>
                      <a:off x="0" y="0"/>
                      <a:ext cx="5200650" cy="3848100"/>
                    </a:xfrm>
                    <a:prstGeom prst="rect">
                      <a:avLst/>
                    </a:prstGeom>
                    <a:noFill/>
                    <a:ln>
                      <a:noFill/>
                    </a:ln>
                  </pic:spPr>
                </pic:pic>
              </a:graphicData>
            </a:graphic>
          </wp:inline>
        </w:drawing>
      </w:r>
    </w:p>
    <w:p>
      <w:pPr>
        <w:pStyle w:val="6"/>
      </w:pPr>
      <w:r>
        <w:rPr>
          <w:rFonts w:hint="eastAsia"/>
        </w:rPr>
        <w:t>功能组成</w:t>
      </w:r>
    </w:p>
    <w:p>
      <w:pPr>
        <w:jc w:val="center"/>
      </w:pPr>
      <w:r>
        <w:drawing>
          <wp:inline distT="0" distB="0" distL="114300" distR="114300">
            <wp:extent cx="3009900" cy="2505075"/>
            <wp:effectExtent l="0" t="0" r="0" b="952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34"/>
                    <a:stretch>
                      <a:fillRect/>
                    </a:stretch>
                  </pic:blipFill>
                  <pic:spPr>
                    <a:xfrm>
                      <a:off x="0" y="0"/>
                      <a:ext cx="3009900" cy="2505075"/>
                    </a:xfrm>
                    <a:prstGeom prst="rect">
                      <a:avLst/>
                    </a:prstGeom>
                    <a:noFill/>
                    <a:ln>
                      <a:noFill/>
                    </a:ln>
                  </pic:spPr>
                </pic:pic>
              </a:graphicData>
            </a:graphic>
          </wp:inline>
        </w:drawing>
      </w:r>
    </w:p>
    <w:p>
      <w:pPr>
        <w:pStyle w:val="6"/>
      </w:pPr>
      <w:r>
        <w:t>电子证照检索服务</w:t>
      </w:r>
    </w:p>
    <w:p>
      <w:pPr>
        <w:widowControl/>
        <w:jc w:val="left"/>
      </w:pPr>
      <w:r>
        <w:rPr>
          <w:rFonts w:hint="eastAsia"/>
        </w:rPr>
        <w:t xml:space="preserve">电子证照检索满足可根据持证主体和证照类型检索证照；持证主体是自然人时主要使用公民身份号码，是法人或其他组织时主要使用统一社会信用代码； 检索结果中包含符合 </w:t>
      </w:r>
      <w:r>
        <w:t xml:space="preserve">GB/T 36904-2018 </w:t>
      </w:r>
      <w:r>
        <w:rPr>
          <w:rFonts w:hint="eastAsia"/>
        </w:rPr>
        <w:t>要求的电子证照标识。</w:t>
      </w:r>
    </w:p>
    <w:p>
      <w:pPr>
        <w:pStyle w:val="6"/>
      </w:pPr>
      <w:r>
        <w:t>基于持证主体代码下载服务</w:t>
      </w:r>
    </w:p>
    <w:p>
      <w:r>
        <w:rPr>
          <w:rFonts w:hint="eastAsia"/>
        </w:rPr>
        <w:t>通过</w:t>
      </w:r>
      <w:r>
        <w:t>持证主体代码</w:t>
      </w:r>
      <w:r>
        <w:rPr>
          <w:rFonts w:hint="eastAsia"/>
        </w:rPr>
        <w:t xml:space="preserve">获取相应电子证照下载地址，通过该地址可以下载计量器具型式批准证电子证照原件。 </w:t>
      </w:r>
    </w:p>
    <w:p>
      <w:pPr>
        <w:pStyle w:val="6"/>
      </w:pPr>
      <w:r>
        <w:t>基于证照标识下载服务</w:t>
      </w:r>
    </w:p>
    <w:p>
      <w:r>
        <w:rPr>
          <w:rFonts w:hint="eastAsia"/>
        </w:rPr>
        <w:t>通过</w:t>
      </w:r>
      <w:r>
        <w:t>证照标识信息</w:t>
      </w:r>
      <w:r>
        <w:rPr>
          <w:rFonts w:hint="eastAsia"/>
        </w:rPr>
        <w:t xml:space="preserve">获取相应电子证照下载地址，通过该地址可以下载计量器具型式批准证电子证照原件。 </w:t>
      </w:r>
    </w:p>
    <w:p>
      <w:pPr>
        <w:pStyle w:val="6"/>
      </w:pPr>
      <w:r>
        <w:t>基于持证主体代码信息获取服务</w:t>
      </w:r>
    </w:p>
    <w:p>
      <w:pPr>
        <w:ind w:firstLine="420" w:firstLineChars="0"/>
      </w:pPr>
      <w:r>
        <w:rPr>
          <w:rFonts w:hint="eastAsia"/>
        </w:rPr>
        <w:t>通过</w:t>
      </w:r>
      <w:r>
        <w:t>持证主体代码</w:t>
      </w:r>
      <w:r>
        <w:rPr>
          <w:rFonts w:hint="eastAsia"/>
        </w:rPr>
        <w:t xml:space="preserve">获取相应电子证照的多项元数据信息。 </w:t>
      </w:r>
    </w:p>
    <w:p>
      <w:pPr>
        <w:pStyle w:val="6"/>
      </w:pPr>
      <w:r>
        <w:t>基于证照标识信息获取服务</w:t>
      </w:r>
    </w:p>
    <w:p>
      <w:pPr>
        <w:ind w:firstLine="420" w:firstLineChars="0"/>
      </w:pPr>
      <w:r>
        <w:rPr>
          <w:rFonts w:hint="eastAsia"/>
        </w:rPr>
        <w:t>通过</w:t>
      </w:r>
      <w:r>
        <w:t>证照标识信息</w:t>
      </w:r>
      <w:r>
        <w:rPr>
          <w:rFonts w:hint="eastAsia"/>
        </w:rPr>
        <w:t>获取相应电子证照的多项元数据信息。</w:t>
      </w:r>
    </w:p>
    <w:p>
      <w:pPr>
        <w:pStyle w:val="6"/>
      </w:pPr>
      <w:r>
        <w:t>电子证照信息验证服务</w:t>
      </w:r>
    </w:p>
    <w:p>
      <w:pPr>
        <w:widowControl/>
        <w:jc w:val="left"/>
      </w:pPr>
      <w:r>
        <w:rPr>
          <w:rFonts w:hint="eastAsia"/>
        </w:rPr>
        <w:t>电子证照验证满足对相应证照元数据信息进行核对；对相应的电子证照文件进行真伪验证及管理状态核对。</w:t>
      </w:r>
    </w:p>
    <w:p>
      <w:pPr>
        <w:pStyle w:val="6"/>
      </w:pPr>
      <w:r>
        <w:t>证照类型获取服务</w:t>
      </w:r>
    </w:p>
    <w:p>
      <w:r>
        <w:rPr>
          <w:rFonts w:hint="eastAsia"/>
        </w:rPr>
        <w:t>通过该服务，用户可以获取系统支持的所有证照类型。</w:t>
      </w:r>
    </w:p>
    <w:p>
      <w:pPr>
        <w:pStyle w:val="6"/>
      </w:pPr>
      <w:r>
        <w:t>Token获取服务</w:t>
      </w:r>
    </w:p>
    <w:p>
      <w:pPr>
        <w:rPr>
          <w:rFonts w:ascii="仿宋_GB2312" w:eastAsia="仿宋_GB2312" w:hAnsiTheme="minorHAnsi" w:cstheme="minorBidi"/>
          <w:bCs/>
          <w:sz w:val="32"/>
          <w:szCs w:val="32"/>
        </w:rPr>
      </w:pPr>
      <w:r>
        <w:rPr>
          <w:rFonts w:hint="eastAsia"/>
        </w:rPr>
        <w:t>每次签章时业务应用系统首先通过用户账号获取访问token，用于动态获得接口使用权限和用印时限，超时后，需要重新申请。token接口限时授权、接口授权码和应用服务器IP白名单机制组合共同构成了接口签章的安全机制。</w:t>
      </w:r>
    </w:p>
    <w:p>
      <w:pPr>
        <w:pStyle w:val="5"/>
      </w:pPr>
      <w:bookmarkStart w:id="292" w:name="_Toc23622"/>
      <w:r>
        <w:rPr>
          <w:rFonts w:hint="eastAsia"/>
        </w:rPr>
        <w:t>总局数据中心上报</w:t>
      </w:r>
      <w:bookmarkEnd w:id="292"/>
      <w:r>
        <w:rPr>
          <w:rFonts w:hint="eastAsia"/>
        </w:rPr>
        <w:t>服务</w:t>
      </w:r>
    </w:p>
    <w:p>
      <w:pPr>
        <w:rPr>
          <w:rFonts w:ascii="新宋体" w:hAnsi="新宋体" w:eastAsia="新宋体"/>
        </w:rPr>
      </w:pPr>
      <w:r>
        <w:rPr>
          <w:rFonts w:hint="eastAsia" w:ascii="新宋体" w:hAnsi="新宋体" w:eastAsia="新宋体"/>
        </w:rPr>
        <w:t>按照国家市场监督管理总局印发《市场监管总局关于充分发挥职能作用 落实深化“证照分离”改革任务的通知》（国市监注发〔2021〕36 号）文件要求，按照国家市场监督管理局数据中心标准，推送已生成的电子证照共享至国家数据中心上报库。</w:t>
      </w:r>
    </w:p>
    <w:p>
      <w:pPr>
        <w:pStyle w:val="5"/>
      </w:pPr>
      <w:bookmarkStart w:id="293" w:name="_Toc4788"/>
      <w:r>
        <w:rPr>
          <w:rFonts w:hint="eastAsia"/>
        </w:rPr>
        <w:t>查询统计以及监控功能</w:t>
      </w:r>
      <w:bookmarkEnd w:id="293"/>
    </w:p>
    <w:p>
      <w:pPr>
        <w:rPr>
          <w:rFonts w:ascii="新宋体" w:hAnsi="新宋体" w:eastAsia="新宋体"/>
        </w:rPr>
      </w:pPr>
      <w:r>
        <w:rPr>
          <w:rFonts w:hint="eastAsia" w:ascii="新宋体" w:hAnsi="新宋体" w:eastAsia="新宋体"/>
        </w:rPr>
        <w:t>系统提供电子证照查询功能，包含许可证的明细以及电子证照查看功能；系统提供电子证照统计功能，统计各类电子证照情况；系统提供电子证照监控功能，防止接口异常以及服务异常导致电子证照无法生成。</w:t>
      </w:r>
    </w:p>
    <w:p>
      <w:pPr>
        <w:pStyle w:val="5"/>
      </w:pPr>
      <w:bookmarkStart w:id="294" w:name="_Toc16709"/>
      <w:r>
        <w:rPr>
          <w:rFonts w:hint="eastAsia"/>
        </w:rPr>
        <w:t>电子证照公示</w:t>
      </w:r>
      <w:bookmarkEnd w:id="294"/>
    </w:p>
    <w:p>
      <w:pPr>
        <w:rPr>
          <w:rFonts w:ascii="新宋体" w:hAnsi="新宋体" w:eastAsia="新宋体"/>
        </w:rPr>
      </w:pPr>
      <w:r>
        <w:rPr>
          <w:rFonts w:hint="eastAsia" w:ascii="新宋体" w:hAnsi="新宋体" w:eastAsia="新宋体"/>
        </w:rPr>
        <w:t>电子证照管理平台把已生成的电子证照通过关联企业，自动关联并推送至国家企业信用信息公示系统（黑龙江）电子证照栏目。</w:t>
      </w:r>
    </w:p>
    <w:p>
      <w:pPr>
        <w:pStyle w:val="3"/>
      </w:pPr>
      <w:bookmarkStart w:id="295" w:name="_Toc99093000"/>
      <w:bookmarkStart w:id="296" w:name="_Toc93395115"/>
      <w:bookmarkStart w:id="297" w:name="_Toc5642"/>
      <w:bookmarkStart w:id="298" w:name="_Toc66959618"/>
      <w:r>
        <w:rPr>
          <w:rFonts w:hint="eastAsia"/>
        </w:rPr>
        <w:t>政务云I</w:t>
      </w:r>
      <w:r>
        <w:t>T</w:t>
      </w:r>
      <w:r>
        <w:rPr>
          <w:rFonts w:hint="eastAsia"/>
        </w:rPr>
        <w:t>资源需求</w:t>
      </w:r>
      <w:bookmarkEnd w:id="295"/>
      <w:bookmarkEnd w:id="296"/>
      <w:bookmarkEnd w:id="297"/>
    </w:p>
    <w:p>
      <w:pPr>
        <w:rPr>
          <w:kern w:val="24"/>
        </w:rPr>
      </w:pPr>
      <w:r>
        <w:rPr>
          <w:rFonts w:hint="eastAsia"/>
          <w:kern w:val="24"/>
        </w:rPr>
        <w:t>本项目依托省政务云平台，有效利用云计算资源，对业务系统实行统一规划和建设，根据业务应用需求，通过云计算、虚拟化、云存储等创新和成熟技术，统一部署在省政务云，提高工作效率，提高平台整体可靠性、可信性、可用性，解决当前面临的问题，更有效的推动业务的发展。</w:t>
      </w:r>
    </w:p>
    <w:p>
      <w:pPr>
        <w:rPr>
          <w:rFonts w:ascii="新宋体" w:hAnsi="新宋体" w:eastAsia="新宋体"/>
        </w:rPr>
        <w:sectPr>
          <w:pgSz w:w="11906" w:h="16838"/>
          <w:pgMar w:top="1440" w:right="1293" w:bottom="1440" w:left="1519" w:header="851" w:footer="850" w:gutter="0"/>
          <w:pgNumType w:start="1"/>
          <w:cols w:space="425" w:num="1"/>
          <w:docGrid w:type="lines" w:linePitch="326" w:charSpace="0"/>
        </w:sectPr>
      </w:pPr>
    </w:p>
    <w:p>
      <w:pPr>
        <w:spacing w:before="163" w:after="163"/>
        <w:ind w:firstLine="0" w:firstLineChars="0"/>
        <w:jc w:val="center"/>
        <w:rPr>
          <w:rFonts w:ascii="黑体" w:hAnsi="黑体" w:eastAsia="黑体"/>
          <w:sz w:val="44"/>
          <w:szCs w:val="44"/>
        </w:rPr>
      </w:pPr>
      <w:r>
        <w:rPr>
          <w:rFonts w:hint="eastAsia" w:ascii="黑体" w:hAnsi="黑体" w:eastAsia="黑体"/>
          <w:sz w:val="44"/>
          <w:szCs w:val="44"/>
        </w:rPr>
        <w:t>政务云资源需求清单</w:t>
      </w:r>
    </w:p>
    <w:tbl>
      <w:tblPr>
        <w:tblStyle w:val="3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1"/>
        <w:gridCol w:w="764"/>
        <w:gridCol w:w="889"/>
        <w:gridCol w:w="1401"/>
        <w:gridCol w:w="3229"/>
        <w:gridCol w:w="642"/>
        <w:gridCol w:w="642"/>
        <w:gridCol w:w="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序号</w:t>
            </w:r>
          </w:p>
        </w:tc>
        <w:tc>
          <w:tcPr>
            <w:tcW w:w="448" w:type="pct"/>
            <w:vAlign w:val="center"/>
          </w:tcPr>
          <w:p>
            <w:pPr>
              <w:pStyle w:val="46"/>
            </w:pPr>
            <w:r>
              <w:rPr>
                <w:rFonts w:hint="eastAsia"/>
              </w:rPr>
              <w:t>服务目录对应序号</w:t>
            </w:r>
          </w:p>
        </w:tc>
        <w:tc>
          <w:tcPr>
            <w:tcW w:w="521" w:type="pct"/>
            <w:vAlign w:val="center"/>
          </w:tcPr>
          <w:p>
            <w:pPr>
              <w:pStyle w:val="46"/>
            </w:pPr>
            <w:r>
              <w:rPr>
                <w:rFonts w:hint="eastAsia"/>
              </w:rPr>
              <w:t>服务分类</w:t>
            </w:r>
          </w:p>
        </w:tc>
        <w:tc>
          <w:tcPr>
            <w:tcW w:w="821" w:type="pct"/>
            <w:vAlign w:val="center"/>
          </w:tcPr>
          <w:p>
            <w:pPr>
              <w:pStyle w:val="46"/>
            </w:pPr>
            <w:r>
              <w:rPr>
                <w:rFonts w:hint="eastAsia"/>
              </w:rPr>
              <w:t>服务子类</w:t>
            </w:r>
          </w:p>
        </w:tc>
        <w:tc>
          <w:tcPr>
            <w:tcW w:w="1892" w:type="pct"/>
            <w:vAlign w:val="center"/>
          </w:tcPr>
          <w:p>
            <w:pPr>
              <w:pStyle w:val="46"/>
            </w:pPr>
            <w:r>
              <w:rPr>
                <w:rFonts w:hint="eastAsia"/>
              </w:rPr>
              <w:t>服务描述</w:t>
            </w:r>
          </w:p>
        </w:tc>
        <w:tc>
          <w:tcPr>
            <w:tcW w:w="376" w:type="pct"/>
            <w:vAlign w:val="center"/>
          </w:tcPr>
          <w:p>
            <w:pPr>
              <w:pStyle w:val="46"/>
            </w:pPr>
            <w:r>
              <w:rPr>
                <w:rFonts w:hint="eastAsia"/>
              </w:rPr>
              <w:t>计价单位</w:t>
            </w:r>
          </w:p>
        </w:tc>
        <w:tc>
          <w:tcPr>
            <w:tcW w:w="376" w:type="pct"/>
            <w:vAlign w:val="center"/>
          </w:tcPr>
          <w:p>
            <w:pPr>
              <w:pStyle w:val="46"/>
            </w:pPr>
            <w:r>
              <w:rPr>
                <w:rFonts w:hint="eastAsia"/>
              </w:rPr>
              <w:t>数量</w:t>
            </w:r>
          </w:p>
        </w:tc>
        <w:tc>
          <w:tcPr>
            <w:tcW w:w="252" w:type="pct"/>
            <w:vAlign w:val="center"/>
          </w:tcPr>
          <w:p>
            <w:pPr>
              <w:pStyle w:val="46"/>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1</w:t>
            </w:r>
          </w:p>
        </w:tc>
        <w:tc>
          <w:tcPr>
            <w:tcW w:w="448" w:type="pct"/>
            <w:vAlign w:val="center"/>
          </w:tcPr>
          <w:p>
            <w:pPr>
              <w:pStyle w:val="46"/>
            </w:pPr>
            <w:r>
              <w:rPr>
                <w:rFonts w:hint="eastAsia"/>
              </w:rPr>
              <w:t>2</w:t>
            </w:r>
            <w:r>
              <w:t>9</w:t>
            </w:r>
          </w:p>
        </w:tc>
        <w:tc>
          <w:tcPr>
            <w:tcW w:w="521" w:type="pct"/>
            <w:vAlign w:val="center"/>
          </w:tcPr>
          <w:p>
            <w:pPr>
              <w:pStyle w:val="46"/>
            </w:pPr>
            <w:r>
              <w:rPr>
                <w:rFonts w:hint="eastAsia"/>
              </w:rPr>
              <w:t>计算服务</w:t>
            </w:r>
          </w:p>
        </w:tc>
        <w:tc>
          <w:tcPr>
            <w:tcW w:w="821" w:type="pct"/>
            <w:vAlign w:val="center"/>
          </w:tcPr>
          <w:p>
            <w:pPr>
              <w:pStyle w:val="46"/>
            </w:pPr>
            <w:r>
              <w:rPr>
                <w:rFonts w:hint="eastAsia"/>
              </w:rPr>
              <w:t>弹性云主机（</w:t>
            </w:r>
            <w:r>
              <w:t>16核32GB）</w:t>
            </w:r>
          </w:p>
        </w:tc>
        <w:tc>
          <w:tcPr>
            <w:tcW w:w="1892" w:type="pct"/>
            <w:vAlign w:val="center"/>
          </w:tcPr>
          <w:p>
            <w:pPr>
              <w:pStyle w:val="46"/>
            </w:pPr>
            <w:r>
              <w:t>CPU主频≥2.2GHz、系统盘windows默认80GB、Linux默认40GB</w:t>
            </w:r>
          </w:p>
        </w:tc>
        <w:tc>
          <w:tcPr>
            <w:tcW w:w="376" w:type="pct"/>
            <w:vAlign w:val="center"/>
          </w:tcPr>
          <w:p>
            <w:pPr>
              <w:pStyle w:val="46"/>
            </w:pPr>
            <w:r>
              <w:rPr>
                <w:rFonts w:hint="eastAsia"/>
              </w:rPr>
              <w:t>1台</w:t>
            </w:r>
            <w:r>
              <w:t>/</w:t>
            </w:r>
            <w:r>
              <w:rPr>
                <w:rFonts w:hint="eastAsia"/>
              </w:rPr>
              <w:t>月</w:t>
            </w:r>
          </w:p>
        </w:tc>
        <w:tc>
          <w:tcPr>
            <w:tcW w:w="376" w:type="pct"/>
            <w:vAlign w:val="center"/>
          </w:tcPr>
          <w:p>
            <w:pPr>
              <w:pStyle w:val="46"/>
            </w:pPr>
            <w:r>
              <w:t>5</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2</w:t>
            </w:r>
          </w:p>
        </w:tc>
        <w:tc>
          <w:tcPr>
            <w:tcW w:w="448" w:type="pct"/>
            <w:vAlign w:val="center"/>
          </w:tcPr>
          <w:p>
            <w:pPr>
              <w:pStyle w:val="46"/>
            </w:pPr>
            <w:r>
              <w:rPr>
                <w:rFonts w:hint="eastAsia"/>
              </w:rPr>
              <w:t>3</w:t>
            </w:r>
            <w:r>
              <w:t>8</w:t>
            </w:r>
          </w:p>
        </w:tc>
        <w:tc>
          <w:tcPr>
            <w:tcW w:w="521" w:type="pct"/>
            <w:vAlign w:val="center"/>
          </w:tcPr>
          <w:p>
            <w:pPr>
              <w:pStyle w:val="46"/>
            </w:pPr>
            <w:r>
              <w:rPr>
                <w:rFonts w:hint="eastAsia"/>
              </w:rPr>
              <w:t>计算服务</w:t>
            </w:r>
          </w:p>
        </w:tc>
        <w:tc>
          <w:tcPr>
            <w:tcW w:w="821" w:type="pct"/>
            <w:vAlign w:val="center"/>
          </w:tcPr>
          <w:p>
            <w:pPr>
              <w:pStyle w:val="46"/>
            </w:pPr>
            <w:r>
              <w:rPr>
                <w:rFonts w:hint="eastAsia"/>
              </w:rPr>
              <w:t>弹性云主机（</w:t>
            </w:r>
            <w:r>
              <w:t>32核64GB）</w:t>
            </w:r>
          </w:p>
        </w:tc>
        <w:tc>
          <w:tcPr>
            <w:tcW w:w="1892" w:type="pct"/>
            <w:vAlign w:val="center"/>
          </w:tcPr>
          <w:p>
            <w:pPr>
              <w:pStyle w:val="46"/>
            </w:pPr>
            <w:r>
              <w:t>CPU主频≥2.2GHz、系统盘windows默认80GB、Linux默认40GB</w:t>
            </w:r>
          </w:p>
        </w:tc>
        <w:tc>
          <w:tcPr>
            <w:tcW w:w="376" w:type="pct"/>
            <w:vAlign w:val="center"/>
          </w:tcPr>
          <w:p>
            <w:pPr>
              <w:pStyle w:val="46"/>
            </w:pPr>
            <w:r>
              <w:rPr>
                <w:rFonts w:hint="eastAsia"/>
              </w:rPr>
              <w:t>1台</w:t>
            </w:r>
            <w:r>
              <w:t>/</w:t>
            </w:r>
            <w:r>
              <w:rPr>
                <w:rFonts w:hint="eastAsia"/>
              </w:rPr>
              <w:t>月</w:t>
            </w:r>
          </w:p>
        </w:tc>
        <w:tc>
          <w:tcPr>
            <w:tcW w:w="376" w:type="pct"/>
            <w:vAlign w:val="center"/>
          </w:tcPr>
          <w:p>
            <w:pPr>
              <w:pStyle w:val="46"/>
            </w:pPr>
            <w:r>
              <w:t>4</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t>3</w:t>
            </w:r>
          </w:p>
        </w:tc>
        <w:tc>
          <w:tcPr>
            <w:tcW w:w="448" w:type="pct"/>
            <w:vAlign w:val="center"/>
          </w:tcPr>
          <w:p>
            <w:pPr>
              <w:pStyle w:val="46"/>
            </w:pPr>
            <w:r>
              <w:rPr>
                <w:rFonts w:hint="eastAsia"/>
              </w:rPr>
              <w:t>53</w:t>
            </w:r>
          </w:p>
        </w:tc>
        <w:tc>
          <w:tcPr>
            <w:tcW w:w="521" w:type="pct"/>
            <w:vAlign w:val="center"/>
          </w:tcPr>
          <w:p>
            <w:pPr>
              <w:pStyle w:val="46"/>
            </w:pPr>
            <w:r>
              <w:rPr>
                <w:rFonts w:hint="eastAsia"/>
              </w:rPr>
              <w:t>存储服务</w:t>
            </w:r>
          </w:p>
        </w:tc>
        <w:tc>
          <w:tcPr>
            <w:tcW w:w="821" w:type="pct"/>
            <w:vAlign w:val="center"/>
          </w:tcPr>
          <w:p>
            <w:pPr>
              <w:pStyle w:val="46"/>
            </w:pPr>
            <w:r>
              <w:rPr>
                <w:rFonts w:hint="eastAsia"/>
              </w:rPr>
              <w:t>普通云硬盘块存储服务（2TB至30TB）</w:t>
            </w:r>
          </w:p>
        </w:tc>
        <w:tc>
          <w:tcPr>
            <w:tcW w:w="1892" w:type="pct"/>
            <w:vAlign w:val="center"/>
          </w:tcPr>
          <w:p>
            <w:pPr>
              <w:pStyle w:val="46"/>
            </w:pPr>
            <w:r>
              <w:rPr>
                <w:rFonts w:hint="eastAsia"/>
              </w:rPr>
              <w:t>采用集中存储模式，提供数据块级别的随机存储，SAS块存储资源</w:t>
            </w:r>
          </w:p>
        </w:tc>
        <w:tc>
          <w:tcPr>
            <w:tcW w:w="376" w:type="pct"/>
            <w:vAlign w:val="center"/>
          </w:tcPr>
          <w:p>
            <w:pPr>
              <w:pStyle w:val="46"/>
            </w:pPr>
            <w:r>
              <w:rPr>
                <w:rFonts w:hint="eastAsia"/>
              </w:rPr>
              <w:t>1GB/月</w:t>
            </w:r>
          </w:p>
        </w:tc>
        <w:tc>
          <w:tcPr>
            <w:tcW w:w="376" w:type="pct"/>
            <w:vAlign w:val="center"/>
          </w:tcPr>
          <w:p>
            <w:pPr>
              <w:pStyle w:val="46"/>
            </w:pPr>
            <w:r>
              <w:t>3800</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t>4</w:t>
            </w:r>
          </w:p>
        </w:tc>
        <w:tc>
          <w:tcPr>
            <w:tcW w:w="448" w:type="pct"/>
            <w:vAlign w:val="center"/>
          </w:tcPr>
          <w:p>
            <w:pPr>
              <w:pStyle w:val="46"/>
            </w:pPr>
            <w:r>
              <w:rPr>
                <w:rFonts w:hint="eastAsia"/>
              </w:rPr>
              <w:t>128</w:t>
            </w:r>
          </w:p>
        </w:tc>
        <w:tc>
          <w:tcPr>
            <w:tcW w:w="521" w:type="pct"/>
            <w:vAlign w:val="center"/>
          </w:tcPr>
          <w:p>
            <w:pPr>
              <w:pStyle w:val="46"/>
            </w:pPr>
            <w:r>
              <w:rPr>
                <w:rFonts w:hint="eastAsia"/>
              </w:rPr>
              <w:t>软件服务</w:t>
            </w:r>
          </w:p>
        </w:tc>
        <w:tc>
          <w:tcPr>
            <w:tcW w:w="821" w:type="pct"/>
            <w:vAlign w:val="center"/>
          </w:tcPr>
          <w:p>
            <w:pPr>
              <w:pStyle w:val="46"/>
            </w:pPr>
            <w:r>
              <w:rPr>
                <w:rFonts w:hint="eastAsia"/>
              </w:rPr>
              <w:t>Linux操作系统</w:t>
            </w:r>
          </w:p>
        </w:tc>
        <w:tc>
          <w:tcPr>
            <w:tcW w:w="1892" w:type="pct"/>
            <w:vAlign w:val="center"/>
          </w:tcPr>
          <w:p>
            <w:pPr>
              <w:pStyle w:val="46"/>
            </w:pPr>
            <w:r>
              <w:rPr>
                <w:rFonts w:hint="eastAsia"/>
              </w:rPr>
              <w:t>提供CentOS/Ubuntu/OpenSUSE等主流操作系统发行的版本及授权，提供租用、安装等技术支持服务。</w:t>
            </w:r>
          </w:p>
        </w:tc>
        <w:tc>
          <w:tcPr>
            <w:tcW w:w="376" w:type="pct"/>
            <w:vAlign w:val="center"/>
          </w:tcPr>
          <w:p>
            <w:pPr>
              <w:pStyle w:val="46"/>
            </w:pPr>
            <w:r>
              <w:rPr>
                <w:rFonts w:hint="eastAsia"/>
              </w:rPr>
              <w:t>1套/月</w:t>
            </w:r>
          </w:p>
        </w:tc>
        <w:tc>
          <w:tcPr>
            <w:tcW w:w="376" w:type="pct"/>
            <w:vAlign w:val="center"/>
          </w:tcPr>
          <w:p>
            <w:pPr>
              <w:pStyle w:val="46"/>
            </w:pPr>
            <w:r>
              <w:t>9</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5</w:t>
            </w:r>
          </w:p>
        </w:tc>
        <w:tc>
          <w:tcPr>
            <w:tcW w:w="448" w:type="pct"/>
            <w:vAlign w:val="center"/>
          </w:tcPr>
          <w:p>
            <w:pPr>
              <w:pStyle w:val="46"/>
            </w:pPr>
            <w:r>
              <w:rPr>
                <w:rFonts w:hint="eastAsia"/>
              </w:rPr>
              <w:t>126</w:t>
            </w:r>
          </w:p>
        </w:tc>
        <w:tc>
          <w:tcPr>
            <w:tcW w:w="521" w:type="pct"/>
            <w:vAlign w:val="center"/>
          </w:tcPr>
          <w:p>
            <w:pPr>
              <w:pStyle w:val="46"/>
            </w:pPr>
            <w:r>
              <w:rPr>
                <w:rFonts w:hint="eastAsia"/>
              </w:rPr>
              <w:t>数据库</w:t>
            </w:r>
          </w:p>
        </w:tc>
        <w:tc>
          <w:tcPr>
            <w:tcW w:w="821" w:type="pct"/>
            <w:vAlign w:val="center"/>
          </w:tcPr>
          <w:p>
            <w:pPr>
              <w:pStyle w:val="46"/>
            </w:pPr>
            <w:r>
              <w:rPr>
                <w:rFonts w:hint="eastAsia"/>
              </w:rPr>
              <w:t>国产数据库（软件）</w:t>
            </w:r>
          </w:p>
        </w:tc>
        <w:tc>
          <w:tcPr>
            <w:tcW w:w="1892" w:type="pct"/>
            <w:vAlign w:val="center"/>
          </w:tcPr>
          <w:p>
            <w:pPr>
              <w:pStyle w:val="46"/>
            </w:pPr>
            <w:r>
              <w:rPr>
                <w:rFonts w:hint="eastAsia"/>
              </w:rPr>
              <w:t>提供不少于三种国产数据库，由中标人提供商用数据库的租用、安装、调优、排错、技术支持服务。</w:t>
            </w:r>
          </w:p>
        </w:tc>
        <w:tc>
          <w:tcPr>
            <w:tcW w:w="376" w:type="pct"/>
            <w:vAlign w:val="center"/>
          </w:tcPr>
          <w:p>
            <w:pPr>
              <w:pStyle w:val="46"/>
            </w:pPr>
            <w:r>
              <w:t>1实例/月</w:t>
            </w:r>
          </w:p>
        </w:tc>
        <w:tc>
          <w:tcPr>
            <w:tcW w:w="376" w:type="pct"/>
            <w:vAlign w:val="center"/>
          </w:tcPr>
          <w:p>
            <w:pPr>
              <w:pStyle w:val="46"/>
            </w:pPr>
            <w:r>
              <w:rPr>
                <w:rFonts w:hint="eastAsia"/>
              </w:rPr>
              <w:t>4</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6</w:t>
            </w:r>
          </w:p>
        </w:tc>
        <w:tc>
          <w:tcPr>
            <w:tcW w:w="448" w:type="pct"/>
            <w:vAlign w:val="center"/>
          </w:tcPr>
          <w:p>
            <w:pPr>
              <w:pStyle w:val="46"/>
            </w:pPr>
            <w:r>
              <w:rPr>
                <w:rFonts w:hint="eastAsia"/>
              </w:rPr>
              <w:t>72</w:t>
            </w:r>
          </w:p>
        </w:tc>
        <w:tc>
          <w:tcPr>
            <w:tcW w:w="521" w:type="pct"/>
            <w:vAlign w:val="center"/>
          </w:tcPr>
          <w:p>
            <w:pPr>
              <w:pStyle w:val="46"/>
            </w:pPr>
            <w:r>
              <w:rPr>
                <w:rFonts w:hint="eastAsia"/>
              </w:rPr>
              <w:t>基础安全服务</w:t>
            </w:r>
          </w:p>
        </w:tc>
        <w:tc>
          <w:tcPr>
            <w:tcW w:w="821" w:type="pct"/>
            <w:vAlign w:val="center"/>
          </w:tcPr>
          <w:p>
            <w:pPr>
              <w:pStyle w:val="46"/>
            </w:pPr>
            <w:r>
              <w:rPr>
                <w:rFonts w:hint="eastAsia"/>
              </w:rPr>
              <w:t>安全运维服务</w:t>
            </w:r>
          </w:p>
        </w:tc>
        <w:tc>
          <w:tcPr>
            <w:tcW w:w="1892" w:type="pct"/>
            <w:vAlign w:val="center"/>
          </w:tcPr>
          <w:p>
            <w:pPr>
              <w:pStyle w:val="46"/>
            </w:pPr>
            <w:r>
              <w:rPr>
                <w:rFonts w:hint="eastAsia"/>
              </w:rPr>
              <w:t>基于已选安全服务提供安全运维人工服务和定期检测报告</w:t>
            </w:r>
          </w:p>
        </w:tc>
        <w:tc>
          <w:tcPr>
            <w:tcW w:w="376" w:type="pct"/>
            <w:vAlign w:val="center"/>
          </w:tcPr>
          <w:p>
            <w:pPr>
              <w:pStyle w:val="46"/>
            </w:pPr>
            <w:r>
              <w:rPr>
                <w:rFonts w:hint="eastAsia"/>
              </w:rPr>
              <w:t>1节点/月</w:t>
            </w:r>
          </w:p>
        </w:tc>
        <w:tc>
          <w:tcPr>
            <w:tcW w:w="376" w:type="pct"/>
            <w:vAlign w:val="center"/>
          </w:tcPr>
          <w:p>
            <w:pPr>
              <w:pStyle w:val="46"/>
            </w:pPr>
            <w:r>
              <w:rPr>
                <w:rFonts w:hint="eastAsia"/>
              </w:rPr>
              <w:t>9</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7</w:t>
            </w:r>
          </w:p>
        </w:tc>
        <w:tc>
          <w:tcPr>
            <w:tcW w:w="448" w:type="pct"/>
            <w:vAlign w:val="center"/>
          </w:tcPr>
          <w:p>
            <w:pPr>
              <w:pStyle w:val="46"/>
            </w:pPr>
            <w:r>
              <w:rPr>
                <w:rFonts w:hint="eastAsia"/>
              </w:rPr>
              <w:t>74</w:t>
            </w:r>
          </w:p>
        </w:tc>
        <w:tc>
          <w:tcPr>
            <w:tcW w:w="521" w:type="pct"/>
            <w:vAlign w:val="center"/>
          </w:tcPr>
          <w:p>
            <w:pPr>
              <w:pStyle w:val="46"/>
            </w:pPr>
            <w:r>
              <w:rPr>
                <w:rFonts w:hint="eastAsia"/>
              </w:rPr>
              <w:t>增值安全服务</w:t>
            </w:r>
          </w:p>
        </w:tc>
        <w:tc>
          <w:tcPr>
            <w:tcW w:w="821" w:type="pct"/>
            <w:vAlign w:val="center"/>
          </w:tcPr>
          <w:p>
            <w:pPr>
              <w:pStyle w:val="46"/>
            </w:pPr>
            <w:r>
              <w:rPr>
                <w:rFonts w:hint="eastAsia"/>
              </w:rPr>
              <w:t>态势感知服务</w:t>
            </w:r>
          </w:p>
        </w:tc>
        <w:tc>
          <w:tcPr>
            <w:tcW w:w="1892" w:type="pct"/>
            <w:vAlign w:val="center"/>
          </w:tcPr>
          <w:p>
            <w:pPr>
              <w:pStyle w:val="46"/>
            </w:pPr>
            <w:r>
              <w:rPr>
                <w:rFonts w:hint="eastAsia"/>
              </w:rPr>
              <w:t>基于环境，动态洞悉安全风险，以安全大数据为基础，从全局视角提升对安全威胁的发现识别、理解分析、响应处置，并提出相应报告，支持决策与行动。</w:t>
            </w:r>
          </w:p>
        </w:tc>
        <w:tc>
          <w:tcPr>
            <w:tcW w:w="376" w:type="pct"/>
            <w:vAlign w:val="center"/>
          </w:tcPr>
          <w:p>
            <w:pPr>
              <w:pStyle w:val="46"/>
            </w:pPr>
            <w:r>
              <w:rPr>
                <w:rFonts w:hint="eastAsia"/>
              </w:rPr>
              <w:t>1次/月</w:t>
            </w:r>
          </w:p>
        </w:tc>
        <w:tc>
          <w:tcPr>
            <w:tcW w:w="376" w:type="pct"/>
            <w:vAlign w:val="center"/>
          </w:tcPr>
          <w:p>
            <w:pPr>
              <w:pStyle w:val="46"/>
            </w:pPr>
            <w:r>
              <w:rPr>
                <w:rFonts w:hint="eastAsia"/>
              </w:rPr>
              <w:t>12</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8</w:t>
            </w:r>
          </w:p>
        </w:tc>
        <w:tc>
          <w:tcPr>
            <w:tcW w:w="448" w:type="pct"/>
            <w:vAlign w:val="center"/>
          </w:tcPr>
          <w:p>
            <w:pPr>
              <w:pStyle w:val="46"/>
            </w:pPr>
            <w:r>
              <w:rPr>
                <w:rFonts w:hint="eastAsia"/>
              </w:rPr>
              <w:t>75</w:t>
            </w:r>
          </w:p>
        </w:tc>
        <w:tc>
          <w:tcPr>
            <w:tcW w:w="521" w:type="pct"/>
            <w:vAlign w:val="center"/>
          </w:tcPr>
          <w:p>
            <w:pPr>
              <w:pStyle w:val="46"/>
            </w:pPr>
            <w:r>
              <w:rPr>
                <w:rFonts w:hint="eastAsia"/>
              </w:rPr>
              <w:t>基础安全服务</w:t>
            </w:r>
          </w:p>
        </w:tc>
        <w:tc>
          <w:tcPr>
            <w:tcW w:w="821" w:type="pct"/>
            <w:vAlign w:val="center"/>
          </w:tcPr>
          <w:p>
            <w:pPr>
              <w:pStyle w:val="46"/>
            </w:pPr>
            <w:r>
              <w:rPr>
                <w:rFonts w:hint="eastAsia"/>
              </w:rPr>
              <w:t>日志审计服务（云主机）</w:t>
            </w:r>
          </w:p>
        </w:tc>
        <w:tc>
          <w:tcPr>
            <w:tcW w:w="1892" w:type="pct"/>
            <w:vAlign w:val="center"/>
          </w:tcPr>
          <w:p>
            <w:pPr>
              <w:pStyle w:val="46"/>
            </w:pPr>
            <w:r>
              <w:rPr>
                <w:rFonts w:hint="eastAsia"/>
              </w:rPr>
              <w:t>部署在VPC环境下的基于云主机的日志服务器，提供对操作系统、中间件、数据库、网络设备、安全设备等资产的日志收集、关联分析、日志存储和综合展示。</w:t>
            </w:r>
          </w:p>
        </w:tc>
        <w:tc>
          <w:tcPr>
            <w:tcW w:w="376" w:type="pct"/>
            <w:vAlign w:val="center"/>
          </w:tcPr>
          <w:p>
            <w:pPr>
              <w:pStyle w:val="46"/>
            </w:pPr>
            <w:r>
              <w:rPr>
                <w:rFonts w:hint="eastAsia"/>
              </w:rPr>
              <w:t>1节点/月</w:t>
            </w:r>
          </w:p>
        </w:tc>
        <w:tc>
          <w:tcPr>
            <w:tcW w:w="376" w:type="pct"/>
            <w:vAlign w:val="center"/>
          </w:tcPr>
          <w:p>
            <w:pPr>
              <w:pStyle w:val="46"/>
            </w:pPr>
            <w:r>
              <w:rPr>
                <w:rFonts w:hint="eastAsia"/>
              </w:rPr>
              <w:t>9</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9</w:t>
            </w:r>
          </w:p>
        </w:tc>
        <w:tc>
          <w:tcPr>
            <w:tcW w:w="448" w:type="pct"/>
            <w:vAlign w:val="center"/>
          </w:tcPr>
          <w:p>
            <w:pPr>
              <w:pStyle w:val="46"/>
            </w:pPr>
            <w:r>
              <w:rPr>
                <w:rFonts w:hint="eastAsia"/>
              </w:rPr>
              <w:t>76</w:t>
            </w:r>
          </w:p>
        </w:tc>
        <w:tc>
          <w:tcPr>
            <w:tcW w:w="521" w:type="pct"/>
            <w:vAlign w:val="center"/>
          </w:tcPr>
          <w:p>
            <w:pPr>
              <w:pStyle w:val="46"/>
            </w:pPr>
            <w:r>
              <w:rPr>
                <w:rFonts w:hint="eastAsia"/>
              </w:rPr>
              <w:t>增值安全服务</w:t>
            </w:r>
          </w:p>
        </w:tc>
        <w:tc>
          <w:tcPr>
            <w:tcW w:w="821" w:type="pct"/>
            <w:vAlign w:val="center"/>
          </w:tcPr>
          <w:p>
            <w:pPr>
              <w:pStyle w:val="46"/>
            </w:pPr>
            <w:r>
              <w:rPr>
                <w:rFonts w:hint="eastAsia"/>
              </w:rPr>
              <w:t>数据库审计服务</w:t>
            </w:r>
          </w:p>
        </w:tc>
        <w:tc>
          <w:tcPr>
            <w:tcW w:w="1892" w:type="pct"/>
            <w:vAlign w:val="center"/>
          </w:tcPr>
          <w:p>
            <w:pPr>
              <w:pStyle w:val="46"/>
            </w:pPr>
            <w:r>
              <w:rPr>
                <w:rFonts w:hint="eastAsia"/>
              </w:rPr>
              <w:t>细粒度审计数据库操作的行为和操作内容，提供丰富的查询统计条件，多维度展示查询统计结果，按实例计算</w:t>
            </w:r>
          </w:p>
        </w:tc>
        <w:tc>
          <w:tcPr>
            <w:tcW w:w="376" w:type="pct"/>
            <w:vAlign w:val="center"/>
          </w:tcPr>
          <w:p>
            <w:pPr>
              <w:pStyle w:val="46"/>
            </w:pPr>
            <w:r>
              <w:rPr>
                <w:rFonts w:hint="eastAsia"/>
              </w:rPr>
              <w:t>1实例/月</w:t>
            </w:r>
          </w:p>
        </w:tc>
        <w:tc>
          <w:tcPr>
            <w:tcW w:w="376" w:type="pct"/>
            <w:vAlign w:val="center"/>
          </w:tcPr>
          <w:p>
            <w:pPr>
              <w:pStyle w:val="46"/>
            </w:pPr>
            <w:r>
              <w:rPr>
                <w:rFonts w:hint="eastAsia"/>
              </w:rPr>
              <w:t>4</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1</w:t>
            </w:r>
            <w:r>
              <w:t>0</w:t>
            </w:r>
          </w:p>
        </w:tc>
        <w:tc>
          <w:tcPr>
            <w:tcW w:w="448" w:type="pct"/>
            <w:vAlign w:val="center"/>
          </w:tcPr>
          <w:p>
            <w:pPr>
              <w:pStyle w:val="46"/>
            </w:pPr>
            <w:r>
              <w:rPr>
                <w:rFonts w:hint="eastAsia"/>
              </w:rPr>
              <w:t>78</w:t>
            </w:r>
          </w:p>
        </w:tc>
        <w:tc>
          <w:tcPr>
            <w:tcW w:w="521" w:type="pct"/>
            <w:vAlign w:val="center"/>
          </w:tcPr>
          <w:p>
            <w:pPr>
              <w:pStyle w:val="46"/>
            </w:pPr>
            <w:r>
              <w:rPr>
                <w:rFonts w:hint="eastAsia"/>
              </w:rPr>
              <w:t>增值安全服务</w:t>
            </w:r>
          </w:p>
        </w:tc>
        <w:tc>
          <w:tcPr>
            <w:tcW w:w="821" w:type="pct"/>
            <w:vAlign w:val="center"/>
          </w:tcPr>
          <w:p>
            <w:pPr>
              <w:pStyle w:val="46"/>
            </w:pPr>
            <w:r>
              <w:rPr>
                <w:rFonts w:hint="eastAsia"/>
              </w:rPr>
              <w:t>漏洞扫描服务</w:t>
            </w:r>
          </w:p>
        </w:tc>
        <w:tc>
          <w:tcPr>
            <w:tcW w:w="1892" w:type="pct"/>
            <w:vAlign w:val="center"/>
          </w:tcPr>
          <w:p>
            <w:pPr>
              <w:pStyle w:val="46"/>
            </w:pPr>
            <w:r>
              <w:rPr>
                <w:rFonts w:hint="eastAsia"/>
              </w:rPr>
              <w:t>集Web漏洞扫描、操作系统漏洞扫描、数据库漏洞扫描、资产内容合规检测、配置基线扫描、弱密码检测五大核心功能，自动发现网站或服务器在网络中的安全风险，为云上业务提供多维度的安全检测服务，让安全弱点无所遁形，形成最终扫描结果清单（100节点）</w:t>
            </w:r>
          </w:p>
        </w:tc>
        <w:tc>
          <w:tcPr>
            <w:tcW w:w="376" w:type="pct"/>
            <w:vAlign w:val="center"/>
          </w:tcPr>
          <w:p>
            <w:pPr>
              <w:pStyle w:val="46"/>
            </w:pPr>
            <w:r>
              <w:rPr>
                <w:rFonts w:hint="eastAsia"/>
              </w:rPr>
              <w:t>1次/月</w:t>
            </w:r>
          </w:p>
        </w:tc>
        <w:tc>
          <w:tcPr>
            <w:tcW w:w="376" w:type="pct"/>
            <w:vAlign w:val="center"/>
          </w:tcPr>
          <w:p>
            <w:pPr>
              <w:pStyle w:val="46"/>
            </w:pPr>
            <w:r>
              <w:rPr>
                <w:rFonts w:hint="eastAsia"/>
              </w:rPr>
              <w:t>12</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1</w:t>
            </w:r>
            <w:r>
              <w:t>11</w:t>
            </w:r>
          </w:p>
        </w:tc>
        <w:tc>
          <w:tcPr>
            <w:tcW w:w="448" w:type="pct"/>
            <w:vAlign w:val="center"/>
          </w:tcPr>
          <w:p>
            <w:pPr>
              <w:pStyle w:val="46"/>
            </w:pPr>
            <w:r>
              <w:rPr>
                <w:rFonts w:hint="eastAsia"/>
              </w:rPr>
              <w:t>79</w:t>
            </w:r>
          </w:p>
        </w:tc>
        <w:tc>
          <w:tcPr>
            <w:tcW w:w="521" w:type="pct"/>
            <w:vAlign w:val="center"/>
          </w:tcPr>
          <w:p>
            <w:pPr>
              <w:pStyle w:val="46"/>
            </w:pPr>
            <w:r>
              <w:rPr>
                <w:rFonts w:hint="eastAsia"/>
              </w:rPr>
              <w:t>增值安全服务</w:t>
            </w:r>
          </w:p>
        </w:tc>
        <w:tc>
          <w:tcPr>
            <w:tcW w:w="821" w:type="pct"/>
            <w:vAlign w:val="center"/>
          </w:tcPr>
          <w:p>
            <w:pPr>
              <w:pStyle w:val="46"/>
            </w:pPr>
            <w:r>
              <w:rPr>
                <w:rFonts w:hint="eastAsia"/>
              </w:rPr>
              <w:t>云主机加固服务</w:t>
            </w:r>
          </w:p>
        </w:tc>
        <w:tc>
          <w:tcPr>
            <w:tcW w:w="1892" w:type="pct"/>
            <w:vAlign w:val="center"/>
          </w:tcPr>
          <w:p>
            <w:pPr>
              <w:pStyle w:val="46"/>
            </w:pPr>
            <w:r>
              <w:rPr>
                <w:rFonts w:hint="eastAsia"/>
              </w:rPr>
              <w:t>云主机（虚拟机）防暴力破解、webshell检测、安全基线、虚拟化加固等功能；提供强制访问控制、完整性检测、防格式化、双因子认证和组合式密码认证、自我保护、统一管理、灵活多样的策略模板，支持windows/Linux/Unix系统</w:t>
            </w:r>
          </w:p>
        </w:tc>
        <w:tc>
          <w:tcPr>
            <w:tcW w:w="376" w:type="pct"/>
            <w:vAlign w:val="center"/>
          </w:tcPr>
          <w:p>
            <w:pPr>
              <w:pStyle w:val="46"/>
            </w:pPr>
            <w:r>
              <w:rPr>
                <w:rFonts w:hint="eastAsia"/>
              </w:rPr>
              <w:t>1主机/月</w:t>
            </w:r>
          </w:p>
        </w:tc>
        <w:tc>
          <w:tcPr>
            <w:tcW w:w="376" w:type="pct"/>
            <w:vAlign w:val="center"/>
          </w:tcPr>
          <w:p>
            <w:pPr>
              <w:pStyle w:val="46"/>
            </w:pPr>
            <w:r>
              <w:rPr>
                <w:rFonts w:hint="eastAsia"/>
              </w:rPr>
              <w:t>12</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t>12</w:t>
            </w:r>
          </w:p>
        </w:tc>
        <w:tc>
          <w:tcPr>
            <w:tcW w:w="448" w:type="pct"/>
            <w:vAlign w:val="center"/>
          </w:tcPr>
          <w:p>
            <w:pPr>
              <w:pStyle w:val="46"/>
            </w:pPr>
            <w:r>
              <w:rPr>
                <w:rFonts w:hint="eastAsia"/>
              </w:rPr>
              <w:t>82</w:t>
            </w:r>
          </w:p>
        </w:tc>
        <w:tc>
          <w:tcPr>
            <w:tcW w:w="521" w:type="pct"/>
            <w:vAlign w:val="center"/>
          </w:tcPr>
          <w:p>
            <w:pPr>
              <w:pStyle w:val="46"/>
            </w:pPr>
            <w:r>
              <w:rPr>
                <w:rFonts w:hint="eastAsia"/>
              </w:rPr>
              <w:t>增值安全服务</w:t>
            </w:r>
          </w:p>
        </w:tc>
        <w:tc>
          <w:tcPr>
            <w:tcW w:w="821" w:type="pct"/>
            <w:vAlign w:val="center"/>
          </w:tcPr>
          <w:p>
            <w:pPr>
              <w:pStyle w:val="46"/>
            </w:pPr>
            <w:r>
              <w:rPr>
                <w:rFonts w:hint="eastAsia"/>
              </w:rPr>
              <w:t>云防火墙服务3</w:t>
            </w:r>
          </w:p>
        </w:tc>
        <w:tc>
          <w:tcPr>
            <w:tcW w:w="1892" w:type="pct"/>
            <w:vAlign w:val="center"/>
          </w:tcPr>
          <w:p>
            <w:pPr>
              <w:pStyle w:val="46"/>
            </w:pPr>
            <w:r>
              <w:rPr>
                <w:rFonts w:hint="eastAsia"/>
              </w:rPr>
              <w:t>为租户内部不同安全域（东西向）、跨租户互访提供虚拟防火墙、IPS服务等功能，防护带宽≤1G。</w:t>
            </w:r>
          </w:p>
        </w:tc>
        <w:tc>
          <w:tcPr>
            <w:tcW w:w="376" w:type="pct"/>
            <w:vAlign w:val="center"/>
          </w:tcPr>
          <w:p>
            <w:pPr>
              <w:pStyle w:val="46"/>
            </w:pPr>
            <w:r>
              <w:rPr>
                <w:rFonts w:hint="eastAsia"/>
              </w:rPr>
              <w:t>1套/月</w:t>
            </w:r>
          </w:p>
        </w:tc>
        <w:tc>
          <w:tcPr>
            <w:tcW w:w="376" w:type="pct"/>
            <w:vAlign w:val="center"/>
          </w:tcPr>
          <w:p>
            <w:pPr>
              <w:pStyle w:val="46"/>
            </w:pPr>
            <w:r>
              <w:rPr>
                <w:rFonts w:hint="eastAsia"/>
              </w:rPr>
              <w:t>12</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1</w:t>
            </w:r>
            <w:r>
              <w:t>3</w:t>
            </w:r>
          </w:p>
        </w:tc>
        <w:tc>
          <w:tcPr>
            <w:tcW w:w="448" w:type="pct"/>
            <w:vAlign w:val="center"/>
          </w:tcPr>
          <w:p>
            <w:pPr>
              <w:pStyle w:val="46"/>
            </w:pPr>
            <w:r>
              <w:rPr>
                <w:rFonts w:hint="eastAsia"/>
              </w:rPr>
              <w:t>83</w:t>
            </w:r>
          </w:p>
        </w:tc>
        <w:tc>
          <w:tcPr>
            <w:tcW w:w="521" w:type="pct"/>
            <w:vAlign w:val="center"/>
          </w:tcPr>
          <w:p>
            <w:pPr>
              <w:pStyle w:val="46"/>
            </w:pPr>
            <w:r>
              <w:rPr>
                <w:rFonts w:hint="eastAsia"/>
              </w:rPr>
              <w:t>基础安全服务</w:t>
            </w:r>
          </w:p>
        </w:tc>
        <w:tc>
          <w:tcPr>
            <w:tcW w:w="821" w:type="pct"/>
            <w:vAlign w:val="center"/>
          </w:tcPr>
          <w:p>
            <w:pPr>
              <w:pStyle w:val="46"/>
            </w:pPr>
            <w:r>
              <w:rPr>
                <w:rFonts w:hint="eastAsia"/>
              </w:rPr>
              <w:t>云主机杀毒服务</w:t>
            </w:r>
          </w:p>
        </w:tc>
        <w:tc>
          <w:tcPr>
            <w:tcW w:w="1892" w:type="pct"/>
            <w:vAlign w:val="center"/>
          </w:tcPr>
          <w:p>
            <w:pPr>
              <w:pStyle w:val="46"/>
            </w:pPr>
            <w:r>
              <w:rPr>
                <w:rFonts w:hint="eastAsia"/>
              </w:rPr>
              <w:t>提供防病毒功能，云主机均预装云杀毒软件提供一个月的服务，购买后由云平台统一更新防病毒库和管理能力</w:t>
            </w:r>
          </w:p>
        </w:tc>
        <w:tc>
          <w:tcPr>
            <w:tcW w:w="376" w:type="pct"/>
            <w:vAlign w:val="center"/>
          </w:tcPr>
          <w:p>
            <w:pPr>
              <w:pStyle w:val="46"/>
            </w:pPr>
            <w:r>
              <w:rPr>
                <w:rFonts w:hint="eastAsia"/>
              </w:rPr>
              <w:t>1主机/月</w:t>
            </w:r>
          </w:p>
        </w:tc>
        <w:tc>
          <w:tcPr>
            <w:tcW w:w="376" w:type="pct"/>
            <w:vAlign w:val="center"/>
          </w:tcPr>
          <w:p>
            <w:pPr>
              <w:pStyle w:val="46"/>
            </w:pPr>
            <w:r>
              <w:rPr>
                <w:rFonts w:hint="eastAsia"/>
              </w:rPr>
              <w:t>9</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1</w:t>
            </w:r>
            <w:r>
              <w:t>4</w:t>
            </w:r>
          </w:p>
        </w:tc>
        <w:tc>
          <w:tcPr>
            <w:tcW w:w="448" w:type="pct"/>
            <w:vAlign w:val="center"/>
          </w:tcPr>
          <w:p>
            <w:pPr>
              <w:pStyle w:val="46"/>
            </w:pPr>
            <w:r>
              <w:rPr>
                <w:rFonts w:hint="eastAsia"/>
              </w:rPr>
              <w:t>85</w:t>
            </w:r>
          </w:p>
        </w:tc>
        <w:tc>
          <w:tcPr>
            <w:tcW w:w="521" w:type="pct"/>
            <w:vAlign w:val="center"/>
          </w:tcPr>
          <w:p>
            <w:pPr>
              <w:pStyle w:val="46"/>
            </w:pPr>
            <w:r>
              <w:rPr>
                <w:rFonts w:hint="eastAsia"/>
              </w:rPr>
              <w:t>增值安全服务</w:t>
            </w:r>
          </w:p>
        </w:tc>
        <w:tc>
          <w:tcPr>
            <w:tcW w:w="821" w:type="pct"/>
            <w:vAlign w:val="center"/>
          </w:tcPr>
          <w:p>
            <w:pPr>
              <w:pStyle w:val="46"/>
            </w:pPr>
            <w:r>
              <w:rPr>
                <w:rFonts w:hint="eastAsia"/>
              </w:rPr>
              <w:t>Web应用防火墙服务2</w:t>
            </w:r>
          </w:p>
        </w:tc>
        <w:tc>
          <w:tcPr>
            <w:tcW w:w="1892" w:type="pct"/>
            <w:vAlign w:val="center"/>
          </w:tcPr>
          <w:p>
            <w:pPr>
              <w:pStyle w:val="46"/>
            </w:pPr>
            <w:r>
              <w:rPr>
                <w:rFonts w:hint="eastAsia"/>
              </w:rPr>
              <w:t>HTTP协议流量：≤100Mbps；以虚拟化镜像形式本地部署的Web防护系统，可以对租户的网站进行SQL注入、跨站脚本等OWASPTOP10攻击进行防护，提供7*24小时可用性监测、内容检测、挂马监测、敏感词监测、暗链监测、脆弱性监测，发现安全事件及时告警，实时展示监测网站安全状况，按1个虚机或1台裸金属节点为1套计算</w:t>
            </w:r>
          </w:p>
        </w:tc>
        <w:tc>
          <w:tcPr>
            <w:tcW w:w="376" w:type="pct"/>
            <w:vAlign w:val="center"/>
          </w:tcPr>
          <w:p>
            <w:pPr>
              <w:pStyle w:val="46"/>
            </w:pPr>
            <w:r>
              <w:rPr>
                <w:rFonts w:hint="eastAsia"/>
              </w:rPr>
              <w:t>1套/月</w:t>
            </w:r>
          </w:p>
        </w:tc>
        <w:tc>
          <w:tcPr>
            <w:tcW w:w="376" w:type="pct"/>
            <w:vAlign w:val="center"/>
          </w:tcPr>
          <w:p>
            <w:pPr>
              <w:pStyle w:val="46"/>
            </w:pPr>
            <w:r>
              <w:rPr>
                <w:rFonts w:hint="eastAsia"/>
              </w:rPr>
              <w:t>1</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1</w:t>
            </w:r>
            <w:r>
              <w:t>5</w:t>
            </w:r>
          </w:p>
        </w:tc>
        <w:tc>
          <w:tcPr>
            <w:tcW w:w="448" w:type="pct"/>
            <w:vAlign w:val="center"/>
          </w:tcPr>
          <w:p>
            <w:pPr>
              <w:pStyle w:val="46"/>
            </w:pPr>
            <w:r>
              <w:rPr>
                <w:rFonts w:hint="eastAsia"/>
              </w:rPr>
              <w:t>87</w:t>
            </w:r>
          </w:p>
        </w:tc>
        <w:tc>
          <w:tcPr>
            <w:tcW w:w="521" w:type="pct"/>
            <w:vAlign w:val="center"/>
          </w:tcPr>
          <w:p>
            <w:pPr>
              <w:pStyle w:val="46"/>
            </w:pPr>
            <w:r>
              <w:rPr>
                <w:rFonts w:hint="eastAsia"/>
              </w:rPr>
              <w:t>增值安全服务</w:t>
            </w:r>
          </w:p>
        </w:tc>
        <w:tc>
          <w:tcPr>
            <w:tcW w:w="821" w:type="pct"/>
            <w:vAlign w:val="center"/>
          </w:tcPr>
          <w:p>
            <w:pPr>
              <w:pStyle w:val="46"/>
            </w:pPr>
            <w:r>
              <w:rPr>
                <w:rFonts w:hint="eastAsia"/>
              </w:rPr>
              <w:t>云堡垒机</w:t>
            </w:r>
          </w:p>
        </w:tc>
        <w:tc>
          <w:tcPr>
            <w:tcW w:w="1892" w:type="pct"/>
            <w:vAlign w:val="center"/>
          </w:tcPr>
          <w:p>
            <w:pPr>
              <w:pStyle w:val="46"/>
            </w:pPr>
            <w:r>
              <w:rPr>
                <w:rFonts w:hint="eastAsia"/>
              </w:rPr>
              <w:t>集统一账户管理、角色授权、实时监控、运维安全管理。提供身份认证和权限管理功能，可以管理用户（比如员工、系统或应用程序）账号，并且可以控制这些用户对您名下资源的操作权限</w:t>
            </w:r>
          </w:p>
        </w:tc>
        <w:tc>
          <w:tcPr>
            <w:tcW w:w="376" w:type="pct"/>
            <w:vAlign w:val="center"/>
          </w:tcPr>
          <w:p>
            <w:pPr>
              <w:pStyle w:val="46"/>
            </w:pPr>
            <w:r>
              <w:rPr>
                <w:rFonts w:hint="eastAsia"/>
              </w:rPr>
              <w:t>1节点/月</w:t>
            </w:r>
          </w:p>
        </w:tc>
        <w:tc>
          <w:tcPr>
            <w:tcW w:w="376" w:type="pct"/>
            <w:vAlign w:val="center"/>
          </w:tcPr>
          <w:p>
            <w:pPr>
              <w:pStyle w:val="46"/>
            </w:pPr>
            <w:r>
              <w:rPr>
                <w:rFonts w:hint="eastAsia"/>
              </w:rPr>
              <w:t>9</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1</w:t>
            </w:r>
            <w:r>
              <w:t>6</w:t>
            </w:r>
          </w:p>
        </w:tc>
        <w:tc>
          <w:tcPr>
            <w:tcW w:w="448" w:type="pct"/>
            <w:vAlign w:val="center"/>
          </w:tcPr>
          <w:p>
            <w:pPr>
              <w:pStyle w:val="46"/>
            </w:pPr>
            <w:r>
              <w:rPr>
                <w:rFonts w:hint="eastAsia"/>
              </w:rPr>
              <w:t>89</w:t>
            </w:r>
          </w:p>
        </w:tc>
        <w:tc>
          <w:tcPr>
            <w:tcW w:w="521" w:type="pct"/>
            <w:vAlign w:val="center"/>
          </w:tcPr>
          <w:p>
            <w:pPr>
              <w:pStyle w:val="46"/>
            </w:pPr>
            <w:r>
              <w:rPr>
                <w:rFonts w:hint="eastAsia"/>
              </w:rPr>
              <w:t>增值安全服务</w:t>
            </w:r>
          </w:p>
        </w:tc>
        <w:tc>
          <w:tcPr>
            <w:tcW w:w="821" w:type="pct"/>
            <w:vAlign w:val="center"/>
          </w:tcPr>
          <w:p>
            <w:pPr>
              <w:pStyle w:val="46"/>
            </w:pPr>
            <w:r>
              <w:rPr>
                <w:rFonts w:hint="eastAsia"/>
              </w:rPr>
              <w:t>VPN接入服务</w:t>
            </w:r>
          </w:p>
        </w:tc>
        <w:tc>
          <w:tcPr>
            <w:tcW w:w="1892" w:type="pct"/>
            <w:vAlign w:val="center"/>
          </w:tcPr>
          <w:p>
            <w:pPr>
              <w:pStyle w:val="46"/>
            </w:pPr>
            <w:r>
              <w:rPr>
                <w:rFonts w:hint="eastAsia"/>
              </w:rPr>
              <w:t>提供SSLVPN接入服务。</w:t>
            </w:r>
          </w:p>
        </w:tc>
        <w:tc>
          <w:tcPr>
            <w:tcW w:w="376" w:type="pct"/>
            <w:vAlign w:val="center"/>
          </w:tcPr>
          <w:p>
            <w:pPr>
              <w:pStyle w:val="46"/>
            </w:pPr>
            <w:r>
              <w:rPr>
                <w:rFonts w:hint="eastAsia"/>
              </w:rPr>
              <w:t>1账户/月</w:t>
            </w:r>
          </w:p>
        </w:tc>
        <w:tc>
          <w:tcPr>
            <w:tcW w:w="376" w:type="pct"/>
            <w:vAlign w:val="center"/>
          </w:tcPr>
          <w:p>
            <w:pPr>
              <w:pStyle w:val="46"/>
            </w:pPr>
            <w:r>
              <w:rPr>
                <w:rFonts w:hint="eastAsia"/>
              </w:rPr>
              <w:t>5</w:t>
            </w:r>
          </w:p>
        </w:tc>
        <w:tc>
          <w:tcPr>
            <w:tcW w:w="252" w:type="pct"/>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1" w:type="pct"/>
            <w:vAlign w:val="center"/>
          </w:tcPr>
          <w:p>
            <w:pPr>
              <w:pStyle w:val="46"/>
            </w:pPr>
            <w:r>
              <w:rPr>
                <w:rFonts w:hint="eastAsia"/>
              </w:rPr>
              <w:t>1</w:t>
            </w:r>
            <w:r>
              <w:t>7</w:t>
            </w:r>
          </w:p>
        </w:tc>
        <w:tc>
          <w:tcPr>
            <w:tcW w:w="448" w:type="pct"/>
            <w:vAlign w:val="center"/>
          </w:tcPr>
          <w:p>
            <w:pPr>
              <w:pStyle w:val="46"/>
            </w:pPr>
            <w:r>
              <w:rPr>
                <w:rFonts w:hint="eastAsia"/>
              </w:rPr>
              <w:t>132</w:t>
            </w:r>
          </w:p>
        </w:tc>
        <w:tc>
          <w:tcPr>
            <w:tcW w:w="521" w:type="pct"/>
            <w:vAlign w:val="center"/>
          </w:tcPr>
          <w:p>
            <w:pPr>
              <w:pStyle w:val="46"/>
            </w:pPr>
            <w:r>
              <w:rPr>
                <w:rFonts w:hint="eastAsia"/>
              </w:rPr>
              <w:t>安全专业服务</w:t>
            </w:r>
          </w:p>
        </w:tc>
        <w:tc>
          <w:tcPr>
            <w:tcW w:w="821" w:type="pct"/>
            <w:vAlign w:val="center"/>
          </w:tcPr>
          <w:p>
            <w:pPr>
              <w:pStyle w:val="46"/>
            </w:pPr>
            <w:r>
              <w:rPr>
                <w:rFonts w:hint="eastAsia"/>
              </w:rPr>
              <w:t>专业渗透测试服务</w:t>
            </w:r>
          </w:p>
        </w:tc>
        <w:tc>
          <w:tcPr>
            <w:tcW w:w="1892" w:type="pct"/>
            <w:vAlign w:val="center"/>
          </w:tcPr>
          <w:p>
            <w:pPr>
              <w:pStyle w:val="46"/>
            </w:pPr>
            <w:r>
              <w:rPr>
                <w:rFonts w:hint="eastAsia"/>
              </w:rPr>
              <w:t>由专业渗透工程师对系统进行应用和主机两个层面安全渗透测试，发现系统中存在的各类安全问题，完成测评之后，出具安全渗透报告</w:t>
            </w:r>
          </w:p>
        </w:tc>
        <w:tc>
          <w:tcPr>
            <w:tcW w:w="376" w:type="pct"/>
            <w:vAlign w:val="center"/>
          </w:tcPr>
          <w:p>
            <w:pPr>
              <w:pStyle w:val="46"/>
            </w:pPr>
            <w:r>
              <w:rPr>
                <w:rFonts w:hint="eastAsia"/>
              </w:rPr>
              <w:t>1次</w:t>
            </w:r>
          </w:p>
        </w:tc>
        <w:tc>
          <w:tcPr>
            <w:tcW w:w="376" w:type="pct"/>
            <w:vAlign w:val="center"/>
          </w:tcPr>
          <w:p>
            <w:pPr>
              <w:pStyle w:val="46"/>
            </w:pPr>
            <w:r>
              <w:rPr>
                <w:rFonts w:hint="eastAsia"/>
              </w:rPr>
              <w:t>1</w:t>
            </w:r>
          </w:p>
        </w:tc>
        <w:tc>
          <w:tcPr>
            <w:tcW w:w="252" w:type="pct"/>
            <w:vAlign w:val="center"/>
          </w:tcPr>
          <w:p>
            <w:pPr>
              <w:pStyle w:val="46"/>
            </w:pPr>
          </w:p>
        </w:tc>
      </w:tr>
    </w:tbl>
    <w:p>
      <w:pPr>
        <w:rPr>
          <w:rFonts w:ascii="新宋体" w:hAnsi="新宋体" w:eastAsia="新宋体"/>
        </w:rPr>
        <w:sectPr>
          <w:pgSz w:w="11906" w:h="16838"/>
          <w:pgMar w:top="1440" w:right="1797" w:bottom="1440" w:left="1797" w:header="851" w:footer="992" w:gutter="0"/>
          <w:cols w:space="425" w:num="1"/>
          <w:docGrid w:type="lines" w:linePitch="312" w:charSpace="0"/>
        </w:sectPr>
      </w:pPr>
    </w:p>
    <w:p>
      <w:pPr>
        <w:pStyle w:val="3"/>
      </w:pPr>
      <w:bookmarkStart w:id="299" w:name="_Toc99093001"/>
      <w:bookmarkStart w:id="300" w:name="_Toc6399"/>
      <w:r>
        <w:rPr>
          <w:rFonts w:hint="eastAsia"/>
        </w:rPr>
        <w:t>网络系统建设方案</w:t>
      </w:r>
      <w:bookmarkEnd w:id="299"/>
      <w:bookmarkEnd w:id="300"/>
    </w:p>
    <w:p>
      <w:r>
        <w:rPr>
          <w:rFonts w:hint="eastAsia"/>
        </w:rPr>
        <w:t>计算机网络是计算机之间通过连接介质互联起来，按照网络协议进行数据通信，实现资源共享的一种组织形式。连接介质、计算机和网络协议是计算机网络系统组成的基本要素。基础网络平台是主题库证照库的基石，是确保各项应用功能得以实现，为系统提供服务接口的最基本条件。</w:t>
      </w:r>
    </w:p>
    <w:p>
      <w:r>
        <w:rPr>
          <w:rFonts w:hint="eastAsia"/>
        </w:rPr>
        <w:t>本次基础网络平台为省政务云环境，物理环境满足本次工程需求，无需建设。</w:t>
      </w:r>
    </w:p>
    <w:p>
      <w:pPr>
        <w:pStyle w:val="3"/>
      </w:pPr>
      <w:bookmarkStart w:id="301" w:name="_Toc16930"/>
      <w:bookmarkStart w:id="302" w:name="_Toc99093002"/>
      <w:r>
        <w:rPr>
          <w:rFonts w:hint="eastAsia"/>
        </w:rPr>
        <w:t>安全系统建设方案</w:t>
      </w:r>
      <w:bookmarkEnd w:id="301"/>
      <w:bookmarkEnd w:id="302"/>
    </w:p>
    <w:p>
      <w:pPr>
        <w:pStyle w:val="4"/>
        <w:ind w:left="240" w:leftChars="0" w:firstLineChars="0"/>
      </w:pPr>
      <w:bookmarkStart w:id="303" w:name="_Toc56588543"/>
      <w:bookmarkStart w:id="304" w:name="_Toc51165182"/>
      <w:bookmarkStart w:id="305" w:name="_Toc66959630"/>
      <w:bookmarkStart w:id="306" w:name="_Toc99093003"/>
      <w:bookmarkStart w:id="307" w:name="_Toc23847"/>
      <w:r>
        <w:rPr>
          <w:rFonts w:hint="eastAsia"/>
        </w:rPr>
        <w:t>等保定级</w:t>
      </w:r>
      <w:bookmarkEnd w:id="303"/>
      <w:bookmarkEnd w:id="304"/>
      <w:bookmarkEnd w:id="305"/>
      <w:bookmarkEnd w:id="306"/>
      <w:r>
        <w:rPr>
          <w:rFonts w:hint="eastAsia"/>
        </w:rPr>
        <w:t>方案</w:t>
      </w:r>
      <w:bookmarkEnd w:id="307"/>
    </w:p>
    <w:p>
      <w:r>
        <w:rPr>
          <w:rFonts w:hint="eastAsia"/>
        </w:rPr>
        <w:t>安全系统为本次黑龙江省市场监督管理局主题库证照库项目系统提供安全运行保障环境，以《信息安全技术 网络安全等级保护定级指南》（GB/T 22240-2020）相关要求为参照，根据系统部署情况和系统服务、信息保护等级分析。本项目按照网络安全等级保护三级建设要求进行安全防护，分别从技术部分和管理部分防护，其中技术部分包括：安全物理环境、安全通信网络、安全区域边界、安全计算环境、安全管理环境；管理部分：包括安全管理制度、安全管理机构、安全管理人员、安全建设管理和安全运维管理。此部分由政务云平台提供，不包含在本次建设内容，本次软件系统配合完成等级保护三级测评。</w:t>
      </w:r>
    </w:p>
    <w:p>
      <w:pPr>
        <w:pStyle w:val="4"/>
        <w:ind w:left="240" w:leftChars="0" w:firstLineChars="0"/>
      </w:pPr>
      <w:bookmarkStart w:id="308" w:name="_Toc32447"/>
      <w:bookmarkStart w:id="309" w:name="_Toc5960"/>
      <w:bookmarkStart w:id="310" w:name="_Toc890"/>
      <w:r>
        <w:rPr>
          <w:rFonts w:hint="eastAsia"/>
        </w:rPr>
        <w:t>系统安全设计方案</w:t>
      </w:r>
      <w:bookmarkEnd w:id="308"/>
      <w:bookmarkEnd w:id="309"/>
      <w:bookmarkEnd w:id="310"/>
    </w:p>
    <w:p>
      <w:r>
        <w:rPr>
          <w:rFonts w:hint="eastAsia"/>
        </w:rPr>
        <w:t>主题库证照库项目安全系统建设目标按照等级保护三级建设，建成后，系统能够在统一安全策略下防护免受来自外部有组织的团体、拥有较为丰富资源的威胁源发起的恶意攻击、较为严重的自然灾害，以及其他相当危害程度的主要资源损害，能够及时发现、检测攻击行为和处理安全事件，在自身遭到损害后，能够较快恢复绝大部分功能。</w:t>
      </w:r>
    </w:p>
    <w:p>
      <w:r>
        <w:rPr>
          <w:rFonts w:hint="eastAsia"/>
        </w:rPr>
        <w:t>主题库证照库项目面临来自互联网及政务外网的安全威胁，如各种类型的DDoS攻击和用户数据遭窃听和篡改，APT攻击等，建立整体安全防御系统，从物理和逻辑层面抵御这些安全威胁，是系统安全可靠运营的前提保障。系统从“网络隔离、攻击防护、传输安全、APT攻击防护、应用安全和管理安全”等多个安全角度考虑，根据不同业务功能区域之间的隔离需求，将系统的网络按照功能的不同分成多个业务区域，各业务区域之间实现网络的不同程度隔离，打造安全、可靠的网络，同时满足国家信息安全三级等保要求。</w:t>
      </w:r>
    </w:p>
    <w:p>
      <w:r>
        <w:rPr>
          <w:rFonts w:hint="eastAsia"/>
        </w:rPr>
        <w:t>主题库证照库项目安全系统主要包含五部分，即安全网络环境、安全通信网络、安全区域边界、安全计算环境和安全管理体系。</w:t>
      </w:r>
    </w:p>
    <w:p>
      <w:pPr>
        <w:pStyle w:val="3"/>
        <w:spacing w:before="120" w:after="120" w:line="240" w:lineRule="auto"/>
      </w:pPr>
      <w:bookmarkStart w:id="311" w:name="_Toc22526"/>
      <w:bookmarkStart w:id="312" w:name="_Toc14921"/>
      <w:bookmarkStart w:id="313" w:name="_Toc99093007"/>
      <w:bookmarkStart w:id="314" w:name="_Toc99028753"/>
      <w:r>
        <w:rPr>
          <w:rFonts w:hint="eastAsia"/>
        </w:rPr>
        <w:t>运行维护系统建设方案</w:t>
      </w:r>
      <w:bookmarkEnd w:id="311"/>
      <w:bookmarkEnd w:id="312"/>
    </w:p>
    <w:p>
      <w:pPr>
        <w:pStyle w:val="4"/>
        <w:spacing w:before="80" w:after="80" w:line="240" w:lineRule="auto"/>
        <w:ind w:left="240" w:leftChars="0" w:firstLineChars="0"/>
      </w:pPr>
      <w:bookmarkStart w:id="315" w:name="_Toc18125"/>
      <w:bookmarkStart w:id="316" w:name="_Toc10424"/>
      <w:r>
        <w:rPr>
          <w:rFonts w:hint="eastAsia"/>
        </w:rPr>
        <w:t>运行维护管理原则</w:t>
      </w:r>
      <w:bookmarkEnd w:id="315"/>
      <w:bookmarkEnd w:id="316"/>
    </w:p>
    <w:p>
      <w:pPr>
        <w:spacing w:before="120" w:after="120"/>
      </w:pPr>
      <w:r>
        <w:rPr>
          <w:rFonts w:hint="eastAsia"/>
        </w:rPr>
        <w:t>运行维护管理体系建设的基本思路是：按照信息系统服务管理理论、方法和标准，结合项目建设的实际需要，借鉴和参考建设经验和实践，遵循统筹规划、统一领导，遵循标准、切合实际、突出重点、分步实施、务求实效、逐渐完善的建设原则，逐步建立一套融合组织、制度、流程、人员、技术的信息系统服务管理体系，健全组织机构，明确职责分工，制定规章制度，规范管理流程，强化技术支撑，实现对网络及信息系统的综合管理监控和日常技术支持，快速响应和及时解决信息系统运行过程中出现的各种问题和故障，确保网络及信息系统正常、稳定、高效运行。</w:t>
      </w:r>
    </w:p>
    <w:p>
      <w:pPr>
        <w:pStyle w:val="4"/>
        <w:spacing w:before="80" w:after="80" w:line="240" w:lineRule="auto"/>
        <w:ind w:left="240" w:leftChars="0" w:firstLineChars="0"/>
      </w:pPr>
      <w:bookmarkStart w:id="317" w:name="_Toc13381"/>
      <w:bookmarkStart w:id="318" w:name="_Toc11457"/>
      <w:r>
        <w:rPr>
          <w:rFonts w:hint="eastAsia"/>
        </w:rPr>
        <w:t>建立运行维护管理机构和保障机制</w:t>
      </w:r>
      <w:bookmarkEnd w:id="317"/>
      <w:bookmarkEnd w:id="318"/>
    </w:p>
    <w:p>
      <w:pPr>
        <w:spacing w:before="120" w:after="120"/>
      </w:pPr>
      <w:r>
        <w:rPr>
          <w:rFonts w:hint="eastAsia"/>
        </w:rPr>
        <w:t>鉴于项目的特点、作用，必须考虑项目的建设管理及其建成后的运行维护并及早确定系统的运行维护队伍和体制、机制等问题。</w:t>
      </w:r>
    </w:p>
    <w:p>
      <w:pPr>
        <w:spacing w:before="120" w:after="120"/>
      </w:pPr>
      <w:r>
        <w:rPr>
          <w:rFonts w:hint="eastAsia"/>
        </w:rPr>
        <w:t>应由项目领导小组办公室提出项目运行维护管理的管理准则，基于实际情况，需要落实以下工作：</w:t>
      </w:r>
    </w:p>
    <w:p>
      <w:pPr>
        <w:spacing w:before="120" w:after="120"/>
      </w:pPr>
      <w:r>
        <w:rPr>
          <w:rFonts w:hint="eastAsia"/>
        </w:rPr>
        <w:t>（1）确定运行维护队伍。以现有信息机构为基础，考虑组建熟悉本部门业务、人员稳定、管理严格的专业化运维队伍。本着体制创新的原则，依据工作内容和性质，有选择地将部分专业性较强的任务分解，采用任务承包或资源外包等方式择优选定服务单位。</w:t>
      </w:r>
    </w:p>
    <w:p>
      <w:pPr>
        <w:spacing w:before="120" w:after="120"/>
      </w:pPr>
      <w:r>
        <w:rPr>
          <w:rFonts w:hint="eastAsia"/>
        </w:rPr>
        <w:t>（2）在明确各部门责任的基础上，明确运行阶段信息交换的约束机制，如行政制度约束、经费预算约束以及绩效评估制度等，确保系统正常运行。</w:t>
      </w:r>
    </w:p>
    <w:p>
      <w:pPr>
        <w:spacing w:before="120" w:after="120"/>
      </w:pPr>
      <w:r>
        <w:rPr>
          <w:rFonts w:hint="eastAsia"/>
        </w:rPr>
        <w:t>（3）落实运维费用。做好运维工作，必须有适当合理的资金作支持。</w:t>
      </w:r>
    </w:p>
    <w:p>
      <w:pPr>
        <w:pStyle w:val="4"/>
        <w:spacing w:before="80" w:after="80" w:line="240" w:lineRule="auto"/>
        <w:ind w:left="240" w:leftChars="0" w:firstLineChars="0"/>
      </w:pPr>
      <w:bookmarkStart w:id="319" w:name="_Toc7876"/>
      <w:bookmarkStart w:id="320" w:name="_Toc21552"/>
      <w:r>
        <w:rPr>
          <w:rFonts w:hint="eastAsia"/>
        </w:rPr>
        <w:t>运行维护管理内容</w:t>
      </w:r>
      <w:bookmarkEnd w:id="319"/>
      <w:bookmarkEnd w:id="320"/>
    </w:p>
    <w:p>
      <w:pPr>
        <w:spacing w:before="120" w:after="120"/>
      </w:pPr>
      <w:r>
        <w:rPr>
          <w:rFonts w:hint="eastAsia"/>
        </w:rPr>
        <w:t>为保证信息系统高效稳定的运行、数据的准确与安全，必须建立完善的运维保障制度，规范运维保障过程，根据不同管理对象和运维内容，运维保障体系应从系统使用管理、运维管理、安全管理、队伍建设四个方面来制定。使用管理制度核心是“统一领导、按级负责、分工管理”，积极引导使用部门做好运维配合工作，做好职责分工、用户管理、功能使用和设备使用四个方面。在运维管理上，抓好资源管理、设备管理、岗位职责、定期维护、维护评估、机房管理。系统安全方面，制度在安全管理中具有十分重要的作用，安全管理制度主要包括管理职责、系统建设、安全监控、应急处置和安全评估等五个方面。同时，全系统要建立多层次、分类别、多形式、重实效的信息化人力资源培养制度，加强信息化人才队伍建设。</w:t>
      </w:r>
    </w:p>
    <w:p>
      <w:pPr>
        <w:spacing w:before="120" w:after="120"/>
      </w:pPr>
      <w:r>
        <w:rPr>
          <w:rFonts w:hint="eastAsia"/>
        </w:rPr>
        <w:t>运维人员提供 7x24 的运行监控与日常维护，运维人员提供随时备叫的故障处理保障，以及专业的服务品质。当出现非常规故障或无法判断故障原因时，故障状态升级，由拥有专业知识和丰富运维经验的运维人员参与故障处理流程，响应时间不超过 2 小时。当故障在规定时限内无法判断故障并有效处理时，故障状态进一步升级，由运维专家进行专家会诊，进入非常规故障处理流程，响应时间不超过 4 小时。</w:t>
      </w:r>
    </w:p>
    <w:p>
      <w:pPr>
        <w:spacing w:before="120" w:after="120"/>
      </w:pPr>
      <w:r>
        <w:rPr>
          <w:rFonts w:hint="eastAsia"/>
        </w:rPr>
        <w:t>重要通讯保障期间，运维团队与建设单位共同制定重要通讯保障期间的设备系统保障方案。</w:t>
      </w:r>
    </w:p>
    <w:p>
      <w:pPr>
        <w:spacing w:before="120" w:after="120"/>
      </w:pPr>
      <w:r>
        <w:rPr>
          <w:rFonts w:hint="eastAsia"/>
        </w:rPr>
        <w:t xml:space="preserve">重要通讯保障期间包括汛期、重大节假日、国家军事、政治活动期间等。在重点通讯保障期间，运维团队指定技术专家与技术支持工程师到现场完成通讯保障服务。 </w:t>
      </w:r>
    </w:p>
    <w:p>
      <w:pPr>
        <w:pStyle w:val="4"/>
        <w:spacing w:before="80" w:after="80" w:line="240" w:lineRule="auto"/>
        <w:ind w:left="240" w:leftChars="0" w:firstLineChars="0"/>
      </w:pPr>
      <w:bookmarkStart w:id="321" w:name="_Toc16558"/>
      <w:bookmarkStart w:id="322" w:name="_Toc17091"/>
      <w:r>
        <w:rPr>
          <w:rFonts w:hint="eastAsia"/>
        </w:rPr>
        <w:t>软件平台运行维护规划</w:t>
      </w:r>
      <w:bookmarkEnd w:id="321"/>
      <w:bookmarkEnd w:id="322"/>
    </w:p>
    <w:p>
      <w:pPr>
        <w:spacing w:before="120" w:after="120"/>
      </w:pPr>
      <w:r>
        <w:rPr>
          <w:rFonts w:hint="eastAsia"/>
        </w:rPr>
        <w:t>保证系统正常而可靠地运行，并能使系统不断得到改善和提高，以充分发挥作用。因此，要有计划、有组织地对系统进行必要的改动，以保证系统中的各个要素随着功能需求、环境等的变化始终处于最新的、正确的工作状态。</w:t>
      </w:r>
    </w:p>
    <w:p>
      <w:pPr>
        <w:spacing w:before="120" w:after="120"/>
      </w:pPr>
      <w:r>
        <w:rPr>
          <w:rFonts w:hint="eastAsia"/>
        </w:rPr>
        <w:t>（1）系统应用程序维护：根据需求进行系统业务逻辑调整。即对系统程序的修改和调整，扩充在使用过程中提出的新的功能及性能要求。</w:t>
      </w:r>
    </w:p>
    <w:p>
      <w:pPr>
        <w:spacing w:before="120" w:after="120"/>
      </w:pPr>
      <w:r>
        <w:rPr>
          <w:rFonts w:hint="eastAsia"/>
        </w:rPr>
        <w:t>（2）数据维护：业务处理对数据的需求是不断发生变化的，除了系统中主体业务数据的定期正常更新外，还有许多数据需要进行不定期的更新，或随环境和业务的变化而进行调整，以及数据内容的增加、数据结构的调整。此外，数据的备份与恢复等，都是数据维护的工作内容。</w:t>
      </w:r>
    </w:p>
    <w:p>
      <w:pPr>
        <w:spacing w:before="120" w:after="120"/>
      </w:pPr>
      <w:r>
        <w:rPr>
          <w:rFonts w:hint="eastAsia"/>
        </w:rPr>
        <w:t>（3）代码维护：随着系统应用范围的扩大，应用环境的变化，系统中的各种代码都需要进行一定程度的增加、修改、删除，以及设置新的代码。</w:t>
      </w:r>
    </w:p>
    <w:p>
      <w:pPr>
        <w:spacing w:before="120" w:after="120"/>
      </w:pPr>
      <w:r>
        <w:rPr>
          <w:rFonts w:hint="eastAsia"/>
        </w:rPr>
        <w:t>定期检查程序错误日志，清除系统运行中发生的故障和错误。</w:t>
      </w:r>
    </w:p>
    <w:p>
      <w:pPr>
        <w:spacing w:before="120" w:after="120"/>
      </w:pPr>
      <w:r>
        <w:rPr>
          <w:rFonts w:hint="eastAsia"/>
        </w:rPr>
        <w:t>（4）数据库系统维护</w:t>
      </w:r>
    </w:p>
    <w:p>
      <w:pPr>
        <w:spacing w:before="120" w:after="120"/>
      </w:pPr>
      <w:r>
        <w:rPr>
          <w:rFonts w:hint="eastAsia"/>
        </w:rPr>
        <w:t>1）监视数据库的状态、SGA的各种参数、日志事件（警告）、侦听器状态、进程状态、可用性如死锁、资源争用、不一致性以及会话和SQL活动、等待状况、数据库碎片情况等。</w:t>
      </w:r>
    </w:p>
    <w:p>
      <w:pPr>
        <w:spacing w:before="120" w:after="120"/>
      </w:pPr>
      <w:r>
        <w:rPr>
          <w:rFonts w:hint="eastAsia"/>
        </w:rPr>
        <w:t>2）监视数据库归档日志和可用空间量，以及数据库归档日志目的地中可用空间的百分比；监视转储目的地目录的使用空间百分比。</w:t>
      </w:r>
    </w:p>
    <w:p>
      <w:pPr>
        <w:spacing w:before="120" w:after="120"/>
      </w:pPr>
      <w:r>
        <w:rPr>
          <w:rFonts w:hint="eastAsia"/>
        </w:rPr>
        <w:t>3）监视并警告当前分配的扩展数据块数超出指定阈值的数据库对象。</w:t>
      </w:r>
    </w:p>
    <w:p>
      <w:pPr>
        <w:spacing w:before="120" w:after="120"/>
      </w:pPr>
      <w:r>
        <w:rPr>
          <w:rFonts w:hint="eastAsia"/>
        </w:rPr>
        <w:t>4）对表空间的使用情况和增长情况进行定期分析和预警。</w:t>
      </w:r>
    </w:p>
    <w:p>
      <w:pPr>
        <w:spacing w:before="120" w:after="120"/>
      </w:pPr>
      <w:r>
        <w:rPr>
          <w:rFonts w:hint="eastAsia"/>
        </w:rPr>
        <w:t>5）针对数据库中的I/O情况进行实时监控。</w:t>
      </w:r>
    </w:p>
    <w:p>
      <w:pPr>
        <w:spacing w:before="120" w:after="120"/>
      </w:pPr>
      <w:r>
        <w:rPr>
          <w:rFonts w:hint="eastAsia"/>
        </w:rPr>
        <w:t>6）定期提供数据库运行性能的分析、帮助提出诊断和优化调整建议。</w:t>
      </w:r>
    </w:p>
    <w:p>
      <w:pPr>
        <w:spacing w:before="120" w:after="120"/>
      </w:pPr>
      <w:r>
        <w:rPr>
          <w:rFonts w:hint="eastAsia"/>
        </w:rPr>
        <w:t>7）将监控到的数据库性能指标保存下来，生成性能趋势报告，为管理者提供决策依据。</w:t>
      </w:r>
    </w:p>
    <w:p>
      <w:pPr>
        <w:spacing w:before="120" w:after="120"/>
      </w:pPr>
      <w:r>
        <w:rPr>
          <w:rFonts w:hint="eastAsia"/>
        </w:rPr>
        <w:t>8）定期检查系统日志和备份作业日志，根据日志解决存在和潜在问题。</w:t>
      </w:r>
    </w:p>
    <w:p>
      <w:pPr>
        <w:pStyle w:val="4"/>
        <w:spacing w:before="80" w:after="80" w:line="240" w:lineRule="auto"/>
        <w:ind w:left="240" w:leftChars="0" w:firstLineChars="0"/>
      </w:pPr>
      <w:bookmarkStart w:id="323" w:name="_Toc18112"/>
      <w:bookmarkStart w:id="324" w:name="_Toc19325"/>
      <w:r>
        <w:rPr>
          <w:rFonts w:hint="eastAsia"/>
        </w:rPr>
        <w:t>安全保障系统运行维护规划</w:t>
      </w:r>
      <w:bookmarkEnd w:id="323"/>
      <w:bookmarkEnd w:id="324"/>
    </w:p>
    <w:p>
      <w:pPr>
        <w:spacing w:before="120" w:after="120"/>
      </w:pPr>
      <w:r>
        <w:rPr>
          <w:rFonts w:hint="eastAsia"/>
        </w:rPr>
        <w:t>信息安全等级保护建设流程中，在进行安全保障体系设计以及安全建设之后将会进入到周期性的安全运维阶段，来保证和巩固等级保护建设的成果。</w:t>
      </w:r>
    </w:p>
    <w:p>
      <w:pPr>
        <w:spacing w:before="120" w:after="120"/>
      </w:pPr>
      <w:r>
        <w:rPr>
          <w:rFonts w:hint="eastAsia"/>
        </w:rPr>
        <w:t>根据建立的信息安全管理运维体系对本项目的信息安全系统进行实时的维护管理，针对本系统中的安全软、硬件提供全面的安全运维服务。针对于整个系统相关范围的不同安全等级及实际应用，所需要的安全运维服务。</w:t>
      </w:r>
    </w:p>
    <w:p>
      <w:pPr>
        <w:spacing w:before="120" w:after="120"/>
      </w:pPr>
      <w:r>
        <w:rPr>
          <w:rFonts w:hint="eastAsia"/>
        </w:rPr>
        <w:t>本次工程部署在省政务云平台，运行维护系统由政务云统筹考虑。</w:t>
      </w:r>
    </w:p>
    <w:p>
      <w:pPr>
        <w:pStyle w:val="3"/>
        <w:spacing w:before="360" w:after="240" w:line="240" w:lineRule="auto"/>
      </w:pPr>
      <w:bookmarkStart w:id="325" w:name="_Toc13725"/>
      <w:r>
        <w:rPr>
          <w:rFonts w:hint="eastAsia"/>
        </w:rPr>
        <w:t>机房及配套工程建设方案</w:t>
      </w:r>
      <w:bookmarkEnd w:id="313"/>
      <w:bookmarkEnd w:id="314"/>
      <w:bookmarkEnd w:id="325"/>
    </w:p>
    <w:p>
      <w:r>
        <w:rPr>
          <w:rFonts w:hint="eastAsia"/>
        </w:rPr>
        <w:t>本次工程硬件环境为省政务云环境，物理环境满足本次工程需求，无需建设。</w:t>
      </w:r>
    </w:p>
    <w:p>
      <w:pPr>
        <w:pStyle w:val="3"/>
      </w:pPr>
      <w:bookmarkStart w:id="326" w:name="_Toc99093008"/>
      <w:bookmarkStart w:id="327" w:name="_Toc769"/>
      <w:r>
        <w:rPr>
          <w:rFonts w:hint="eastAsia"/>
        </w:rPr>
        <w:t>密码应用方案</w:t>
      </w:r>
      <w:bookmarkEnd w:id="326"/>
      <w:bookmarkEnd w:id="327"/>
    </w:p>
    <w:p>
      <w:pPr>
        <w:spacing w:before="120" w:after="120"/>
      </w:pPr>
      <w:r>
        <w:rPr>
          <w:rFonts w:hint="eastAsia"/>
        </w:rPr>
        <w:t>密码是保障网络与信息安全的核心技术和基础支撑，是解决网络与信息安全问题最有效、最可靠、最经济的手段。《密码法》的颁布实施，从法律层面为开展商用密码应用提供了根本遵循，《国家政务信息化项目建设管理办法》的颁布实施，进一步促进了商用密码的全面应用。</w:t>
      </w:r>
    </w:p>
    <w:p>
      <w:pPr>
        <w:spacing w:before="120" w:after="120"/>
      </w:pPr>
      <w:r>
        <w:rPr>
          <w:rFonts w:hint="eastAsia"/>
        </w:rPr>
        <w:t>为贯彻落实《密码法》关于信息系统密码应用的要求，依据 GB/T39786-2021《信息安全技术信息系统密码应用基本要求》（以下简《基本要求》），从物理和环境安全、网络和通信安全、设备和计算安全、应用和数据安全等4个层面，以及密钥管理、安全管理等方面满足商用密码测评要求。</w:t>
      </w:r>
    </w:p>
    <w:p>
      <w:pPr>
        <w:spacing w:before="120" w:after="120"/>
      </w:pPr>
      <w:r>
        <w:rPr>
          <w:rFonts w:hint="eastAsia"/>
        </w:rPr>
        <w:t>软件系统在测评准备活动、方案测评活动、现场测评活动、分析与报告编制活动配合完成密码测评。</w:t>
      </w:r>
    </w:p>
    <w:p>
      <w:pPr>
        <w:pStyle w:val="4"/>
        <w:spacing w:before="80" w:after="80" w:line="240" w:lineRule="auto"/>
        <w:ind w:left="240" w:leftChars="0" w:firstLineChars="0"/>
      </w:pPr>
      <w:bookmarkStart w:id="328" w:name="_Toc3591"/>
      <w:bookmarkStart w:id="329" w:name="_Toc28024"/>
      <w:r>
        <w:rPr>
          <w:rFonts w:hint="eastAsia"/>
        </w:rPr>
        <w:t>安全管理方案</w:t>
      </w:r>
      <w:bookmarkEnd w:id="328"/>
      <w:bookmarkEnd w:id="329"/>
    </w:p>
    <w:p>
      <w:pPr>
        <w:spacing w:before="120" w:after="120"/>
      </w:pPr>
      <w:r>
        <w:rPr>
          <w:rFonts w:hint="eastAsia"/>
        </w:rPr>
        <w:t>（1）制度</w:t>
      </w:r>
    </w:p>
    <w:p>
      <w:pPr>
        <w:spacing w:before="120" w:after="120"/>
      </w:pPr>
      <w:r>
        <w:rPr>
          <w:rFonts w:hint="eastAsia"/>
        </w:rPr>
        <w:t>根据《基本要求》中安全管理制度方面的要求，制定与本系统相适应的密码安全管理制度和操作规范，内容至少包含密码建设、运维、人员、设备、密钥等方面，并同步在单位现有的制度发布流程中补充密码相关管理制度发布流程，待新制定的密码安全管理制度和操作规范内部评审通过后，按照密码相关管理制度发布流程予以发布并遵照执行。</w:t>
      </w:r>
    </w:p>
    <w:p>
      <w:pPr>
        <w:spacing w:before="120" w:after="120"/>
      </w:pPr>
      <w:r>
        <w:rPr>
          <w:rFonts w:hint="eastAsia"/>
        </w:rPr>
        <w:t>密码安全管理制度和操作规范发布后，每年年底，在本单位内部组织专家和密码相关人员对密码安全管理制度和操作规范在使用过程中的合理性和适用性进行论证和审定，对存在不足或需要改进的安全管理制度进行修订。</w:t>
      </w:r>
    </w:p>
    <w:p>
      <w:pPr>
        <w:spacing w:before="120" w:after="120"/>
      </w:pPr>
      <w:r>
        <w:rPr>
          <w:rFonts w:hint="eastAsia"/>
        </w:rPr>
        <w:t>（2）人员</w:t>
      </w:r>
    </w:p>
    <w:p>
      <w:pPr>
        <w:spacing w:before="120" w:after="120"/>
      </w:pPr>
      <w:r>
        <w:rPr>
          <w:rFonts w:hint="eastAsia"/>
        </w:rPr>
        <w:t>根据《基本要求》中安全管理人员方面的要求，对本系统现有的人员管理制度进行补充和完善。</w:t>
      </w:r>
    </w:p>
    <w:p>
      <w:pPr>
        <w:spacing w:before="120" w:after="120"/>
      </w:pPr>
      <w:r>
        <w:rPr>
          <w:rFonts w:hint="eastAsia"/>
        </w:rPr>
        <w:t>1）设置内部密码专题培训机制，每 3 个月组织一次，由内部人员或聘请外部专家担任培训讲师，内容涉及密码相关法律法规和标准规范、商用密码应用、商用密码应用安全性评估等多个方面，使相关人员了解密码相关的法律和法规，掌握密码基本原理，并遵照执行；</w:t>
      </w:r>
    </w:p>
    <w:p>
      <w:pPr>
        <w:spacing w:before="120" w:after="120"/>
      </w:pPr>
      <w:r>
        <w:rPr>
          <w:rFonts w:hint="eastAsia"/>
        </w:rPr>
        <w:t>2）在本系统完成密码应用改造后，安排项目建设单位、相关密码设备厂商对本系统部署使用的所有密码产品进行操作培训，确保相关人员能够正确配置使用本系统中部署的密码产品；</w:t>
      </w:r>
    </w:p>
    <w:p>
      <w:pPr>
        <w:spacing w:before="120" w:after="120"/>
      </w:pPr>
      <w:r>
        <w:rPr>
          <w:rFonts w:hint="eastAsia"/>
        </w:rPr>
        <w:t>3）结合本系统情况，分别设立密钥管理员、安全审计员、密码操作员等岗位，明确各岗位职责，每个岗位均由 2 人担任；</w:t>
      </w:r>
    </w:p>
    <w:p>
      <w:pPr>
        <w:spacing w:before="120" w:after="120"/>
      </w:pPr>
      <w:r>
        <w:rPr>
          <w:rFonts w:hint="eastAsia"/>
        </w:rPr>
        <w:t>4）在现有的安全管理制度中，补充密码相关人员考核、奖惩、保密、调离制度，每年对密钥管理人员、安全审计人员、密码操作人员组织一次考核，对考核成绩优异的予以表扬和奖励，考核成绩不合格者，进行批评教育；密钥管理人员、安全审计人员、密码操作人员与单位订保密协议，承担保密义务，相关人员若要调离岗位时，按照制定的人员调离制度承担相应的保密义务。</w:t>
      </w:r>
    </w:p>
    <w:p>
      <w:pPr>
        <w:spacing w:before="120" w:after="120"/>
      </w:pPr>
      <w:r>
        <w:rPr>
          <w:rFonts w:hint="eastAsia"/>
        </w:rPr>
        <w:t>（3）实施</w:t>
      </w:r>
    </w:p>
    <w:p>
      <w:pPr>
        <w:spacing w:before="120" w:after="120"/>
      </w:pPr>
      <w:r>
        <w:rPr>
          <w:rFonts w:hint="eastAsia"/>
        </w:rPr>
        <w:t>完成本方案编制后，委托密评机构或组织专家对本方案进行评估，评估通过后，将本系统密码应用方案向密码管理部门备案，并同步对本系统进行密码应用改造，选用通过检测认证合格的智能密码钥匙、SSL应用安全网关、SSL VPN、证书认证系统、签名验签服务器、安全门禁系统、等商用密码产品，合规、正确、有效的建设密码保障系统。</w:t>
      </w:r>
    </w:p>
    <w:p>
      <w:pPr>
        <w:spacing w:before="120" w:after="120"/>
      </w:pPr>
      <w:r>
        <w:rPr>
          <w:rFonts w:hint="eastAsia"/>
        </w:rPr>
        <w:t>依据评估通过的密码应用方案改造完成后，委托密评机构对本系统进行密评，密评通过后上线运行，上线运行后，每年对本系统进行一次密码应用安全性评估，并根据评估意见进行整改。当本系统在运行过程中发现重大密码应用安全隐患时，将停止系统运行，制定整改方案，按照整改方案对系统进行整改和密码应用安全性评估，评估通过后重新上线运行。</w:t>
      </w:r>
    </w:p>
    <w:p>
      <w:pPr>
        <w:spacing w:before="120" w:after="120"/>
      </w:pPr>
      <w:r>
        <w:rPr>
          <w:rFonts w:hint="eastAsia"/>
        </w:rPr>
        <w:t>（4）应急</w:t>
      </w:r>
    </w:p>
    <w:p>
      <w:pPr>
        <w:spacing w:before="120" w:after="120"/>
      </w:pPr>
      <w:r>
        <w:rPr>
          <w:rFonts w:hint="eastAsia"/>
        </w:rPr>
        <w:t>根据《基本要求》中安全管理应急方面的要求，对本系统现有的应急管理制度进行完善，补充制定密码相关应急处置预案，并做好应急资源准备，明确密码安全事件处理流程及其它管理措施；当本系统发生密码相关安全事件时，在事发后 3 小时内属地密码管理局进行报告；事件处置完成后 2 个工作日内，向属地密码管理局汇报安全事件发生情况及处置情况。</w:t>
      </w:r>
    </w:p>
    <w:p>
      <w:pPr>
        <w:pStyle w:val="4"/>
        <w:spacing w:before="80" w:after="80" w:line="240" w:lineRule="auto"/>
        <w:ind w:left="240" w:leftChars="0" w:firstLineChars="0"/>
      </w:pPr>
      <w:bookmarkStart w:id="330" w:name="_Toc27450"/>
      <w:bookmarkStart w:id="331" w:name="_Toc5215"/>
      <w:r>
        <w:rPr>
          <w:rFonts w:hint="eastAsia"/>
        </w:rPr>
        <w:t>实施保障方案</w:t>
      </w:r>
      <w:bookmarkEnd w:id="330"/>
      <w:bookmarkEnd w:id="331"/>
    </w:p>
    <w:p>
      <w:pPr>
        <w:spacing w:before="120" w:after="120"/>
      </w:pPr>
      <w:r>
        <w:rPr>
          <w:rFonts w:hint="eastAsia"/>
        </w:rPr>
        <w:t>（1）物理和环境安全</w:t>
      </w:r>
    </w:p>
    <w:p>
      <w:pPr>
        <w:spacing w:before="120" w:after="120"/>
      </w:pPr>
      <w:r>
        <w:rPr>
          <w:rFonts w:hint="eastAsia"/>
        </w:rPr>
        <w:t>黑龙江省市场监督管理局业务系统部署于省电子政务云机房，已依据《信息系统安全等级保护基本要求》对“物理和环境”的基本要求、应符合信息系统安全等级保护三级相关要求。由政务云承建负责。</w:t>
      </w:r>
    </w:p>
    <w:p>
      <w:pPr>
        <w:spacing w:before="120" w:after="120"/>
      </w:pPr>
      <w:r>
        <w:rPr>
          <w:rFonts w:hint="eastAsia"/>
        </w:rPr>
        <w:t>（2）网络和通信安全</w:t>
      </w:r>
    </w:p>
    <w:p>
      <w:pPr>
        <w:spacing w:before="120" w:after="120"/>
      </w:pPr>
      <w:r>
        <w:rPr>
          <w:rFonts w:hint="eastAsia"/>
        </w:rPr>
        <w:t>1）PC端访问时，通过政务云商用密码环境安全网关建立安全的数据传输通道，实现数据传输通道机密性和完整性保护。</w:t>
      </w:r>
    </w:p>
    <w:p>
      <w:pPr>
        <w:spacing w:before="120" w:after="120"/>
      </w:pPr>
      <w:r>
        <w:rPr>
          <w:rFonts w:hint="eastAsia"/>
        </w:rPr>
        <w:t>2）移动端应用时，通过政务云商用密码环境接入服务，实现与手机、平板或笔记本等移动终端完成身份认证、安全通信链路建立、数据加密、访问控制等功能，保障信息的机密性、完整性和可用性。</w:t>
      </w:r>
    </w:p>
    <w:p>
      <w:pPr>
        <w:spacing w:before="120" w:after="120"/>
      </w:pPr>
      <w:r>
        <w:rPr>
          <w:rFonts w:hint="eastAsia"/>
        </w:rPr>
        <w:t>3）通过政务云商用密码环境接入服务（符合国标、行标要求），建立安全的集中管理通道。</w:t>
      </w:r>
    </w:p>
    <w:p>
      <w:pPr>
        <w:spacing w:before="120" w:after="120"/>
      </w:pPr>
      <w:r>
        <w:rPr>
          <w:rFonts w:hint="eastAsia"/>
        </w:rPr>
        <w:t>网络和通信安全层面使用的密码算法、密码技术、密钥管理由政务云商用密码环境符合国标、行标的SSL VPN实现。</w:t>
      </w:r>
    </w:p>
    <w:p>
      <w:pPr>
        <w:spacing w:before="120" w:after="120"/>
      </w:pPr>
      <w:r>
        <w:rPr>
          <w:rFonts w:hint="eastAsia"/>
        </w:rPr>
        <w:t>（3）设备和计算安全</w:t>
      </w:r>
    </w:p>
    <w:p>
      <w:pPr>
        <w:spacing w:before="120" w:after="120"/>
      </w:pPr>
      <w:r>
        <w:rPr>
          <w:rFonts w:hint="eastAsia"/>
        </w:rPr>
        <w:t>通过政务云认证服务能力进行身份鉴别和远程管理身份鉴别信息传输机密性保护，防止非授权人员登录、管理员远程登录身份鉴别信息被非授权窃取。</w:t>
      </w:r>
    </w:p>
    <w:p>
      <w:pPr>
        <w:spacing w:before="120" w:after="120"/>
      </w:pPr>
      <w:r>
        <w:rPr>
          <w:rFonts w:hint="eastAsia"/>
        </w:rPr>
        <w:t>设备和计算安全层面所使用的密码算法、密码技术、密码服务、密钥管理由符合国标、行标的接入服务、数据加密服务实现。</w:t>
      </w:r>
    </w:p>
    <w:p>
      <w:pPr>
        <w:spacing w:before="120" w:after="120"/>
      </w:pPr>
      <w:r>
        <w:rPr>
          <w:rFonts w:hint="eastAsia"/>
        </w:rPr>
        <w:t>（4）应用和数据安全</w:t>
      </w:r>
    </w:p>
    <w:p>
      <w:pPr>
        <w:spacing w:before="120" w:after="120"/>
      </w:pPr>
      <w:r>
        <w:rPr>
          <w:rFonts w:hint="eastAsia"/>
        </w:rPr>
        <w:t>1）PC端访问时，通过申请政务云SSL VPN（具有国密认证证书） 安全网关建立安全的数据传输通道，实现数据传输通道机密性和完整性保护。</w:t>
      </w:r>
    </w:p>
    <w:p>
      <w:pPr>
        <w:spacing w:before="120" w:after="120"/>
      </w:pPr>
      <w:r>
        <w:rPr>
          <w:rFonts w:hint="eastAsia"/>
        </w:rPr>
        <w:t>2）申请政务云数据加密服务（符合国标、行标要求），在应用开发建设过程中，本项目所涉及的建设内容将调用数据加密服务，对各业务应用关键数据进行传输、存储机密性、完整性保护，实现身份鉴别数据、关键业务数据防窃取和防篡改保护。</w:t>
      </w:r>
    </w:p>
    <w:p>
      <w:pPr>
        <w:spacing w:before="120" w:after="120"/>
      </w:pPr>
      <w:r>
        <w:rPr>
          <w:rFonts w:hint="eastAsia"/>
        </w:rPr>
        <w:t>3）申请政务云数据加密服务（符合国标、行标要求），对建设内容的业务应用日志记录进行完整性保护，防止应用日志记录被非授权篡改（SM3-HMAC）。</w:t>
      </w:r>
    </w:p>
    <w:p>
      <w:pPr>
        <w:spacing w:before="120" w:after="120"/>
      </w:pPr>
      <w:r>
        <w:rPr>
          <w:rFonts w:hint="eastAsia"/>
        </w:rPr>
        <w:t>应用和数据安全层面所要求的密码算法、密码技术、密码服务、密钥管理由符合国标、行标的接入服务、数据加密服务实现。</w:t>
      </w:r>
    </w:p>
    <w:p>
      <w:pPr>
        <w:spacing w:before="120" w:after="120"/>
      </w:pPr>
      <w:r>
        <w:rPr>
          <w:rFonts w:hint="eastAsia"/>
        </w:rPr>
        <w:t>（5）密钥管理安全</w:t>
      </w:r>
    </w:p>
    <w:p>
      <w:pPr>
        <w:spacing w:before="120" w:after="120"/>
        <w:sectPr>
          <w:footerReference r:id="rId17" w:type="default"/>
          <w:pgSz w:w="11906" w:h="16838"/>
          <w:pgMar w:top="1440" w:right="1800" w:bottom="1440" w:left="1800" w:header="851" w:footer="992" w:gutter="0"/>
          <w:cols w:space="425" w:num="1"/>
          <w:docGrid w:type="lines" w:linePitch="326" w:charSpace="0"/>
        </w:sectPr>
      </w:pPr>
      <w:r>
        <w:rPr>
          <w:rFonts w:hint="eastAsia"/>
        </w:rPr>
        <w:t>本项目涉及的密钥主要包括数字证书认证系统的密钥（非对称密钥体系）和服务器密码机等密码产品的密钥两部分。相关密钥由政务云管理。</w:t>
      </w:r>
    </w:p>
    <w:p>
      <w:pPr>
        <w:pStyle w:val="2"/>
      </w:pPr>
      <w:bookmarkStart w:id="332" w:name="_Toc99093017"/>
      <w:bookmarkStart w:id="333" w:name="_Toc4665"/>
      <w:bookmarkStart w:id="334" w:name="_Toc99093026"/>
      <w:bookmarkStart w:id="335" w:name="_Toc99028768"/>
      <w:r>
        <w:rPr>
          <w:rFonts w:hint="eastAsia"/>
        </w:rPr>
        <w:t>政务信息资源共享</w:t>
      </w:r>
      <w:bookmarkEnd w:id="332"/>
      <w:bookmarkEnd w:id="333"/>
    </w:p>
    <w:p>
      <w:pPr>
        <w:pStyle w:val="3"/>
      </w:pPr>
      <w:bookmarkStart w:id="336" w:name="_Toc99093022"/>
      <w:bookmarkStart w:id="337" w:name="_Toc4265"/>
      <w:bookmarkStart w:id="338" w:name="_Toc99093021"/>
      <w:r>
        <w:rPr>
          <w:rFonts w:hint="eastAsia"/>
        </w:rPr>
        <w:t>政务信息资源共享</w:t>
      </w:r>
      <w:bookmarkEnd w:id="336"/>
      <w:r>
        <w:rPr>
          <w:rFonts w:hint="eastAsia"/>
        </w:rPr>
        <w:t>方式</w:t>
      </w:r>
      <w:bookmarkEnd w:id="337"/>
    </w:p>
    <w:p>
      <w:bookmarkStart w:id="339" w:name="_Hlk110237825"/>
      <w:r>
        <w:rPr>
          <w:rFonts w:hint="eastAsia"/>
        </w:rPr>
        <w:t>主题库证照库项目在使用过程中会产生大量的多元化政务数据，为确保与省一体化平台对接共享工作的准确性、时效性，通过省营商局统一建设的政务信息共享交换平台实现统一对接共享，有效的管理、监控共享任务。</w:t>
      </w:r>
    </w:p>
    <w:p>
      <w:pPr>
        <w:ind w:right="238"/>
        <w:rPr>
          <w:rFonts w:ascii="宋体" w:hAnsi="宋体"/>
        </w:rPr>
      </w:pPr>
      <w:r>
        <w:rPr>
          <w:rFonts w:hint="eastAsia" w:ascii="宋体" w:hAnsi="宋体"/>
        </w:rPr>
        <w:t>市场监管局可通过</w:t>
      </w:r>
      <w:r>
        <w:rPr>
          <w:rFonts w:hint="eastAsia"/>
        </w:rPr>
        <w:t>政务信息共享交换平台</w:t>
      </w:r>
      <w:r>
        <w:rPr>
          <w:rFonts w:hint="eastAsia" w:ascii="宋体" w:hAnsi="宋体"/>
        </w:rPr>
        <w:t>，从各部门获取市场监管局需要的相关数据。各部门将数据按照规定格式，通过数据交换平台打包到数据交换库，市场监管局再通过数据集成平台将数据加载到主题库证照库中。</w:t>
      </w:r>
    </w:p>
    <w:bookmarkEnd w:id="339"/>
    <w:p>
      <w:pPr>
        <w:ind w:right="238"/>
        <w:rPr>
          <w:rFonts w:ascii="宋体" w:hAnsi="宋体"/>
        </w:rPr>
      </w:pPr>
      <w:r>
        <w:rPr>
          <w:rFonts w:hint="eastAsia" w:ascii="宋体" w:hAnsi="宋体"/>
        </w:rPr>
        <w:t>（1）交换数据上传服务</w:t>
      </w:r>
    </w:p>
    <w:p>
      <w:pPr>
        <w:ind w:right="238"/>
        <w:rPr>
          <w:rFonts w:ascii="宋体" w:hAnsi="宋体"/>
        </w:rPr>
      </w:pPr>
      <w:r>
        <w:rPr>
          <w:rFonts w:hint="eastAsia" w:ascii="宋体" w:hAnsi="宋体"/>
        </w:rPr>
        <w:t>提供交换数据上传功能，提交的上传的交换数据临时存储在共享服务平台缓存数据库，设定时间内自动清除，上传开始时，服务返回上传数据编号，作为该上传数据的唯一标识，可设定对交换数据进行基准校核。</w:t>
      </w:r>
    </w:p>
    <w:p>
      <w:pPr>
        <w:ind w:right="238"/>
        <w:rPr>
          <w:rFonts w:ascii="宋体" w:hAnsi="宋体"/>
        </w:rPr>
      </w:pPr>
      <w:r>
        <w:rPr>
          <w:rFonts w:hint="eastAsia" w:ascii="宋体" w:hAnsi="宋体"/>
        </w:rPr>
        <w:t>（2）交换数据下载服务</w:t>
      </w:r>
    </w:p>
    <w:p>
      <w:pPr>
        <w:ind w:right="238"/>
        <w:rPr>
          <w:rFonts w:ascii="宋体" w:hAnsi="宋体"/>
        </w:rPr>
      </w:pPr>
      <w:r>
        <w:rPr>
          <w:rFonts w:hint="eastAsia" w:ascii="宋体" w:hAnsi="宋体"/>
        </w:rPr>
        <w:t>提供交换数据下载功能，提交上传数据编号，服务返回编号对应上传数据。</w:t>
      </w:r>
    </w:p>
    <w:p>
      <w:pPr>
        <w:ind w:right="238"/>
        <w:rPr>
          <w:rFonts w:ascii="宋体" w:hAnsi="宋体"/>
        </w:rPr>
      </w:pPr>
      <w:r>
        <w:rPr>
          <w:rFonts w:hint="eastAsia" w:ascii="宋体" w:hAnsi="宋体"/>
        </w:rPr>
        <w:t>提供交换数据上传全过程记录并形成交换日志。</w:t>
      </w:r>
    </w:p>
    <w:p>
      <w:pPr>
        <w:ind w:right="238"/>
        <w:rPr>
          <w:rFonts w:ascii="宋体" w:hAnsi="宋体"/>
        </w:rPr>
      </w:pPr>
      <w:r>
        <w:rPr>
          <w:rFonts w:hint="eastAsia" w:ascii="宋体" w:hAnsi="宋体"/>
        </w:rPr>
        <w:t>（3）交换信息跟踪服务</w:t>
      </w:r>
    </w:p>
    <w:p>
      <w:pPr>
        <w:ind w:right="238"/>
        <w:rPr>
          <w:rFonts w:ascii="宋体" w:hAnsi="宋体"/>
        </w:rPr>
      </w:pPr>
      <w:r>
        <w:rPr>
          <w:rFonts w:hint="eastAsia" w:ascii="宋体" w:hAnsi="宋体"/>
        </w:rPr>
        <w:t>提供信息交换跟踪功能，提交上传数据编号，服务返回编号对应信息交换日志。</w:t>
      </w:r>
    </w:p>
    <w:p>
      <w:pPr>
        <w:pStyle w:val="3"/>
      </w:pPr>
      <w:bookmarkStart w:id="340" w:name="_Toc32332"/>
      <w:r>
        <w:rPr>
          <w:rFonts w:hint="eastAsia"/>
        </w:rPr>
        <w:t>信息资源共享目录</w:t>
      </w:r>
      <w:bookmarkEnd w:id="338"/>
      <w:bookmarkEnd w:id="340"/>
    </w:p>
    <w:p>
      <w:pPr>
        <w:sectPr>
          <w:pgSz w:w="11906" w:h="16838"/>
          <w:pgMar w:top="1440" w:right="1800" w:bottom="1440" w:left="1800" w:header="851" w:footer="992" w:gutter="0"/>
          <w:cols w:space="425" w:num="1"/>
          <w:docGrid w:type="lines" w:linePitch="312" w:charSpace="0"/>
        </w:sectPr>
      </w:pPr>
      <w:r>
        <w:rPr>
          <w:rFonts w:hint="eastAsia"/>
        </w:rPr>
        <w:t>本项目为数据处理分析类项目，不产生新的政务信息资源。项目建设的使用的本部门信息资源，已按政务资源管理办法进行共享。</w:t>
      </w:r>
    </w:p>
    <w:p>
      <w:pPr>
        <w:pStyle w:val="3"/>
      </w:pPr>
      <w:bookmarkStart w:id="341" w:name="_Toc18367"/>
      <w:r>
        <w:rPr>
          <w:rFonts w:hint="eastAsia"/>
        </w:rPr>
        <w:t>政务资源信息共享清单</w:t>
      </w:r>
      <w:bookmarkEnd w:id="341"/>
    </w:p>
    <w:tbl>
      <w:tblPr>
        <w:tblStyle w:val="30"/>
        <w:tblW w:w="141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2"/>
        <w:gridCol w:w="1023"/>
        <w:gridCol w:w="1293"/>
        <w:gridCol w:w="1214"/>
        <w:gridCol w:w="528"/>
        <w:gridCol w:w="1044"/>
        <w:gridCol w:w="685"/>
        <w:gridCol w:w="4429"/>
        <w:gridCol w:w="671"/>
        <w:gridCol w:w="915"/>
        <w:gridCol w:w="714"/>
        <w:gridCol w:w="713"/>
        <w:gridCol w:w="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序号</w:t>
            </w:r>
          </w:p>
        </w:tc>
        <w:tc>
          <w:tcPr>
            <w:tcW w:w="1023" w:type="dxa"/>
            <w:shd w:val="clear" w:color="auto" w:fill="auto"/>
            <w:noWrap/>
            <w:vAlign w:val="center"/>
          </w:tcPr>
          <w:p>
            <w:pPr>
              <w:pStyle w:val="46"/>
            </w:pPr>
            <w:r>
              <w:rPr>
                <w:rFonts w:hint="eastAsia"/>
              </w:rPr>
              <w:t>系统</w:t>
            </w:r>
          </w:p>
          <w:p>
            <w:pPr>
              <w:pStyle w:val="46"/>
            </w:pPr>
            <w:r>
              <w:rPr>
                <w:rFonts w:hint="eastAsia"/>
              </w:rPr>
              <w:t>名称</w:t>
            </w:r>
          </w:p>
          <w:p>
            <w:pPr>
              <w:pStyle w:val="46"/>
            </w:pPr>
            <w:r>
              <w:rPr>
                <w:rFonts w:hint="eastAsia"/>
              </w:rPr>
              <w:t>*</w:t>
            </w:r>
          </w:p>
        </w:tc>
        <w:tc>
          <w:tcPr>
            <w:tcW w:w="1293" w:type="dxa"/>
            <w:shd w:val="clear" w:color="auto" w:fill="auto"/>
            <w:vAlign w:val="center"/>
          </w:tcPr>
          <w:p>
            <w:pPr>
              <w:pStyle w:val="46"/>
            </w:pPr>
            <w:r>
              <w:rPr>
                <w:rFonts w:hint="eastAsia"/>
              </w:rPr>
              <w:t>政务信息资源名称</w:t>
            </w:r>
          </w:p>
          <w:p>
            <w:pPr>
              <w:pStyle w:val="46"/>
            </w:pPr>
            <w:r>
              <w:rPr>
                <w:rFonts w:hint="eastAsia"/>
              </w:rPr>
              <w:t>*</w:t>
            </w:r>
          </w:p>
        </w:tc>
        <w:tc>
          <w:tcPr>
            <w:tcW w:w="1214" w:type="dxa"/>
            <w:shd w:val="clear" w:color="auto" w:fill="auto"/>
            <w:vAlign w:val="center"/>
          </w:tcPr>
          <w:p>
            <w:pPr>
              <w:pStyle w:val="46"/>
            </w:pPr>
            <w:r>
              <w:rPr>
                <w:rFonts w:hint="eastAsia"/>
              </w:rPr>
              <w:t>政务信息资源所属事项名称*</w:t>
            </w:r>
          </w:p>
        </w:tc>
        <w:tc>
          <w:tcPr>
            <w:tcW w:w="528" w:type="dxa"/>
            <w:shd w:val="clear" w:color="auto" w:fill="auto"/>
            <w:vAlign w:val="center"/>
          </w:tcPr>
          <w:p>
            <w:pPr>
              <w:pStyle w:val="46"/>
            </w:pPr>
            <w:r>
              <w:rPr>
                <w:rFonts w:hint="eastAsia"/>
              </w:rPr>
              <w:t>是否包含APP应用</w:t>
            </w:r>
          </w:p>
        </w:tc>
        <w:tc>
          <w:tcPr>
            <w:tcW w:w="1044" w:type="dxa"/>
            <w:shd w:val="clear" w:color="auto" w:fill="auto"/>
            <w:vAlign w:val="center"/>
          </w:tcPr>
          <w:p>
            <w:pPr>
              <w:pStyle w:val="46"/>
            </w:pPr>
            <w:r>
              <w:rPr>
                <w:rFonts w:hint="eastAsia"/>
              </w:rPr>
              <w:t>政务信息资源所属事项产生结果名称</w:t>
            </w:r>
          </w:p>
        </w:tc>
        <w:tc>
          <w:tcPr>
            <w:tcW w:w="685" w:type="dxa"/>
            <w:shd w:val="clear" w:color="auto" w:fill="auto"/>
            <w:vAlign w:val="center"/>
          </w:tcPr>
          <w:p>
            <w:pPr>
              <w:pStyle w:val="46"/>
            </w:pPr>
            <w:r>
              <w:rPr>
                <w:rFonts w:hint="eastAsia"/>
              </w:rPr>
              <w:t>是否</w:t>
            </w:r>
          </w:p>
          <w:p>
            <w:pPr>
              <w:pStyle w:val="46"/>
            </w:pPr>
            <w:r>
              <w:rPr>
                <w:rFonts w:hint="eastAsia"/>
              </w:rPr>
              <w:t>电子</w:t>
            </w:r>
          </w:p>
          <w:p>
            <w:pPr>
              <w:pStyle w:val="46"/>
            </w:pPr>
            <w:r>
              <w:rPr>
                <w:rFonts w:hint="eastAsia"/>
              </w:rPr>
              <w:t>证照</w:t>
            </w:r>
          </w:p>
        </w:tc>
        <w:tc>
          <w:tcPr>
            <w:tcW w:w="4429" w:type="dxa"/>
            <w:shd w:val="clear" w:color="auto" w:fill="auto"/>
            <w:vAlign w:val="center"/>
          </w:tcPr>
          <w:p>
            <w:pPr>
              <w:pStyle w:val="46"/>
            </w:pPr>
            <w:r>
              <w:rPr>
                <w:rFonts w:hint="eastAsia"/>
              </w:rPr>
              <w:t>政务信息资源包含信息项</w:t>
            </w:r>
          </w:p>
          <w:p>
            <w:pPr>
              <w:pStyle w:val="46"/>
            </w:pPr>
            <w:r>
              <w:rPr>
                <w:rFonts w:hint="eastAsia"/>
              </w:rPr>
              <w:t>*</w:t>
            </w:r>
          </w:p>
        </w:tc>
        <w:tc>
          <w:tcPr>
            <w:tcW w:w="671" w:type="dxa"/>
            <w:shd w:val="clear" w:color="auto" w:fill="auto"/>
            <w:noWrap/>
            <w:vAlign w:val="center"/>
          </w:tcPr>
          <w:p>
            <w:pPr>
              <w:pStyle w:val="46"/>
            </w:pPr>
            <w:r>
              <w:rPr>
                <w:rFonts w:hint="eastAsia"/>
              </w:rPr>
              <w:t>更新</w:t>
            </w:r>
          </w:p>
          <w:p>
            <w:pPr>
              <w:pStyle w:val="46"/>
            </w:pPr>
            <w:r>
              <w:rPr>
                <w:rFonts w:hint="eastAsia"/>
              </w:rPr>
              <w:t>频率</w:t>
            </w:r>
          </w:p>
          <w:p>
            <w:pPr>
              <w:pStyle w:val="46"/>
            </w:pPr>
            <w:r>
              <w:rPr>
                <w:rFonts w:hint="eastAsia"/>
              </w:rPr>
              <w:t>*</w:t>
            </w:r>
          </w:p>
        </w:tc>
        <w:tc>
          <w:tcPr>
            <w:tcW w:w="915" w:type="dxa"/>
            <w:shd w:val="clear" w:color="auto" w:fill="auto"/>
            <w:noWrap/>
            <w:vAlign w:val="center"/>
          </w:tcPr>
          <w:p>
            <w:pPr>
              <w:pStyle w:val="46"/>
            </w:pPr>
            <w:r>
              <w:rPr>
                <w:rFonts w:hint="eastAsia"/>
              </w:rPr>
              <w:t>共享</w:t>
            </w:r>
          </w:p>
          <w:p>
            <w:pPr>
              <w:pStyle w:val="46"/>
            </w:pPr>
            <w:r>
              <w:rPr>
                <w:rFonts w:hint="eastAsia"/>
              </w:rPr>
              <w:t>类型</w:t>
            </w:r>
          </w:p>
          <w:p>
            <w:pPr>
              <w:pStyle w:val="46"/>
            </w:pPr>
            <w:r>
              <w:rPr>
                <w:rFonts w:hint="eastAsia"/>
              </w:rPr>
              <w:t>*</w:t>
            </w:r>
          </w:p>
        </w:tc>
        <w:tc>
          <w:tcPr>
            <w:tcW w:w="714" w:type="dxa"/>
            <w:shd w:val="clear" w:color="auto" w:fill="auto"/>
            <w:noWrap/>
            <w:vAlign w:val="center"/>
          </w:tcPr>
          <w:p>
            <w:pPr>
              <w:pStyle w:val="46"/>
            </w:pPr>
            <w:r>
              <w:rPr>
                <w:rFonts w:hint="eastAsia"/>
              </w:rPr>
              <w:t>共享</w:t>
            </w:r>
          </w:p>
          <w:p>
            <w:pPr>
              <w:pStyle w:val="46"/>
            </w:pPr>
            <w:r>
              <w:rPr>
                <w:rFonts w:hint="eastAsia"/>
              </w:rPr>
              <w:t>方式</w:t>
            </w:r>
          </w:p>
          <w:p>
            <w:pPr>
              <w:pStyle w:val="46"/>
            </w:pPr>
            <w:r>
              <w:rPr>
                <w:rFonts w:hint="eastAsia"/>
              </w:rPr>
              <w:t>*</w:t>
            </w:r>
          </w:p>
        </w:tc>
        <w:tc>
          <w:tcPr>
            <w:tcW w:w="713" w:type="dxa"/>
            <w:shd w:val="clear" w:color="auto" w:fill="auto"/>
            <w:noWrap/>
            <w:vAlign w:val="center"/>
          </w:tcPr>
          <w:p>
            <w:pPr>
              <w:pStyle w:val="46"/>
            </w:pPr>
            <w:r>
              <w:rPr>
                <w:rFonts w:hint="eastAsia"/>
              </w:rPr>
              <w:t>使用</w:t>
            </w:r>
          </w:p>
          <w:p>
            <w:pPr>
              <w:pStyle w:val="46"/>
            </w:pPr>
            <w:r>
              <w:rPr>
                <w:rFonts w:hint="eastAsia"/>
              </w:rPr>
              <w:t>要求</w:t>
            </w:r>
          </w:p>
        </w:tc>
        <w:tc>
          <w:tcPr>
            <w:tcW w:w="473" w:type="dxa"/>
            <w:vAlign w:val="center"/>
          </w:tcPr>
          <w:p>
            <w:pPr>
              <w:pStyle w:val="46"/>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p>
        </w:tc>
        <w:tc>
          <w:tcPr>
            <w:tcW w:w="1023" w:type="dxa"/>
            <w:vMerge w:val="restart"/>
            <w:shd w:val="clear" w:color="auto" w:fill="auto"/>
            <w:vAlign w:val="center"/>
          </w:tcPr>
          <w:p>
            <w:pPr>
              <w:pStyle w:val="46"/>
            </w:pPr>
            <w:bookmarkStart w:id="342" w:name="_Toc93834320"/>
            <w:r>
              <w:rPr>
                <w:rFonts w:hint="eastAsia"/>
              </w:rPr>
              <w:t>数据质量管理平台</w:t>
            </w:r>
            <w:bookmarkEnd w:id="342"/>
          </w:p>
        </w:tc>
        <w:tc>
          <w:tcPr>
            <w:tcW w:w="1293" w:type="dxa"/>
            <w:shd w:val="clear" w:color="auto" w:fill="auto"/>
            <w:vAlign w:val="center"/>
          </w:tcPr>
          <w:p>
            <w:pPr>
              <w:pStyle w:val="46"/>
            </w:pPr>
            <w:r>
              <w:rPr>
                <w:rFonts w:hint="eastAsia"/>
              </w:rPr>
              <w:t>检查清单信息</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检查对象、检查类型、检查事项、说明</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检查结果信息</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检查对象、统一社会信用代码、检查类型、检查结果、</w:t>
            </w:r>
          </w:p>
          <w:p>
            <w:pPr>
              <w:pStyle w:val="46"/>
            </w:pPr>
            <w:r>
              <w:rPr>
                <w:rFonts w:hint="eastAsia"/>
              </w:rPr>
              <w:t>检查内容、检查结果</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3</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分析主题信息</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检查对象、行业、区域</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问题数据信息</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问题数据、字段、检查类型、检查名称、数据项</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5</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知识</w:t>
            </w:r>
          </w:p>
          <w:p>
            <w:pPr>
              <w:pStyle w:val="46"/>
            </w:pPr>
            <w:r>
              <w:rPr>
                <w:rFonts w:hint="eastAsia"/>
              </w:rPr>
              <w:t>信息</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规则、指标、处理方案</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6</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评价指标信息</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数据项、权重、</w:t>
            </w:r>
            <w:r>
              <w:t>评价结果</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7</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指标维度信息</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指标维度、权重、</w:t>
            </w:r>
            <w:r>
              <w:t>评价结果</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8</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内资企业数据质量评价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信息类别、指标项、有限责任公司、有限责任公司分公司、股份有限公司、股份有限公司分公司、内资企业法人、合伙企业、个人独资企业、完整性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9</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外资企业数据质量评价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业务类别、信息类别、指标项、有限责任公司、有限责任公司分公司、股份有限公司、股份有限公司分公司、外资合伙企业、外资合伙企业分支机构、外国</w:t>
            </w:r>
            <w:r>
              <w:t>(地区)企业在中国境内从事经营活动</w:t>
            </w:r>
            <w:r>
              <w:rPr>
                <w:rFonts w:hint="eastAsia"/>
              </w:rPr>
              <w:t>、外国</w:t>
            </w:r>
            <w:r>
              <w:t>(地区)企业常驻代表机构</w:t>
            </w:r>
            <w:r>
              <w:rPr>
                <w:rFonts w:hint="eastAsia"/>
              </w:rPr>
              <w:t>、外国（地区）公司分支机构、完整性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10</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农民专业合作社数据质量评价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信息类别、指标项、农民专业合作社、分支机构、完整性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r>
              <w:t>1</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个体工商户数据质量评价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r>
              <w:t>2</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一照多址数据质量评价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r>
              <w:t>3</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海关多证合一专项数据质量评价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信息类别、指标项、完整性（是否检查）、规范性、检查条件说明</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r>
              <w:t>4</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证照分离数据质量评价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r>
              <w:t>5</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股权冻结数据质量评价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r>
              <w:t>6</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简易注销数据质量评价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r>
              <w:t>7</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企业注销便利化数据质量评价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r>
              <w:t>8</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集团信息数据质量评价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1</w:t>
            </w:r>
            <w:r>
              <w:t>9</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营业执照作废声明数据质量评价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20</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小微企业名录数据质量评价</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r>
              <w:t>1</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电子营业执照数据质量评价指</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信息类别、指标项、完整性</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r>
              <w:t>2</w:t>
            </w:r>
          </w:p>
        </w:tc>
        <w:tc>
          <w:tcPr>
            <w:tcW w:w="1023" w:type="dxa"/>
            <w:vMerge w:val="restart"/>
            <w:shd w:val="clear" w:color="auto" w:fill="auto"/>
            <w:vAlign w:val="center"/>
          </w:tcPr>
          <w:p>
            <w:pPr>
              <w:pStyle w:val="46"/>
            </w:pPr>
            <w:r>
              <w:rPr>
                <w:rFonts w:hint="eastAsia"/>
              </w:rPr>
              <w:t>监管大脑主题库应用平台</w:t>
            </w:r>
          </w:p>
        </w:tc>
        <w:tc>
          <w:tcPr>
            <w:tcW w:w="1293" w:type="dxa"/>
            <w:shd w:val="clear" w:color="auto" w:fill="auto"/>
            <w:vAlign w:val="center"/>
          </w:tcPr>
          <w:p>
            <w:pPr>
              <w:pStyle w:val="46"/>
            </w:pPr>
            <w:r>
              <w:rPr>
                <w:rFonts w:hint="eastAsia"/>
              </w:rPr>
              <w:t>市场主体主题</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时间、主体类型、所有制、区域、行业、企业状态、资金规模、投资总额规模、注吊销、登记机关、管辖地、企业年龄、外资国别、出资方式、出质人类型、质权人类型、经营活动类别、许可企业状态、外资股东来源、个体身份类型、许可行业</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r>
              <w:t>3</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企业发展指数主题</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时间、主体类型、所有制、区域、行业、企业状态、资金规模</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r>
              <w:t>4</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企业生存状况主题</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时间、主体类型、所有制、区域、行业、企业状态、资金规模、登记机关、管辖地、企业年龄、企业寿命</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r>
              <w:t>5</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企业外来投资主题库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出资时间、被投企业成立时间、被投企业状态、被投企业行业、被投企业区域、被投企业类型、被投企业规模、被投企业年龄、股东类别、投资类型、控股方式、投资规模、合资方式、股东区域、企业股东状态、企业股东行业、企业股东类型、企业股东规模、企业股东年龄、企业股东成立时间</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r>
              <w:t>6</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创业主题库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行业、企业类型、注册资本规模、区域、小微企业</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r>
              <w:t>7</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企业活跃度主题库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时间、主体类型、所有制、区域、行业、企业状态、资金规模</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r>
              <w:t>8</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小微企业扶持主题库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时间、主体类型、区域、行业、企业状态、资金规模、登记机关、管辖地、企业年龄</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2</w:t>
            </w:r>
            <w:r>
              <w:t>9</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企业年报分析主题库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行业、主体类型、区域、资金规模、年龄、年报年度、出资比例、公示程度</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30</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主体抽查主题库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行业、主体类型、区域、资金规模、年龄、抽查事项、实施机关、抽查开始时间、抽查结束时间、抽查结果、抽查日期、抽查机关、处理意见、实施状态</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31</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经营异常名录主题库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行业、主体类型、区域、资金规模、年龄、作出列入决定机关、严重违法状态、经营异常名录状态、异常名录列入原因、列入时长</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32</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失联企业主题库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时间、主体类型、所有制、区域、行业、企业状态、资金规模</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33</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风险监管主题库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时间、风险等级、投资类型、股东类别、主体类型、所有制、区域、行业、资金规模、登记机关、管辖地、</w:t>
            </w:r>
          </w:p>
          <w:p>
            <w:pPr>
              <w:pStyle w:val="46"/>
            </w:pPr>
            <w:r>
              <w:rPr>
                <w:rFonts w:hint="eastAsia"/>
              </w:rPr>
              <w:t>企业年龄</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34</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类金融企业主题库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时间、主体类型、所有制、</w:t>
            </w:r>
          </w:p>
          <w:p>
            <w:pPr>
              <w:pStyle w:val="46"/>
            </w:pPr>
            <w:r>
              <w:rPr>
                <w:rFonts w:hint="eastAsia"/>
              </w:rPr>
              <w:t>区域、行业、企业状态、资金规模</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3</w:t>
            </w:r>
            <w:r>
              <w:t>5</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纳税异常主题库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时间、主体类型、所有制、区域、行业、企业状态、资金规模</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3</w:t>
            </w:r>
            <w:r>
              <w:t>6</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企业</w:t>
            </w:r>
          </w:p>
          <w:p>
            <w:pPr>
              <w:pStyle w:val="46"/>
            </w:pPr>
            <w:r>
              <w:rPr>
                <w:rFonts w:hint="eastAsia"/>
              </w:rPr>
              <w:t>族谱</w:t>
            </w:r>
          </w:p>
          <w:p>
            <w:pPr>
              <w:pStyle w:val="46"/>
            </w:pPr>
            <w:r>
              <w:rPr>
                <w:rFonts w:hint="eastAsia"/>
              </w:rPr>
              <w:t>主题</w:t>
            </w:r>
          </w:p>
          <w:p>
            <w:pPr>
              <w:pStyle w:val="46"/>
            </w:pPr>
            <w:r>
              <w:rPr>
                <w:rFonts w:hint="eastAsia"/>
              </w:rPr>
              <w:t>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出资时间、被投企业成立时间、被投企业状态、被投企业行业、被投企业区域、</w:t>
            </w:r>
          </w:p>
          <w:p>
            <w:pPr>
              <w:pStyle w:val="46"/>
            </w:pPr>
            <w:r>
              <w:rPr>
                <w:rFonts w:hint="eastAsia"/>
              </w:rPr>
              <w:t>被投企业类型、被投企业规模、被投企业年龄、股东类别、控股方式、投资规模、合资方式、股东区域、企业股东状态、企业股东行业、企业股东类型、企业股东规模、企业股东年龄、企业股东成立时间、</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3</w:t>
            </w:r>
            <w:r>
              <w:t>7</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消费</w:t>
            </w:r>
          </w:p>
          <w:p>
            <w:pPr>
              <w:pStyle w:val="46"/>
            </w:pPr>
            <w:r>
              <w:rPr>
                <w:rFonts w:hint="eastAsia"/>
              </w:rPr>
              <w:t>维权</w:t>
            </w:r>
          </w:p>
          <w:p>
            <w:pPr>
              <w:pStyle w:val="46"/>
            </w:pPr>
            <w:r>
              <w:rPr>
                <w:rFonts w:hint="eastAsia"/>
              </w:rPr>
              <w:t>主题</w:t>
            </w:r>
          </w:p>
          <w:p>
            <w:pPr>
              <w:pStyle w:val="46"/>
            </w:pPr>
            <w:r>
              <w:rPr>
                <w:rFonts w:hint="eastAsia"/>
              </w:rPr>
              <w:t>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区域、申诉主体类型、投诉内容、投诉问题、被诉主体类型、商品、服务类别、被诉主体行业、举报问题、咨询部门</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38</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失信被执行人主题库</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主体类型、区域、行业、注册规模、登记机关、登记时间、属地监管市场监管所、投资企业主体类型、投资企业区域、投资企业行业、投资企业注册规模、投资企业登记机关、投资企业登记时间、是否有处罚</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3</w:t>
            </w:r>
            <w:r>
              <w:t>9</w:t>
            </w:r>
          </w:p>
        </w:tc>
        <w:tc>
          <w:tcPr>
            <w:tcW w:w="1023" w:type="dxa"/>
            <w:vMerge w:val="restart"/>
            <w:shd w:val="clear" w:color="auto" w:fill="auto"/>
            <w:vAlign w:val="center"/>
          </w:tcPr>
          <w:p>
            <w:pPr>
              <w:pStyle w:val="46"/>
            </w:pPr>
            <w:r>
              <w:rPr>
                <w:rFonts w:hint="eastAsia"/>
              </w:rPr>
              <w:t>监管大脑</w:t>
            </w:r>
          </w:p>
        </w:tc>
        <w:tc>
          <w:tcPr>
            <w:tcW w:w="1293" w:type="dxa"/>
            <w:shd w:val="clear" w:color="auto" w:fill="auto"/>
            <w:vAlign w:val="center"/>
          </w:tcPr>
          <w:p>
            <w:pPr>
              <w:pStyle w:val="46"/>
            </w:pPr>
            <w:r>
              <w:rPr>
                <w:rFonts w:hint="eastAsia"/>
              </w:rPr>
              <w:t>网上企业开办分析</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当年累计、近一年业务办理情况分析、近一年来各地区业务办理情况、业务类型办理情况、主体类型业务办理情况</w:t>
            </w:r>
          </w:p>
        </w:tc>
        <w:tc>
          <w:tcPr>
            <w:tcW w:w="671" w:type="dxa"/>
            <w:shd w:val="clear" w:color="auto" w:fill="auto"/>
            <w:vAlign w:val="center"/>
          </w:tcPr>
          <w:p>
            <w:pPr>
              <w:pStyle w:val="46"/>
            </w:pPr>
            <w:r>
              <w:rPr>
                <w:rFonts w:hint="eastAsia"/>
              </w:rPr>
              <w:t>每年</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r>
              <w:t>0</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一网通办分析</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总体情况、本月和累计、业务类型办件情况、地图展示、分地区分析</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r>
              <w:t>1</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变更登记</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近一年变更趋势分析、变更登记主体类型分析、各地区变更登记情况、变更登记事项分析、变更登记</w:t>
            </w:r>
            <w:r>
              <w:t>TOP10</w:t>
            </w:r>
          </w:p>
        </w:tc>
        <w:tc>
          <w:tcPr>
            <w:tcW w:w="671" w:type="dxa"/>
            <w:shd w:val="clear" w:color="auto" w:fill="auto"/>
            <w:vAlign w:val="center"/>
          </w:tcPr>
          <w:p>
            <w:pPr>
              <w:pStyle w:val="46"/>
            </w:pPr>
            <w:r>
              <w:rPr>
                <w:rFonts w:hint="eastAsia"/>
              </w:rPr>
              <w:t>每年</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r>
              <w:t>2</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食品生产经营许可分析</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食品许可整体概况、食品经营主体业态、食品经营项目类型分析、分地区食品生产经营、近</w:t>
            </w:r>
            <w:r>
              <w:t>12个月食品监管</w:t>
            </w:r>
            <w:r>
              <w:rPr>
                <w:rFonts w:hint="eastAsia"/>
              </w:rPr>
              <w:t>、食品生产经营整体概况、食品主体类型分布、食品主体区域分布</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r>
              <w:t>3</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特种设备行政许可总体概览</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分类特种设备生产情况、特种设备生产情况、全省情况分析、特种设备使用情况、特种设备检验检测分析、验检检测人员和作业人员分析</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r>
              <w:t>4</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工业产品生产企业发展概况</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工业产品生产企业、企业总资产规模、从业人数分布、工业产品企业趋势分析、地市工业产品企业趋势分析、工业产品生产许可证分析、企业数量</w:t>
            </w:r>
            <w:r>
              <w:t>TOP5</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r>
              <w:t>5</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高质量发展宏观分析</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发展概况分析、基础服务支撑、认证证书分布、计量器具分析、重点指标分析、地理标志产品、知识产权指标、知识产权、近一年分析</w:t>
            </w:r>
          </w:p>
        </w:tc>
        <w:tc>
          <w:tcPr>
            <w:tcW w:w="671" w:type="dxa"/>
            <w:shd w:val="clear" w:color="auto" w:fill="auto"/>
            <w:vAlign w:val="center"/>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t>46</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企业商标分析</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商标发展趋势、</w:t>
            </w:r>
            <w:r>
              <w:t>TOP5分析</w:t>
            </w:r>
            <w:r>
              <w:rPr>
                <w:rFonts w:hint="eastAsia"/>
              </w:rPr>
              <w:t>、企业规模分布、商标区域发展、商标注册概况、</w:t>
            </w:r>
            <w:r>
              <w:t>20强企业分析</w:t>
            </w:r>
          </w:p>
        </w:tc>
        <w:tc>
          <w:tcPr>
            <w:tcW w:w="671" w:type="dxa"/>
            <w:shd w:val="clear" w:color="auto" w:fill="auto"/>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r>
              <w:t>7</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效能监督总体概况</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总体情况、整体效能情况、时限异常对比、投诉数量地区排名、投诉问题分析</w:t>
            </w:r>
          </w:p>
        </w:tc>
        <w:tc>
          <w:tcPr>
            <w:tcW w:w="671" w:type="dxa"/>
            <w:shd w:val="clear" w:color="auto" w:fill="auto"/>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r>
              <w:t>8</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今日市场监管</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市场主体发展情况、截止目前行政许可情况、普示企业排行、警示市场主体排行、特种设备安全监管情况、年博密进度情况、双随机抽查情况、抽查合格率分析、行政处罚案件情况、</w:t>
            </w:r>
            <w:r>
              <w:t>行政许可业务</w:t>
            </w:r>
            <w:r>
              <w:rPr>
                <w:rFonts w:hint="eastAsia"/>
              </w:rPr>
              <w:t>、</w:t>
            </w:r>
            <w:r>
              <w:t>全程电子化办理情况</w:t>
            </w:r>
            <w:r>
              <w:rPr>
                <w:rFonts w:hint="eastAsia"/>
              </w:rPr>
              <w:t>、</w:t>
            </w:r>
            <w:r>
              <w:t>投诉举报业务情况</w:t>
            </w:r>
            <w:r>
              <w:rPr>
                <w:rFonts w:hint="eastAsia"/>
              </w:rPr>
              <w:t>、</w:t>
            </w:r>
            <w:r>
              <w:t>行政执法情况</w:t>
            </w:r>
          </w:p>
        </w:tc>
        <w:tc>
          <w:tcPr>
            <w:tcW w:w="671" w:type="dxa"/>
            <w:shd w:val="clear" w:color="auto" w:fill="auto"/>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4</w:t>
            </w:r>
            <w:r>
              <w:t>9</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整体概况</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区域分布情况、食品主体分布、食品投诉举报排名、食品安全监测、食品监督检查分析、食品执法情况、安全示范城市情况</w:t>
            </w:r>
          </w:p>
        </w:tc>
        <w:tc>
          <w:tcPr>
            <w:tcW w:w="671" w:type="dxa"/>
            <w:shd w:val="clear" w:color="auto" w:fill="auto"/>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5</w:t>
            </w:r>
            <w:r>
              <w:t>0</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食品安全抽样检验分析</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食品抽检趋势、食品抽检不合格情况、不合格产品</w:t>
            </w:r>
            <w:r>
              <w:t>TOP</w:t>
            </w:r>
            <w:r>
              <w:rPr>
                <w:rFonts w:hint="eastAsia"/>
              </w:rPr>
              <w:t>、抽检产地、不合格食品核查、不合格原因、食品不合格批次类型</w:t>
            </w:r>
          </w:p>
        </w:tc>
        <w:tc>
          <w:tcPr>
            <w:tcW w:w="671" w:type="dxa"/>
            <w:shd w:val="clear" w:color="auto" w:fill="auto"/>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5</w:t>
            </w:r>
            <w:r>
              <w:t>1</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放心消费整体概况</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本年整体情况、监督检查与执法、创新举措、监管对象分布、诚信经营情况、违法违规分析、合理诉求情况、合理诉求响应情况、放心消费满意度</w:t>
            </w:r>
          </w:p>
        </w:tc>
        <w:tc>
          <w:tcPr>
            <w:tcW w:w="671" w:type="dxa"/>
            <w:shd w:val="clear" w:color="auto" w:fill="auto"/>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5</w:t>
            </w:r>
            <w:r>
              <w:t>2</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总体概览</w:t>
            </w:r>
          </w:p>
        </w:tc>
        <w:tc>
          <w:tcPr>
            <w:tcW w:w="1214" w:type="dxa"/>
            <w:shd w:val="clear" w:color="auto" w:fill="auto"/>
            <w:vAlign w:val="center"/>
          </w:tcPr>
          <w:p>
            <w:pPr>
              <w:pStyle w:val="46"/>
            </w:pPr>
            <w:r>
              <w:rPr>
                <w:rFonts w:hint="eastAsia"/>
              </w:rPr>
              <w:t>无</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无</w:t>
            </w:r>
          </w:p>
        </w:tc>
        <w:tc>
          <w:tcPr>
            <w:tcW w:w="685" w:type="dxa"/>
            <w:shd w:val="clear" w:color="auto" w:fill="auto"/>
            <w:noWrap/>
            <w:vAlign w:val="center"/>
          </w:tcPr>
          <w:p>
            <w:pPr>
              <w:pStyle w:val="46"/>
            </w:pPr>
            <w:r>
              <w:rPr>
                <w:rFonts w:hint="eastAsia"/>
              </w:rPr>
              <w:t>否</w:t>
            </w:r>
          </w:p>
        </w:tc>
        <w:tc>
          <w:tcPr>
            <w:tcW w:w="4429" w:type="dxa"/>
            <w:shd w:val="clear" w:color="auto" w:fill="auto"/>
            <w:vAlign w:val="center"/>
          </w:tcPr>
          <w:p>
            <w:pPr>
              <w:pStyle w:val="46"/>
            </w:pPr>
            <w:r>
              <w:rPr>
                <w:rFonts w:hint="eastAsia"/>
              </w:rPr>
              <w:t>案件总体概况、执法办案排名、案件趋势分析、执法办案情况、案件线索</w:t>
            </w:r>
            <w:r>
              <w:t>/来源</w:t>
            </w:r>
            <w:r>
              <w:rPr>
                <w:rFonts w:hint="eastAsia"/>
              </w:rPr>
              <w:t>、执法办窦领域分析、执法办案</w:t>
            </w:r>
            <w:r>
              <w:t>TOP5</w:t>
            </w:r>
            <w:r>
              <w:rPr>
                <w:rFonts w:hint="eastAsia"/>
              </w:rPr>
              <w:t>、最新执法办案</w:t>
            </w:r>
          </w:p>
        </w:tc>
        <w:tc>
          <w:tcPr>
            <w:tcW w:w="671" w:type="dxa"/>
            <w:shd w:val="clear" w:color="auto" w:fill="auto"/>
          </w:tcPr>
          <w:p>
            <w:pPr>
              <w:pStyle w:val="46"/>
            </w:pPr>
            <w:r>
              <w:rPr>
                <w:rFonts w:hint="eastAsia"/>
              </w:rPr>
              <w:t>每月</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5</w:t>
            </w:r>
            <w:r>
              <w:t>3</w:t>
            </w:r>
          </w:p>
        </w:tc>
        <w:tc>
          <w:tcPr>
            <w:tcW w:w="1023" w:type="dxa"/>
            <w:vMerge w:val="restart"/>
            <w:shd w:val="clear" w:color="auto" w:fill="auto"/>
            <w:vAlign w:val="center"/>
          </w:tcPr>
          <w:p>
            <w:pPr>
              <w:pStyle w:val="46"/>
            </w:pPr>
            <w:r>
              <w:rPr>
                <w:rFonts w:hint="eastAsia"/>
              </w:rPr>
              <w:t>证照库平台</w:t>
            </w:r>
          </w:p>
        </w:tc>
        <w:tc>
          <w:tcPr>
            <w:tcW w:w="1293" w:type="dxa"/>
            <w:shd w:val="clear" w:color="auto" w:fill="auto"/>
            <w:vAlign w:val="center"/>
          </w:tcPr>
          <w:p>
            <w:pPr>
              <w:pStyle w:val="46"/>
            </w:pPr>
            <w:r>
              <w:rPr>
                <w:rFonts w:hint="eastAsia"/>
              </w:rPr>
              <w:t>特种设备生产许可证</w:t>
            </w:r>
          </w:p>
        </w:tc>
        <w:tc>
          <w:tcPr>
            <w:tcW w:w="1214" w:type="dxa"/>
            <w:shd w:val="clear" w:color="auto" w:fill="auto"/>
            <w:vAlign w:val="center"/>
          </w:tcPr>
          <w:p>
            <w:pPr>
              <w:pStyle w:val="46"/>
            </w:pPr>
            <w:r>
              <w:rPr>
                <w:rFonts w:hint="eastAsia"/>
              </w:rPr>
              <w:t>特种设备设计单位许可（取证）</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特种设备生产许可证</w:t>
            </w:r>
          </w:p>
        </w:tc>
        <w:tc>
          <w:tcPr>
            <w:tcW w:w="685" w:type="dxa"/>
            <w:shd w:val="clear" w:color="auto" w:fill="auto"/>
            <w:noWrap/>
            <w:vAlign w:val="center"/>
          </w:tcPr>
          <w:p>
            <w:pPr>
              <w:pStyle w:val="46"/>
            </w:pPr>
            <w:r>
              <w:rPr>
                <w:rFonts w:hint="eastAsia"/>
              </w:rPr>
              <w:t>是</w:t>
            </w:r>
          </w:p>
        </w:tc>
        <w:tc>
          <w:tcPr>
            <w:tcW w:w="4429" w:type="dxa"/>
            <w:shd w:val="clear" w:color="auto" w:fill="auto"/>
            <w:vAlign w:val="center"/>
          </w:tcPr>
          <w:p>
            <w:pPr>
              <w:pStyle w:val="46"/>
            </w:pPr>
            <w:r>
              <w:rPr>
                <w:rFonts w:hint="eastAsia"/>
              </w:rPr>
              <w:t>统一社会信用代码</w:t>
            </w:r>
            <w:r>
              <w:t>/身份证号码、证书编号、企业名称、住所、办公地址、发证日期、有效期至、发证机关、许可项目、许可子项目、许可参数</w:t>
            </w:r>
          </w:p>
        </w:tc>
        <w:tc>
          <w:tcPr>
            <w:tcW w:w="671" w:type="dxa"/>
            <w:shd w:val="clear" w:color="auto" w:fill="auto"/>
            <w:vAlign w:val="center"/>
          </w:tcPr>
          <w:p>
            <w:pPr>
              <w:pStyle w:val="46"/>
            </w:pPr>
            <w:r>
              <w:rPr>
                <w:rFonts w:hint="eastAsia"/>
              </w:rPr>
              <w:t>实时</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5</w:t>
            </w:r>
            <w:r>
              <w:t>4</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全国工业产品生产许可证</w:t>
            </w:r>
          </w:p>
        </w:tc>
        <w:tc>
          <w:tcPr>
            <w:tcW w:w="1214" w:type="dxa"/>
            <w:shd w:val="clear" w:color="auto" w:fill="auto"/>
            <w:vAlign w:val="center"/>
          </w:tcPr>
          <w:p>
            <w:pPr>
              <w:pStyle w:val="46"/>
            </w:pPr>
            <w:r>
              <w:rPr>
                <w:rFonts w:hint="eastAsia"/>
              </w:rPr>
              <w:t>重要工业产品生产许可证核发</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全国工业产品生产许可证</w:t>
            </w:r>
          </w:p>
        </w:tc>
        <w:tc>
          <w:tcPr>
            <w:tcW w:w="685" w:type="dxa"/>
            <w:shd w:val="clear" w:color="auto" w:fill="auto"/>
            <w:noWrap/>
            <w:vAlign w:val="center"/>
          </w:tcPr>
          <w:p>
            <w:pPr>
              <w:pStyle w:val="46"/>
            </w:pPr>
            <w:r>
              <w:rPr>
                <w:rFonts w:hint="eastAsia"/>
              </w:rPr>
              <w:t>是</w:t>
            </w:r>
          </w:p>
        </w:tc>
        <w:tc>
          <w:tcPr>
            <w:tcW w:w="4429" w:type="dxa"/>
            <w:shd w:val="clear" w:color="auto" w:fill="auto"/>
            <w:vAlign w:val="center"/>
          </w:tcPr>
          <w:p>
            <w:pPr>
              <w:pStyle w:val="46"/>
            </w:pPr>
            <w:r>
              <w:rPr>
                <w:rFonts w:hint="eastAsia"/>
              </w:rPr>
              <w:t>统一社会信用代码</w:t>
            </w:r>
            <w:r>
              <w:t>/身份证号码、企业名称、证书编号、住所、产品名称、产品型号、生产地址、发证日期、有效期至、发证机关</w:t>
            </w:r>
          </w:p>
        </w:tc>
        <w:tc>
          <w:tcPr>
            <w:tcW w:w="671" w:type="dxa"/>
            <w:shd w:val="clear" w:color="auto" w:fill="auto"/>
            <w:vAlign w:val="center"/>
          </w:tcPr>
          <w:p>
            <w:pPr>
              <w:pStyle w:val="46"/>
            </w:pPr>
            <w:r>
              <w:rPr>
                <w:rFonts w:hint="eastAsia"/>
              </w:rPr>
              <w:t>实时</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5</w:t>
            </w:r>
            <w:r>
              <w:t>5</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计量器具型式批准证书</w:t>
            </w:r>
          </w:p>
        </w:tc>
        <w:tc>
          <w:tcPr>
            <w:tcW w:w="1214" w:type="dxa"/>
            <w:shd w:val="clear" w:color="auto" w:fill="auto"/>
            <w:vAlign w:val="center"/>
          </w:tcPr>
          <w:p>
            <w:pPr>
              <w:pStyle w:val="46"/>
            </w:pPr>
            <w:r>
              <w:rPr>
                <w:rFonts w:hint="eastAsia"/>
              </w:rPr>
              <w:t>计量标准器具核准</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计量器具型式批准证书</w:t>
            </w:r>
          </w:p>
        </w:tc>
        <w:tc>
          <w:tcPr>
            <w:tcW w:w="685" w:type="dxa"/>
            <w:shd w:val="clear" w:color="auto" w:fill="auto"/>
            <w:noWrap/>
            <w:vAlign w:val="center"/>
          </w:tcPr>
          <w:p>
            <w:pPr>
              <w:pStyle w:val="46"/>
            </w:pPr>
            <w:r>
              <w:rPr>
                <w:rFonts w:hint="eastAsia"/>
              </w:rPr>
              <w:t>是</w:t>
            </w:r>
          </w:p>
        </w:tc>
        <w:tc>
          <w:tcPr>
            <w:tcW w:w="4429" w:type="dxa"/>
            <w:shd w:val="clear" w:color="auto" w:fill="auto"/>
            <w:vAlign w:val="center"/>
          </w:tcPr>
          <w:p>
            <w:pPr>
              <w:pStyle w:val="46"/>
            </w:pPr>
            <w:r>
              <w:rPr>
                <w:rFonts w:hint="eastAsia"/>
              </w:rPr>
              <w:t>统一社会信用代码</w:t>
            </w:r>
            <w:r>
              <w:t>/身份证号码、企业名称、证书编号、住所、发证日期、有效期至、发证机关、批准人、产品名称、产品型号</w:t>
            </w:r>
          </w:p>
        </w:tc>
        <w:tc>
          <w:tcPr>
            <w:tcW w:w="671" w:type="dxa"/>
            <w:shd w:val="clear" w:color="auto" w:fill="auto"/>
            <w:vAlign w:val="center"/>
          </w:tcPr>
          <w:p>
            <w:pPr>
              <w:pStyle w:val="46"/>
            </w:pPr>
            <w:r>
              <w:rPr>
                <w:rFonts w:hint="eastAsia"/>
              </w:rPr>
              <w:t>实时</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5</w:t>
            </w:r>
            <w:r>
              <w:t>6</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食品经营许可证</w:t>
            </w:r>
          </w:p>
        </w:tc>
        <w:tc>
          <w:tcPr>
            <w:tcW w:w="1214" w:type="dxa"/>
            <w:shd w:val="clear" w:color="auto" w:fill="auto"/>
            <w:vAlign w:val="center"/>
          </w:tcPr>
          <w:p>
            <w:pPr>
              <w:pStyle w:val="46"/>
            </w:pPr>
            <w:r>
              <w:rPr>
                <w:rFonts w:hint="eastAsia"/>
              </w:rPr>
              <w:t>权限内食品生产许可首次申请</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食品经营许可证</w:t>
            </w:r>
          </w:p>
        </w:tc>
        <w:tc>
          <w:tcPr>
            <w:tcW w:w="685" w:type="dxa"/>
            <w:shd w:val="clear" w:color="auto" w:fill="auto"/>
            <w:noWrap/>
            <w:vAlign w:val="center"/>
          </w:tcPr>
          <w:p>
            <w:pPr>
              <w:pStyle w:val="46"/>
            </w:pPr>
            <w:r>
              <w:rPr>
                <w:rFonts w:hint="eastAsia"/>
              </w:rPr>
              <w:t>是</w:t>
            </w:r>
          </w:p>
        </w:tc>
        <w:tc>
          <w:tcPr>
            <w:tcW w:w="4429" w:type="dxa"/>
            <w:shd w:val="clear" w:color="auto" w:fill="auto"/>
            <w:vAlign w:val="center"/>
          </w:tcPr>
          <w:p>
            <w:pPr>
              <w:pStyle w:val="46"/>
            </w:pPr>
            <w:r>
              <w:rPr>
                <w:rFonts w:hint="eastAsia"/>
              </w:rPr>
              <w:t>经营者名称、许可证编码、统一社会信用代码、日常监督管理机构、法定代表人、日常监督管理人员、住所、经营场所、主体业态、经营项目、发证机关、发证日期、有效期至</w:t>
            </w:r>
          </w:p>
        </w:tc>
        <w:tc>
          <w:tcPr>
            <w:tcW w:w="671" w:type="dxa"/>
            <w:shd w:val="clear" w:color="auto" w:fill="auto"/>
            <w:vAlign w:val="center"/>
          </w:tcPr>
          <w:p>
            <w:pPr>
              <w:pStyle w:val="46"/>
            </w:pPr>
            <w:r>
              <w:rPr>
                <w:rFonts w:hint="eastAsia"/>
              </w:rPr>
              <w:t>实时</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72" w:type="dxa"/>
            <w:vAlign w:val="center"/>
          </w:tcPr>
          <w:p>
            <w:pPr>
              <w:pStyle w:val="46"/>
            </w:pPr>
            <w:r>
              <w:rPr>
                <w:rFonts w:hint="eastAsia"/>
              </w:rPr>
              <w:t>5</w:t>
            </w:r>
            <w:r>
              <w:t>7</w:t>
            </w:r>
          </w:p>
        </w:tc>
        <w:tc>
          <w:tcPr>
            <w:tcW w:w="1023" w:type="dxa"/>
            <w:vMerge w:val="continue"/>
            <w:shd w:val="clear" w:color="auto" w:fill="auto"/>
            <w:vAlign w:val="center"/>
          </w:tcPr>
          <w:p>
            <w:pPr>
              <w:pStyle w:val="46"/>
            </w:pPr>
          </w:p>
        </w:tc>
        <w:tc>
          <w:tcPr>
            <w:tcW w:w="1293" w:type="dxa"/>
            <w:shd w:val="clear" w:color="auto" w:fill="auto"/>
            <w:vAlign w:val="center"/>
          </w:tcPr>
          <w:p>
            <w:pPr>
              <w:pStyle w:val="46"/>
            </w:pPr>
            <w:r>
              <w:rPr>
                <w:rFonts w:hint="eastAsia"/>
              </w:rPr>
              <w:t>食品生产许可证</w:t>
            </w:r>
          </w:p>
        </w:tc>
        <w:tc>
          <w:tcPr>
            <w:tcW w:w="1214" w:type="dxa"/>
            <w:shd w:val="clear" w:color="auto" w:fill="auto"/>
            <w:vAlign w:val="center"/>
          </w:tcPr>
          <w:p>
            <w:pPr>
              <w:pStyle w:val="46"/>
            </w:pPr>
            <w:r>
              <w:rPr>
                <w:rFonts w:hint="eastAsia"/>
              </w:rPr>
              <w:t>食品经营许可</w:t>
            </w:r>
            <w:r>
              <w:t>-新办</w:t>
            </w:r>
          </w:p>
        </w:tc>
        <w:tc>
          <w:tcPr>
            <w:tcW w:w="528" w:type="dxa"/>
            <w:shd w:val="clear" w:color="auto" w:fill="auto"/>
            <w:noWrap/>
            <w:vAlign w:val="center"/>
          </w:tcPr>
          <w:p>
            <w:pPr>
              <w:pStyle w:val="46"/>
            </w:pPr>
            <w:r>
              <w:rPr>
                <w:rFonts w:hint="eastAsia"/>
              </w:rPr>
              <w:t>否</w:t>
            </w:r>
          </w:p>
        </w:tc>
        <w:tc>
          <w:tcPr>
            <w:tcW w:w="1044" w:type="dxa"/>
            <w:shd w:val="clear" w:color="auto" w:fill="auto"/>
            <w:noWrap/>
            <w:vAlign w:val="center"/>
          </w:tcPr>
          <w:p>
            <w:pPr>
              <w:pStyle w:val="46"/>
            </w:pPr>
            <w:r>
              <w:rPr>
                <w:rFonts w:hint="eastAsia"/>
              </w:rPr>
              <w:t>食品生产许可证</w:t>
            </w:r>
          </w:p>
        </w:tc>
        <w:tc>
          <w:tcPr>
            <w:tcW w:w="685" w:type="dxa"/>
            <w:shd w:val="clear" w:color="auto" w:fill="auto"/>
            <w:noWrap/>
            <w:vAlign w:val="center"/>
          </w:tcPr>
          <w:p>
            <w:pPr>
              <w:pStyle w:val="46"/>
            </w:pPr>
            <w:r>
              <w:rPr>
                <w:rFonts w:hint="eastAsia"/>
              </w:rPr>
              <w:t>是</w:t>
            </w:r>
          </w:p>
        </w:tc>
        <w:tc>
          <w:tcPr>
            <w:tcW w:w="4429" w:type="dxa"/>
            <w:shd w:val="clear" w:color="auto" w:fill="auto"/>
            <w:vAlign w:val="center"/>
          </w:tcPr>
          <w:p>
            <w:pPr>
              <w:pStyle w:val="46"/>
            </w:pPr>
            <w:r>
              <w:rPr>
                <w:rFonts w:hint="eastAsia"/>
              </w:rPr>
              <w:t>生产者名称、许可证编号、法定代表人</w:t>
            </w:r>
            <w:r>
              <w:t>/负责人、统一社会信用代码、住所、生产地址、食品类别、发证机关、发证日期、有效期</w:t>
            </w:r>
          </w:p>
        </w:tc>
        <w:tc>
          <w:tcPr>
            <w:tcW w:w="671" w:type="dxa"/>
            <w:shd w:val="clear" w:color="auto" w:fill="auto"/>
            <w:vAlign w:val="center"/>
          </w:tcPr>
          <w:p>
            <w:pPr>
              <w:pStyle w:val="46"/>
            </w:pPr>
            <w:r>
              <w:rPr>
                <w:rFonts w:hint="eastAsia"/>
              </w:rPr>
              <w:t>实时</w:t>
            </w:r>
          </w:p>
        </w:tc>
        <w:tc>
          <w:tcPr>
            <w:tcW w:w="915" w:type="dxa"/>
            <w:shd w:val="clear" w:color="auto" w:fill="auto"/>
            <w:noWrap/>
            <w:vAlign w:val="center"/>
          </w:tcPr>
          <w:p>
            <w:pPr>
              <w:pStyle w:val="46"/>
            </w:pPr>
            <w:r>
              <w:rPr>
                <w:rFonts w:hint="eastAsia"/>
              </w:rPr>
              <w:t>无条件共享</w:t>
            </w:r>
          </w:p>
        </w:tc>
        <w:tc>
          <w:tcPr>
            <w:tcW w:w="714" w:type="dxa"/>
            <w:shd w:val="clear" w:color="auto" w:fill="auto"/>
            <w:noWrap/>
            <w:vAlign w:val="center"/>
          </w:tcPr>
          <w:p>
            <w:pPr>
              <w:pStyle w:val="46"/>
            </w:pPr>
            <w:r>
              <w:rPr>
                <w:rFonts w:hint="eastAsia"/>
              </w:rPr>
              <w:t>库表共享</w:t>
            </w:r>
          </w:p>
        </w:tc>
        <w:tc>
          <w:tcPr>
            <w:tcW w:w="713" w:type="dxa"/>
            <w:shd w:val="clear" w:color="auto" w:fill="auto"/>
            <w:noWrap/>
            <w:vAlign w:val="center"/>
          </w:tcPr>
          <w:p>
            <w:pPr>
              <w:pStyle w:val="46"/>
            </w:pPr>
            <w:r>
              <w:rPr>
                <w:rFonts w:hint="eastAsia"/>
              </w:rPr>
              <w:t>业务协同</w:t>
            </w:r>
          </w:p>
        </w:tc>
        <w:tc>
          <w:tcPr>
            <w:tcW w:w="473" w:type="dxa"/>
            <w:vAlign w:val="center"/>
          </w:tcPr>
          <w:p>
            <w:pPr>
              <w:pStyle w:val="46"/>
            </w:pPr>
          </w:p>
        </w:tc>
      </w:tr>
    </w:tbl>
    <w:p>
      <w:pPr>
        <w:sectPr>
          <w:pgSz w:w="16838" w:h="11906" w:orient="landscape"/>
          <w:pgMar w:top="1800" w:right="1440" w:bottom="1800" w:left="1440" w:header="851" w:footer="992" w:gutter="0"/>
          <w:cols w:space="425" w:num="1"/>
          <w:docGrid w:type="lines" w:linePitch="312" w:charSpace="0"/>
        </w:sectPr>
      </w:pPr>
    </w:p>
    <w:p>
      <w:pPr>
        <w:pStyle w:val="3"/>
      </w:pPr>
      <w:bookmarkStart w:id="343" w:name="_Toc99093023"/>
      <w:bookmarkStart w:id="344" w:name="_Toc3268"/>
      <w:r>
        <w:rPr>
          <w:rFonts w:hint="eastAsia"/>
        </w:rPr>
        <w:t>与省一体化平台对接事项</w:t>
      </w:r>
      <w:bookmarkEnd w:id="343"/>
      <w:bookmarkEnd w:id="344"/>
    </w:p>
    <w:p>
      <w:r>
        <w:rPr>
          <w:rFonts w:hint="eastAsia"/>
        </w:rPr>
        <w:t>按照《国务院办公厅关于加快推进电子证照扩大应用领域和全国互通互认的意见》（国办发〔</w:t>
      </w:r>
      <w:r>
        <w:t>2022〕3号）文件要求，</w:t>
      </w:r>
      <w:r>
        <w:rPr>
          <w:rFonts w:hint="eastAsia"/>
        </w:rPr>
        <w:t>与省一体化平台电子证照系统对接，</w:t>
      </w:r>
      <w:r>
        <w:t>实现</w:t>
      </w:r>
      <w:r>
        <w:rPr>
          <w:rFonts w:hint="eastAsia" w:ascii="新宋体" w:hAnsi="新宋体" w:eastAsia="新宋体"/>
          <w:szCs w:val="32"/>
        </w:rPr>
        <w:t>检验检测机构资质认定证书、认证机构批准书、全国工业产品生产许可证、计量授权证书、特种设备检验检测机构核准证、特种设备生产单位许可证、“三品一械”广告审查、移动式压力容器充装许可证、气瓶充装许可证、食品经营许可证、食品生产许可证的对接</w:t>
      </w:r>
      <w:r>
        <w:t>，通过调用全省统一的电子印章接口，实现加盖电子印章。将电子证照数据按照</w:t>
      </w:r>
      <w:r>
        <w:rPr>
          <w:rFonts w:hint="eastAsia"/>
        </w:rPr>
        <w:t>《黑龙江省一体化政务服务平台电子证照及共享规范》《省直部门电子证照与电子印章对接技术规范》</w:t>
      </w:r>
      <w:r>
        <w:t>推送至电子证照平台</w:t>
      </w:r>
      <w:r>
        <w:rPr>
          <w:rFonts w:hint="eastAsia"/>
        </w:rPr>
        <w:t>。具体方案详见“</w:t>
      </w:r>
      <w:r>
        <w:t>5.1.3.证照库平台</w:t>
      </w:r>
      <w:r>
        <w:rPr>
          <w:rFonts w:hint="eastAsia"/>
        </w:rPr>
        <w:t>”章节。</w:t>
      </w:r>
    </w:p>
    <w:p>
      <w:pPr>
        <w:pStyle w:val="3"/>
      </w:pPr>
      <w:bookmarkStart w:id="345" w:name="_Toc4171"/>
      <w:bookmarkStart w:id="346" w:name="_Toc99093024"/>
      <w:r>
        <w:rPr>
          <w:rFonts w:hint="eastAsia"/>
        </w:rPr>
        <w:t>与省“互联网+监管”系统对接</w:t>
      </w:r>
      <w:bookmarkEnd w:id="345"/>
      <w:bookmarkEnd w:id="346"/>
    </w:p>
    <w:p>
      <w:r>
        <w:rPr>
          <w:rFonts w:hint="eastAsia"/>
        </w:rPr>
        <w:t>按照省“互联网+监管”接口规范实现系统对接，接收省“互联网+监管”中涉及市场主体的监管结果相关数据。</w:t>
      </w:r>
    </w:p>
    <w:p>
      <w:pPr>
        <w:pStyle w:val="3"/>
      </w:pPr>
      <w:bookmarkStart w:id="347" w:name="_Toc99093025"/>
      <w:bookmarkStart w:id="348" w:name="_Toc10722"/>
      <w:r>
        <w:rPr>
          <w:rFonts w:hint="eastAsia"/>
        </w:rPr>
        <w:t>与</w:t>
      </w:r>
      <w:r>
        <w:t>“全省事”对接</w:t>
      </w:r>
      <w:bookmarkEnd w:id="347"/>
      <w:bookmarkEnd w:id="348"/>
    </w:p>
    <w:p>
      <w:r>
        <w:rPr>
          <w:rFonts w:hint="eastAsia"/>
        </w:rPr>
        <w:t>本项目无政务服务事项，在</w:t>
      </w:r>
      <w:r>
        <w:t>“全省事”APP</w:t>
      </w:r>
      <w:r>
        <w:rPr>
          <w:rFonts w:hint="eastAsia"/>
        </w:rPr>
        <w:t>无相关应用。</w:t>
      </w:r>
    </w:p>
    <w:p>
      <w:pPr>
        <w:pStyle w:val="2"/>
      </w:pPr>
      <w:bookmarkStart w:id="349" w:name="_Toc23751"/>
      <w:r>
        <w:t>项目招标方案</w:t>
      </w:r>
      <w:bookmarkEnd w:id="334"/>
      <w:bookmarkEnd w:id="335"/>
      <w:bookmarkEnd w:id="349"/>
    </w:p>
    <w:p>
      <w:pPr>
        <w:pStyle w:val="3"/>
      </w:pPr>
      <w:bookmarkStart w:id="350" w:name="_Toc99028769"/>
      <w:bookmarkStart w:id="351" w:name="_Toc99093027"/>
      <w:bookmarkStart w:id="352" w:name="_Toc16526"/>
      <w:r>
        <w:t>招标范围</w:t>
      </w:r>
      <w:bookmarkEnd w:id="350"/>
      <w:bookmarkEnd w:id="351"/>
      <w:bookmarkEnd w:id="352"/>
    </w:p>
    <w:p>
      <w:pPr>
        <w:pStyle w:val="87"/>
        <w:ind w:firstLine="480"/>
      </w:pPr>
      <w:r>
        <w:t>在本项目实施过程中，为了节约投资，保证项目建设质量</w:t>
      </w:r>
      <w:r>
        <w:rPr>
          <w:rFonts w:hint="eastAsia"/>
        </w:rPr>
        <w:t>，</w:t>
      </w:r>
      <w:r>
        <w:t>建设单位应严格按照《中华人民共和国招标投标法》、</w:t>
      </w:r>
      <w:r>
        <w:rPr>
          <w:rFonts w:hint="eastAsia"/>
        </w:rPr>
        <w:t>《必须招标的工程项目规定》（发改委</w:t>
      </w:r>
      <w:r>
        <w:t>〔2018〕第16号令）</w:t>
      </w:r>
      <w:r>
        <w:rPr>
          <w:rFonts w:hint="eastAsia"/>
        </w:rPr>
        <w:t>、</w:t>
      </w:r>
      <w:r>
        <w:t>《中华人民共和国政府采购法》和国家的有关规定要求，本着公开、公平、公正，依法、科学、择优和诚实信用的原则，确定招标范围、招标组织形式和招标方式，报请相关部门核准后严格遵照执行</w:t>
      </w:r>
      <w:r>
        <w:rPr>
          <w:rFonts w:hint="eastAsia"/>
        </w:rPr>
        <w:t>。</w:t>
      </w:r>
    </w:p>
    <w:p>
      <w:pPr>
        <w:pStyle w:val="87"/>
        <w:ind w:firstLine="480"/>
      </w:pPr>
      <w:r>
        <w:t>项目涉及工程设计、工程监理、</w:t>
      </w:r>
      <w:r>
        <w:rPr>
          <w:rFonts w:hint="eastAsia"/>
        </w:rPr>
        <w:t>软件开发</w:t>
      </w:r>
      <w:r>
        <w:t>等相关工作，将按规定进行招标。为保证招标工作的规范性与公开性，工程招标工作应按规定的管理程序，报相关主管部门批准。</w:t>
      </w:r>
    </w:p>
    <w:p>
      <w:pPr>
        <w:spacing w:before="120" w:after="120"/>
      </w:pPr>
      <w:r>
        <w:rPr>
          <w:rFonts w:hint="eastAsia"/>
        </w:rPr>
        <w:t>此外，本项目所需的</w:t>
      </w:r>
      <w:r>
        <w:t>IT基础资源（包括服务器、存储、网络、安全、运维资源）将由省营商局确定租赁费用。</w:t>
      </w:r>
    </w:p>
    <w:p>
      <w:pPr>
        <w:pStyle w:val="3"/>
        <w:spacing w:before="120" w:after="120" w:line="240" w:lineRule="auto"/>
        <w:ind w:left="504" w:hanging="504" w:hangingChars="157"/>
      </w:pPr>
      <w:bookmarkStart w:id="353" w:name="_Toc28034"/>
      <w:bookmarkStart w:id="354" w:name="_Toc25533"/>
      <w:r>
        <w:t>招标组织形式与招标方式</w:t>
      </w:r>
      <w:bookmarkEnd w:id="353"/>
      <w:bookmarkEnd w:id="354"/>
    </w:p>
    <w:p>
      <w:pPr>
        <w:spacing w:before="120" w:after="120"/>
      </w:pPr>
      <w:r>
        <w:rPr>
          <w:rFonts w:hint="eastAsia"/>
        </w:rPr>
        <w:t>招标组织形式是招标的组织方式，包括自行招标和委托招标，本项目采用委托招标的组织形式。</w:t>
      </w:r>
      <w:r>
        <w:t>项目招标工作将由招标代理机构负责。招标代理机构应具有国务院主管部门认定的代理招标评标业务资质</w:t>
      </w:r>
      <w:r>
        <w:rPr>
          <w:rFonts w:hint="eastAsia"/>
        </w:rPr>
        <w:t>。本项目为原有软件系统功能升级改造，主要采取</w:t>
      </w:r>
      <w:r>
        <w:rPr>
          <w:rFonts w:hint="eastAsia"/>
          <w:b/>
          <w:bCs/>
        </w:rPr>
        <w:t>公开招标采购方式</w:t>
      </w:r>
      <w:r>
        <w:rPr>
          <w:rFonts w:hint="eastAsia"/>
        </w:rPr>
        <w:t>。详细项目招标的组织形式和招标方式情况如下表所示：</w:t>
      </w:r>
    </w:p>
    <w:p>
      <w:pPr>
        <w:pStyle w:val="86"/>
        <w:spacing w:before="120" w:after="120"/>
        <w:jc w:val="center"/>
      </w:pPr>
      <w:r>
        <w:t xml:space="preserve">表 </w:t>
      </w:r>
      <w:r>
        <w:fldChar w:fldCharType="begin"/>
      </w:r>
      <w:r>
        <w:instrText xml:space="preserve"> STYLEREF 3 \s </w:instrText>
      </w:r>
      <w:r>
        <w:fldChar w:fldCharType="separate"/>
      </w:r>
      <w:r>
        <w:t>7</w:t>
      </w:r>
      <w:r>
        <w:fldChar w:fldCharType="end"/>
      </w:r>
      <w:r>
        <w:rPr>
          <w:rFonts w:hint="eastAsia"/>
        </w:rPr>
        <w:t>.2</w:t>
      </w:r>
      <w:r>
        <w:noBreakHyphen/>
      </w:r>
      <w:r>
        <w:fldChar w:fldCharType="begin"/>
      </w:r>
      <w:r>
        <w:instrText xml:space="preserve"> SEQ 表 \* ARABIC \s 3 </w:instrText>
      </w:r>
      <w:r>
        <w:fldChar w:fldCharType="separate"/>
      </w:r>
      <w:r>
        <w:t>1</w:t>
      </w:r>
      <w:r>
        <w:fldChar w:fldCharType="end"/>
      </w:r>
      <w:r>
        <w:t>工程招标方案表</w:t>
      </w:r>
    </w:p>
    <w:tbl>
      <w:tblPr>
        <w:tblStyle w:val="3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40" w:type="dxa"/>
          <w:bottom w:w="0" w:type="dxa"/>
          <w:right w:w="40" w:type="dxa"/>
        </w:tblCellMar>
      </w:tblPr>
      <w:tblGrid>
        <w:gridCol w:w="1357"/>
        <w:gridCol w:w="529"/>
        <w:gridCol w:w="590"/>
        <w:gridCol w:w="732"/>
        <w:gridCol w:w="735"/>
        <w:gridCol w:w="732"/>
        <w:gridCol w:w="732"/>
        <w:gridCol w:w="857"/>
        <w:gridCol w:w="857"/>
        <w:gridCol w:w="856"/>
        <w:gridCol w:w="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400" w:hRule="atLeast"/>
          <w:tblHeader/>
        </w:trPr>
        <w:tc>
          <w:tcPr>
            <w:tcW w:w="768" w:type="pct"/>
            <w:vMerge w:val="restart"/>
            <w:vAlign w:val="center"/>
          </w:tcPr>
          <w:p>
            <w:pPr>
              <w:widowControl/>
              <w:ind w:firstLine="0" w:firstLineChars="0"/>
              <w:jc w:val="center"/>
              <w:textAlignment w:val="center"/>
              <w:rPr>
                <w:rFonts w:ascii="宋体" w:hAnsi="宋体" w:cs="宋体"/>
                <w:color w:val="000000"/>
                <w:kern w:val="0"/>
                <w:sz w:val="21"/>
                <w:szCs w:val="21"/>
                <w:lang w:bidi="ar"/>
              </w:rPr>
            </w:pPr>
            <w:bookmarkStart w:id="355" w:name="_Hlk85197378"/>
            <w:r>
              <w:rPr>
                <w:rFonts w:hint="eastAsia" w:ascii="宋体" w:hAnsi="宋体" w:cs="宋体"/>
                <w:color w:val="000000"/>
                <w:kern w:val="0"/>
                <w:sz w:val="21"/>
                <w:szCs w:val="21"/>
                <w:lang w:bidi="ar"/>
              </w:rPr>
              <w:t>项目</w:t>
            </w:r>
          </w:p>
        </w:tc>
        <w:tc>
          <w:tcPr>
            <w:tcW w:w="633" w:type="pct"/>
            <w:gridSpan w:val="2"/>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招标范围</w:t>
            </w:r>
          </w:p>
        </w:tc>
        <w:tc>
          <w:tcPr>
            <w:tcW w:w="830" w:type="pct"/>
            <w:gridSpan w:val="2"/>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招标组织形式</w:t>
            </w:r>
          </w:p>
        </w:tc>
        <w:tc>
          <w:tcPr>
            <w:tcW w:w="828" w:type="pct"/>
            <w:gridSpan w:val="2"/>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招标方式</w:t>
            </w:r>
          </w:p>
        </w:tc>
        <w:tc>
          <w:tcPr>
            <w:tcW w:w="1939" w:type="pct"/>
            <w:gridSpan w:val="4"/>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其他采购方式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400" w:hRule="atLeast"/>
          <w:tblHeader/>
        </w:trPr>
        <w:tc>
          <w:tcPr>
            <w:tcW w:w="768" w:type="pct"/>
            <w:vMerge w:val="continue"/>
            <w:vAlign w:val="center"/>
          </w:tcPr>
          <w:p>
            <w:pPr>
              <w:widowControl/>
              <w:ind w:firstLine="0" w:firstLineChars="0"/>
              <w:jc w:val="center"/>
              <w:textAlignment w:val="center"/>
              <w:rPr>
                <w:rFonts w:ascii="宋体" w:hAnsi="宋体" w:cs="宋体"/>
                <w:color w:val="000000"/>
                <w:kern w:val="0"/>
                <w:sz w:val="21"/>
                <w:szCs w:val="21"/>
                <w:lang w:bidi="ar"/>
              </w:rPr>
            </w:pPr>
          </w:p>
        </w:tc>
        <w:tc>
          <w:tcPr>
            <w:tcW w:w="299"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全部</w:t>
            </w:r>
          </w:p>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招标</w:t>
            </w:r>
          </w:p>
        </w:tc>
        <w:tc>
          <w:tcPr>
            <w:tcW w:w="333"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部分</w:t>
            </w:r>
          </w:p>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招标</w:t>
            </w:r>
          </w:p>
        </w:tc>
        <w:tc>
          <w:tcPr>
            <w:tcW w:w="414"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自行</w:t>
            </w:r>
          </w:p>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招标</w:t>
            </w:r>
          </w:p>
        </w:tc>
        <w:tc>
          <w:tcPr>
            <w:tcW w:w="416"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委托</w:t>
            </w:r>
          </w:p>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招标</w:t>
            </w:r>
          </w:p>
        </w:tc>
        <w:tc>
          <w:tcPr>
            <w:tcW w:w="414"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公开</w:t>
            </w:r>
          </w:p>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招标</w:t>
            </w:r>
          </w:p>
        </w:tc>
        <w:tc>
          <w:tcPr>
            <w:tcW w:w="414"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邀请</w:t>
            </w:r>
          </w:p>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招标</w:t>
            </w:r>
          </w:p>
        </w:tc>
        <w:tc>
          <w:tcPr>
            <w:tcW w:w="485"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竞争性磋商</w:t>
            </w:r>
          </w:p>
        </w:tc>
        <w:tc>
          <w:tcPr>
            <w:tcW w:w="485"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询价采购</w:t>
            </w:r>
          </w:p>
        </w:tc>
        <w:tc>
          <w:tcPr>
            <w:tcW w:w="484"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单一来源采购</w:t>
            </w:r>
          </w:p>
        </w:tc>
        <w:tc>
          <w:tcPr>
            <w:tcW w:w="485"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400" w:hRule="atLeast"/>
        </w:trPr>
        <w:tc>
          <w:tcPr>
            <w:tcW w:w="768"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监理</w:t>
            </w:r>
          </w:p>
        </w:tc>
        <w:tc>
          <w:tcPr>
            <w:tcW w:w="299"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w:t>
            </w:r>
          </w:p>
        </w:tc>
        <w:tc>
          <w:tcPr>
            <w:tcW w:w="333" w:type="pct"/>
            <w:vAlign w:val="center"/>
          </w:tcPr>
          <w:p>
            <w:pPr>
              <w:widowControl/>
              <w:ind w:firstLine="0" w:firstLineChars="0"/>
              <w:jc w:val="center"/>
              <w:textAlignment w:val="center"/>
              <w:rPr>
                <w:rFonts w:ascii="宋体" w:hAnsi="宋体" w:cs="宋体"/>
                <w:color w:val="000000"/>
                <w:kern w:val="0"/>
                <w:sz w:val="21"/>
                <w:szCs w:val="21"/>
                <w:lang w:bidi="ar"/>
              </w:rPr>
            </w:pPr>
          </w:p>
        </w:tc>
        <w:tc>
          <w:tcPr>
            <w:tcW w:w="414" w:type="pct"/>
            <w:vAlign w:val="center"/>
          </w:tcPr>
          <w:p>
            <w:pPr>
              <w:widowControl/>
              <w:ind w:firstLine="0" w:firstLineChars="0"/>
              <w:jc w:val="center"/>
              <w:textAlignment w:val="center"/>
              <w:rPr>
                <w:rFonts w:ascii="宋体" w:hAnsi="宋体" w:cs="宋体"/>
                <w:color w:val="000000"/>
                <w:kern w:val="0"/>
                <w:sz w:val="21"/>
                <w:szCs w:val="21"/>
                <w:lang w:bidi="ar"/>
              </w:rPr>
            </w:pPr>
          </w:p>
        </w:tc>
        <w:tc>
          <w:tcPr>
            <w:tcW w:w="416"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w:t>
            </w:r>
          </w:p>
        </w:tc>
        <w:tc>
          <w:tcPr>
            <w:tcW w:w="414"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w:t>
            </w:r>
          </w:p>
        </w:tc>
        <w:tc>
          <w:tcPr>
            <w:tcW w:w="414" w:type="pct"/>
            <w:vAlign w:val="center"/>
          </w:tcPr>
          <w:p>
            <w:pPr>
              <w:widowControl/>
              <w:ind w:firstLine="0" w:firstLineChars="0"/>
              <w:jc w:val="center"/>
              <w:textAlignment w:val="center"/>
              <w:rPr>
                <w:rFonts w:ascii="宋体" w:hAnsi="宋体" w:cs="宋体"/>
                <w:color w:val="000000"/>
                <w:kern w:val="0"/>
                <w:sz w:val="21"/>
                <w:szCs w:val="21"/>
                <w:lang w:bidi="ar"/>
              </w:rPr>
            </w:pPr>
          </w:p>
        </w:tc>
        <w:tc>
          <w:tcPr>
            <w:tcW w:w="485" w:type="pct"/>
            <w:vAlign w:val="center"/>
          </w:tcPr>
          <w:p>
            <w:pPr>
              <w:widowControl/>
              <w:ind w:firstLine="0" w:firstLineChars="0"/>
              <w:jc w:val="center"/>
              <w:textAlignment w:val="center"/>
              <w:rPr>
                <w:rFonts w:ascii="宋体" w:hAnsi="宋体" w:cs="宋体"/>
                <w:color w:val="000000"/>
                <w:kern w:val="0"/>
                <w:sz w:val="21"/>
                <w:szCs w:val="21"/>
                <w:lang w:bidi="ar"/>
              </w:rPr>
            </w:pPr>
          </w:p>
        </w:tc>
        <w:tc>
          <w:tcPr>
            <w:tcW w:w="485" w:type="pct"/>
          </w:tcPr>
          <w:p>
            <w:pPr>
              <w:widowControl/>
              <w:ind w:firstLine="0" w:firstLineChars="0"/>
              <w:jc w:val="center"/>
              <w:textAlignment w:val="center"/>
              <w:rPr>
                <w:rFonts w:ascii="宋体" w:hAnsi="宋体" w:cs="宋体"/>
                <w:color w:val="000000"/>
                <w:kern w:val="0"/>
                <w:sz w:val="21"/>
                <w:szCs w:val="21"/>
                <w:lang w:bidi="ar"/>
              </w:rPr>
            </w:pPr>
          </w:p>
        </w:tc>
        <w:tc>
          <w:tcPr>
            <w:tcW w:w="484" w:type="pct"/>
          </w:tcPr>
          <w:p>
            <w:pPr>
              <w:widowControl/>
              <w:ind w:firstLine="0" w:firstLineChars="0"/>
              <w:jc w:val="center"/>
              <w:textAlignment w:val="center"/>
              <w:rPr>
                <w:rFonts w:ascii="宋体" w:hAnsi="宋体" w:cs="宋体"/>
                <w:color w:val="000000"/>
                <w:kern w:val="0"/>
                <w:sz w:val="21"/>
                <w:szCs w:val="21"/>
                <w:lang w:bidi="ar"/>
              </w:rPr>
            </w:pPr>
          </w:p>
        </w:tc>
        <w:tc>
          <w:tcPr>
            <w:tcW w:w="485" w:type="pct"/>
          </w:tcPr>
          <w:p>
            <w:pPr>
              <w:widowControl/>
              <w:ind w:firstLine="0" w:firstLineChars="0"/>
              <w:jc w:val="center"/>
              <w:textAlignment w:val="center"/>
              <w:rPr>
                <w:rFonts w:ascii="宋体" w:hAnsi="宋体" w:cs="宋体"/>
                <w:color w:val="000000"/>
                <w:kern w:val="0"/>
                <w:sz w:val="21"/>
                <w:szCs w:val="21"/>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40" w:type="dxa"/>
            <w:bottom w:w="0" w:type="dxa"/>
            <w:right w:w="40" w:type="dxa"/>
          </w:tblCellMar>
        </w:tblPrEx>
        <w:trPr>
          <w:trHeight w:val="400" w:hRule="atLeast"/>
        </w:trPr>
        <w:tc>
          <w:tcPr>
            <w:tcW w:w="768"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软件开发</w:t>
            </w:r>
          </w:p>
        </w:tc>
        <w:tc>
          <w:tcPr>
            <w:tcW w:w="299"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w:t>
            </w:r>
          </w:p>
        </w:tc>
        <w:tc>
          <w:tcPr>
            <w:tcW w:w="333" w:type="pct"/>
            <w:vAlign w:val="center"/>
          </w:tcPr>
          <w:p>
            <w:pPr>
              <w:widowControl/>
              <w:ind w:firstLine="0" w:firstLineChars="0"/>
              <w:jc w:val="center"/>
              <w:textAlignment w:val="center"/>
              <w:rPr>
                <w:rFonts w:ascii="宋体" w:hAnsi="宋体" w:cs="宋体"/>
                <w:color w:val="000000"/>
                <w:kern w:val="0"/>
                <w:sz w:val="21"/>
                <w:szCs w:val="21"/>
                <w:lang w:bidi="ar"/>
              </w:rPr>
            </w:pPr>
          </w:p>
        </w:tc>
        <w:tc>
          <w:tcPr>
            <w:tcW w:w="414" w:type="pct"/>
            <w:vAlign w:val="center"/>
          </w:tcPr>
          <w:p>
            <w:pPr>
              <w:widowControl/>
              <w:ind w:firstLine="0" w:firstLineChars="0"/>
              <w:jc w:val="center"/>
              <w:textAlignment w:val="center"/>
              <w:rPr>
                <w:rFonts w:ascii="宋体" w:hAnsi="宋体" w:cs="宋体"/>
                <w:color w:val="000000"/>
                <w:kern w:val="0"/>
                <w:sz w:val="21"/>
                <w:szCs w:val="21"/>
                <w:lang w:bidi="ar"/>
              </w:rPr>
            </w:pPr>
          </w:p>
        </w:tc>
        <w:tc>
          <w:tcPr>
            <w:tcW w:w="416"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w:t>
            </w:r>
          </w:p>
        </w:tc>
        <w:tc>
          <w:tcPr>
            <w:tcW w:w="414" w:type="pct"/>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w:t>
            </w:r>
          </w:p>
        </w:tc>
        <w:tc>
          <w:tcPr>
            <w:tcW w:w="414" w:type="pct"/>
            <w:vAlign w:val="center"/>
          </w:tcPr>
          <w:p>
            <w:pPr>
              <w:widowControl/>
              <w:ind w:firstLine="0" w:firstLineChars="0"/>
              <w:jc w:val="center"/>
              <w:textAlignment w:val="center"/>
              <w:rPr>
                <w:rFonts w:ascii="宋体" w:hAnsi="宋体" w:cs="宋体"/>
                <w:color w:val="000000"/>
                <w:kern w:val="0"/>
                <w:sz w:val="21"/>
                <w:szCs w:val="21"/>
                <w:lang w:bidi="ar"/>
              </w:rPr>
            </w:pPr>
          </w:p>
        </w:tc>
        <w:tc>
          <w:tcPr>
            <w:tcW w:w="485" w:type="pct"/>
            <w:vAlign w:val="center"/>
          </w:tcPr>
          <w:p>
            <w:pPr>
              <w:widowControl/>
              <w:ind w:firstLine="0" w:firstLineChars="0"/>
              <w:jc w:val="center"/>
              <w:textAlignment w:val="center"/>
              <w:rPr>
                <w:rFonts w:ascii="宋体" w:hAnsi="宋体" w:cs="宋体"/>
                <w:color w:val="000000"/>
                <w:kern w:val="0"/>
                <w:sz w:val="21"/>
                <w:szCs w:val="21"/>
                <w:lang w:bidi="ar"/>
              </w:rPr>
            </w:pPr>
          </w:p>
        </w:tc>
        <w:tc>
          <w:tcPr>
            <w:tcW w:w="485" w:type="pct"/>
          </w:tcPr>
          <w:p>
            <w:pPr>
              <w:widowControl/>
              <w:ind w:firstLine="0" w:firstLineChars="0"/>
              <w:jc w:val="center"/>
              <w:textAlignment w:val="center"/>
              <w:rPr>
                <w:rFonts w:ascii="宋体" w:hAnsi="宋体" w:cs="宋体"/>
                <w:color w:val="000000"/>
                <w:kern w:val="0"/>
                <w:sz w:val="21"/>
                <w:szCs w:val="21"/>
                <w:lang w:bidi="ar"/>
              </w:rPr>
            </w:pPr>
          </w:p>
        </w:tc>
        <w:tc>
          <w:tcPr>
            <w:tcW w:w="484" w:type="pct"/>
          </w:tcPr>
          <w:p>
            <w:pPr>
              <w:widowControl/>
              <w:ind w:firstLine="0" w:firstLineChars="0"/>
              <w:jc w:val="center"/>
              <w:textAlignment w:val="center"/>
              <w:rPr>
                <w:rFonts w:ascii="宋体" w:hAnsi="宋体" w:cs="宋体"/>
                <w:color w:val="000000"/>
                <w:kern w:val="0"/>
                <w:sz w:val="21"/>
                <w:szCs w:val="21"/>
                <w:lang w:bidi="ar"/>
              </w:rPr>
            </w:pPr>
          </w:p>
        </w:tc>
        <w:tc>
          <w:tcPr>
            <w:tcW w:w="485" w:type="pct"/>
          </w:tcPr>
          <w:p>
            <w:pPr>
              <w:widowControl/>
              <w:ind w:firstLine="0" w:firstLineChars="0"/>
              <w:jc w:val="center"/>
              <w:textAlignment w:val="center"/>
              <w:rPr>
                <w:rFonts w:ascii="宋体" w:hAnsi="宋体" w:cs="宋体"/>
                <w:color w:val="000000"/>
                <w:kern w:val="0"/>
                <w:sz w:val="21"/>
                <w:szCs w:val="21"/>
                <w:lang w:bidi="ar"/>
              </w:rPr>
            </w:pPr>
          </w:p>
        </w:tc>
      </w:tr>
      <w:bookmarkEnd w:id="355"/>
    </w:tbl>
    <w:p>
      <w:pPr>
        <w:pStyle w:val="2"/>
        <w:pageBreakBefore w:val="0"/>
        <w:spacing w:before="120" w:after="120" w:line="240" w:lineRule="auto"/>
        <w:ind w:left="2142" w:hanging="1422"/>
        <w:sectPr>
          <w:pgSz w:w="11906" w:h="16838"/>
          <w:pgMar w:top="1440" w:right="1406" w:bottom="1440" w:left="1746" w:header="851" w:footer="992" w:gutter="0"/>
          <w:cols w:space="425" w:num="1"/>
          <w:docGrid w:type="lines" w:linePitch="312" w:charSpace="0"/>
        </w:sectPr>
      </w:pPr>
      <w:bookmarkStart w:id="356" w:name="_Toc1929"/>
      <w:bookmarkStart w:id="357" w:name="_Toc99028771"/>
      <w:bookmarkStart w:id="358" w:name="_Toc99028786"/>
      <w:bookmarkStart w:id="359" w:name="_Toc99093044"/>
    </w:p>
    <w:p>
      <w:pPr>
        <w:pStyle w:val="2"/>
        <w:bidi w:val="0"/>
      </w:pPr>
      <w:bookmarkStart w:id="360" w:name="_Toc12286"/>
      <w:r>
        <w:t>环保、消防、职业安全和卫生</w:t>
      </w:r>
      <w:bookmarkEnd w:id="356"/>
      <w:bookmarkEnd w:id="357"/>
      <w:bookmarkEnd w:id="360"/>
    </w:p>
    <w:p>
      <w:pPr>
        <w:pStyle w:val="3"/>
        <w:bidi w:val="0"/>
      </w:pPr>
      <w:bookmarkStart w:id="361" w:name="_Toc26937"/>
      <w:bookmarkStart w:id="362" w:name="_Toc22999"/>
      <w:r>
        <w:rPr>
          <w:rFonts w:hint="eastAsia"/>
        </w:rPr>
        <w:t>环境影响及保护措施</w:t>
      </w:r>
      <w:bookmarkEnd w:id="361"/>
      <w:bookmarkEnd w:id="362"/>
    </w:p>
    <w:p>
      <w:pPr>
        <w:spacing w:before="120" w:after="120"/>
      </w:pPr>
      <w:r>
        <w:rPr>
          <w:rFonts w:hint="eastAsia"/>
        </w:rPr>
        <w:t>本工程为信息化工程，坚持可持续发展战略，积极响应国家节能减排号召，坚持建设资源节约型、环境友好型社会的目标，工程建设将坚决贯彻执行《中华人民共和国环境影响评价法》，在建设过程中对环境造成的不良影响进行严格控制。</w:t>
      </w:r>
    </w:p>
    <w:p>
      <w:pPr>
        <w:spacing w:before="120" w:after="120"/>
      </w:pPr>
      <w:r>
        <w:rPr>
          <w:rFonts w:hint="eastAsia"/>
        </w:rPr>
        <w:t>本工程为黑龙江省公共资源交易平台升级改造项目，主要内容为软件开发部署实施。属于无污染项目。本工程依托联通云平台等基础设施，不涉及新的土建项目，不产生废水、废气、废液、废渣。在实施运营过程中对周围环境基本不造成污染，没有有害气体、废渣、废水排出，所采用的设备不产生电磁污染，基本没有设备噪声源。</w:t>
      </w:r>
    </w:p>
    <w:p>
      <w:pPr>
        <w:spacing w:before="120" w:after="120"/>
      </w:pPr>
      <w:r>
        <w:rPr>
          <w:rFonts w:hint="eastAsia"/>
        </w:rPr>
        <w:t>本工程在选择设备方面，充分考虑了环保、节能的要求，各专用设备选用低噪声产品，达到国家或地方有关标准。因此，项目的建设从环保角度度量完全可行。</w:t>
      </w:r>
    </w:p>
    <w:p>
      <w:pPr>
        <w:pStyle w:val="3"/>
        <w:bidi w:val="0"/>
      </w:pPr>
      <w:bookmarkStart w:id="363" w:name="_Toc7716"/>
      <w:bookmarkStart w:id="364" w:name="_Toc11869"/>
      <w:r>
        <w:rPr>
          <w:rFonts w:hint="eastAsia"/>
        </w:rPr>
        <w:t>环境要求</w:t>
      </w:r>
      <w:bookmarkEnd w:id="363"/>
      <w:bookmarkEnd w:id="364"/>
    </w:p>
    <w:p>
      <w:pPr>
        <w:spacing w:before="120" w:after="120"/>
      </w:pPr>
      <w:r>
        <w:rPr>
          <w:rFonts w:hint="eastAsia"/>
        </w:rPr>
        <w:t>本工程属于无污染项目，不涉及新的土建项目，不产生废水、废气、废液、废渣。在实施运营过程中对周围环境基本不造成污染，没有有害气体、废渣、废水排出，所采用的设备不产生电磁污染，基本不产生设备噪声源。</w:t>
      </w:r>
    </w:p>
    <w:p>
      <w:pPr>
        <w:spacing w:before="120" w:after="120"/>
      </w:pPr>
      <w:r>
        <w:rPr>
          <w:rFonts w:hint="eastAsia"/>
        </w:rPr>
        <w:t>本工程选择的设备充分考虑了环保、节能等方面的要求，各专用设备选用低噪声产品，达到国家或地方有关标准。因此，项目的建设从环保角度度量完全可行。</w:t>
      </w:r>
    </w:p>
    <w:p>
      <w:pPr>
        <w:pStyle w:val="3"/>
      </w:pPr>
      <w:bookmarkStart w:id="365" w:name="_Toc24714"/>
      <w:bookmarkStart w:id="366" w:name="_Toc3492"/>
      <w:r>
        <w:rPr>
          <w:rFonts w:hint="eastAsia"/>
        </w:rPr>
        <w:t>环保措施</w:t>
      </w:r>
      <w:bookmarkEnd w:id="365"/>
      <w:bookmarkEnd w:id="366"/>
    </w:p>
    <w:p>
      <w:pPr>
        <w:spacing w:before="120" w:after="120"/>
      </w:pPr>
      <w:r>
        <w:rPr>
          <w:rFonts w:hint="eastAsia"/>
        </w:rPr>
        <w:t>本次工程的应用系统集中部署于省电子政务云平台，因此支撑本工程应用系统所需要的软硬件支撑设备不产生额外的环境影响。</w:t>
      </w:r>
    </w:p>
    <w:p>
      <w:pPr>
        <w:spacing w:before="120" w:after="120"/>
      </w:pPr>
      <w:r>
        <w:rPr>
          <w:rFonts w:hint="eastAsia"/>
        </w:rPr>
        <w:t>综上所述，本项目对环境影响非常小，采用了上述环保措施后，项目对环境的影响可以得到有效解决。因此，项目建设从环保角度度量是完全可行的。</w:t>
      </w:r>
    </w:p>
    <w:p>
      <w:pPr>
        <w:pStyle w:val="3"/>
        <w:spacing w:before="120" w:after="120" w:line="240" w:lineRule="auto"/>
      </w:pPr>
      <w:bookmarkStart w:id="367" w:name="_Toc17575"/>
      <w:bookmarkStart w:id="368" w:name="_Toc17433"/>
      <w:r>
        <w:rPr>
          <w:rFonts w:hint="eastAsia"/>
        </w:rPr>
        <w:t>职业安全和卫生措施</w:t>
      </w:r>
      <w:bookmarkEnd w:id="367"/>
      <w:bookmarkEnd w:id="368"/>
    </w:p>
    <w:p>
      <w:pPr>
        <w:spacing w:before="120" w:after="120"/>
      </w:pPr>
      <w:r>
        <w:rPr>
          <w:rFonts w:hint="eastAsia"/>
        </w:rPr>
        <w:t>本项目主要职业危害有电脑辐射、静电、雷电及不清洁空气。因此，项目建设中，拟采取以下措施，以确保职业安全卫生：</w:t>
      </w:r>
    </w:p>
    <w:p>
      <w:pPr>
        <w:spacing w:before="120" w:after="120"/>
      </w:pPr>
      <w:r>
        <w:rPr>
          <w:rFonts w:hint="eastAsia"/>
        </w:rPr>
        <w:t>（1）购置高性能的电脑设备。</w:t>
      </w:r>
    </w:p>
    <w:p>
      <w:pPr>
        <w:spacing w:before="120" w:after="120"/>
      </w:pPr>
      <w:r>
        <w:rPr>
          <w:rFonts w:hint="eastAsia"/>
        </w:rPr>
        <w:t>（2）所有建筑装饰材料均采用不释放有害气体的环保材料。</w:t>
      </w:r>
    </w:p>
    <w:p>
      <w:pPr>
        <w:spacing w:before="120" w:after="120"/>
      </w:pPr>
      <w:r>
        <w:rPr>
          <w:rFonts w:hint="eastAsia"/>
        </w:rPr>
        <w:t>（3）所有用电设备的金属外壳、金属底座、电缆金属铠装层、电缆保护管以及所有金属支架等均与接地装置连接，设有安全接地，系统设有短路保护、过电流保护，确保用电安全。</w:t>
      </w:r>
    </w:p>
    <w:p>
      <w:pPr>
        <w:spacing w:before="120" w:after="120"/>
      </w:pPr>
      <w:r>
        <w:rPr>
          <w:rFonts w:hint="eastAsia"/>
        </w:rPr>
        <w:t>（4）工作机房设置防静电地板，确保人身安全和设备免受静电危害。</w:t>
      </w:r>
    </w:p>
    <w:p>
      <w:pPr>
        <w:spacing w:before="120" w:after="120"/>
      </w:pPr>
      <w:r>
        <w:rPr>
          <w:rFonts w:hint="eastAsia"/>
        </w:rPr>
        <w:t>（5）有防尘要求的房间，设更衣间，确保工作场所的清洁卫生。</w:t>
      </w:r>
    </w:p>
    <w:p>
      <w:bookmarkStart w:id="369" w:name="_Toc27154"/>
      <w:r>
        <w:br w:type="page"/>
      </w:r>
    </w:p>
    <w:p>
      <w:pPr>
        <w:pStyle w:val="2"/>
        <w:pageBreakBefore w:val="0"/>
        <w:spacing w:before="120" w:after="120" w:line="240" w:lineRule="auto"/>
        <w:ind w:left="2142" w:hanging="1422"/>
      </w:pPr>
      <w:bookmarkStart w:id="370" w:name="_Toc9033"/>
      <w:r>
        <w:t>节能分析</w:t>
      </w:r>
      <w:bookmarkEnd w:id="369"/>
      <w:bookmarkEnd w:id="370"/>
    </w:p>
    <w:p>
      <w:pPr>
        <w:pStyle w:val="3"/>
      </w:pPr>
      <w:bookmarkStart w:id="371" w:name="_Toc2492"/>
      <w:bookmarkStart w:id="372" w:name="_Toc32636"/>
      <w:r>
        <w:t>用能标准及节能设计规范</w:t>
      </w:r>
      <w:bookmarkEnd w:id="371"/>
      <w:bookmarkEnd w:id="372"/>
    </w:p>
    <w:p>
      <w:pPr>
        <w:spacing w:before="120" w:after="120"/>
      </w:pPr>
      <w:r>
        <w:rPr>
          <w:rFonts w:hint="eastAsia"/>
        </w:rPr>
        <w:t>（1）《中华人民共和国节约能源法》（2018年修正）</w:t>
      </w:r>
    </w:p>
    <w:p>
      <w:pPr>
        <w:spacing w:before="120" w:after="120"/>
      </w:pPr>
      <w:r>
        <w:rPr>
          <w:rFonts w:hint="eastAsia"/>
        </w:rPr>
        <w:t>（2）《中华人民共和国清洁生产促进法》〔2016〕第72号）</w:t>
      </w:r>
    </w:p>
    <w:p>
      <w:pPr>
        <w:spacing w:before="120" w:after="120"/>
      </w:pPr>
      <w:r>
        <w:rPr>
          <w:rFonts w:hint="eastAsia"/>
        </w:rPr>
        <w:t>（3）《关于印发“十四五”节能减排综合工作方案的通知》（国发〔2021）33号）</w:t>
      </w:r>
    </w:p>
    <w:p>
      <w:pPr>
        <w:spacing w:before="120" w:after="120"/>
      </w:pPr>
      <w:r>
        <w:rPr>
          <w:rFonts w:hint="eastAsia"/>
        </w:rPr>
        <w:t>（4）《固定资产投资项目节能审查办法》（国家发展和改革委员会令第44号）</w:t>
      </w:r>
    </w:p>
    <w:p>
      <w:pPr>
        <w:spacing w:before="120" w:after="120"/>
      </w:pPr>
      <w:r>
        <w:rPr>
          <w:rFonts w:hint="eastAsia"/>
        </w:rPr>
        <w:t>（5）《产业结构调整指导目录(2019年本)》（国家发改委令第 40 号）</w:t>
      </w:r>
    </w:p>
    <w:p>
      <w:pPr>
        <w:pStyle w:val="3"/>
        <w:spacing w:before="120" w:after="120" w:line="240" w:lineRule="auto"/>
      </w:pPr>
      <w:bookmarkStart w:id="373" w:name="_Toc32110"/>
      <w:bookmarkStart w:id="374" w:name="_Toc26443"/>
      <w:r>
        <w:rPr>
          <w:rFonts w:hint="eastAsia"/>
        </w:rPr>
        <w:t>能耗种类和数量分析</w:t>
      </w:r>
      <w:bookmarkEnd w:id="373"/>
      <w:bookmarkEnd w:id="374"/>
    </w:p>
    <w:p>
      <w:bookmarkStart w:id="375" w:name="_Toc7028"/>
      <w:r>
        <w:rPr>
          <w:rFonts w:hint="eastAsia"/>
        </w:rPr>
        <w:t>（1）能耗种类</w:t>
      </w:r>
      <w:bookmarkEnd w:id="375"/>
    </w:p>
    <w:p>
      <w:pPr>
        <w:spacing w:before="120" w:after="120"/>
      </w:pPr>
      <w:r>
        <w:rPr>
          <w:rFonts w:hint="eastAsia"/>
        </w:rPr>
        <w:t>如前所述，本次工程部署于省电子政务云，应用系统部署环境本身不产生额外能耗，本系统能耗设备均租用省电子政务云设备，所以不在本次工程记取能耗分析。</w:t>
      </w:r>
    </w:p>
    <w:p>
      <w:bookmarkStart w:id="376" w:name="_Toc17027"/>
      <w:r>
        <w:rPr>
          <w:rFonts w:hint="eastAsia"/>
        </w:rPr>
        <w:t>（2）能耗数量</w:t>
      </w:r>
      <w:bookmarkEnd w:id="376"/>
    </w:p>
    <w:p>
      <w:pPr>
        <w:spacing w:before="120" w:after="120"/>
      </w:pPr>
      <w:r>
        <w:rPr>
          <w:rFonts w:hint="eastAsia"/>
        </w:rPr>
        <w:t>本次工程无新建硬件设备及配套工程，所有能耗设备均租用电子政务云设备，所以不在本次工程记取能耗分析。</w:t>
      </w:r>
    </w:p>
    <w:p>
      <w:bookmarkStart w:id="377" w:name="_Toc12260"/>
      <w:r>
        <w:rPr>
          <w:rFonts w:hint="eastAsia"/>
        </w:rPr>
        <w:t>（3）能耗指标</w:t>
      </w:r>
      <w:bookmarkEnd w:id="377"/>
    </w:p>
    <w:p>
      <w:pPr>
        <w:spacing w:before="120" w:after="120"/>
      </w:pPr>
      <w:r>
        <w:rPr>
          <w:rFonts w:hint="eastAsia"/>
        </w:rPr>
        <w:t>根据《固定资产投资项目节能评估和审查暂行办法》（中华人民共和国国家发展和改革委员会6号令），年综合能源消费量3000吨标准煤以上的固定资产投资项目，需要单独编制节能评估报告书，年综合能源消费量在1000吨标准煤至3000吨标准煤的，需要单独编制节能评估报告表；年综合能源消费量在1000吨标准煤以下的，需要填写节能登记表。</w:t>
      </w:r>
    </w:p>
    <w:p>
      <w:pPr>
        <w:spacing w:before="120" w:after="120"/>
      </w:pPr>
      <w:r>
        <w:rPr>
          <w:rFonts w:hint="eastAsia"/>
        </w:rPr>
        <w:t>本项目年综合能源消费量仅为0。</w:t>
      </w:r>
    </w:p>
    <w:p>
      <w:bookmarkStart w:id="378" w:name="_Toc20039"/>
      <w:r>
        <w:rPr>
          <w:rFonts w:hint="eastAsia"/>
        </w:rPr>
        <w:t>（4）节能措施</w:t>
      </w:r>
      <w:bookmarkEnd w:id="378"/>
    </w:p>
    <w:p>
      <w:pPr>
        <w:spacing w:before="120" w:after="120"/>
      </w:pPr>
      <w:r>
        <w:rPr>
          <w:rFonts w:hint="eastAsia"/>
        </w:rPr>
        <w:t>根据上述能耗分析，为了响应国家号召，减少能源浪费，本项目拟采取以下措施：</w:t>
      </w:r>
    </w:p>
    <w:p>
      <w:pPr>
        <w:spacing w:before="120" w:after="120"/>
      </w:pPr>
      <w:r>
        <w:rPr>
          <w:rFonts w:hint="eastAsia"/>
        </w:rPr>
        <w:t>1）减少大屏幕开启面积，充分利用桌面监控设备，减少大屏幕显示屏同时开启面积，在非必要情况下关闭显示屏（如会商室在不适用时不开启显示屏）。</w:t>
      </w:r>
    </w:p>
    <w:p>
      <w:pPr>
        <w:spacing w:before="120" w:after="120"/>
      </w:pPr>
      <w:r>
        <w:rPr>
          <w:rFonts w:hint="eastAsia"/>
        </w:rPr>
        <w:t>2）在系统管理上，做到硬件设施的按需使用，减少因设备空闲而产生的不必要的能源浪费。</w:t>
      </w:r>
    </w:p>
    <w:p>
      <w:pPr>
        <w:spacing w:before="120" w:after="120"/>
      </w:pPr>
      <w:r>
        <w:rPr>
          <w:rFonts w:hint="eastAsia"/>
        </w:rPr>
        <w:t>3）在满足性能和成本要求的前提下，优先选择能耗较少的硬件设备。</w:t>
      </w:r>
    </w:p>
    <w:bookmarkEnd w:id="358"/>
    <w:bookmarkEnd w:id="359"/>
    <w:p/>
    <w:p>
      <w:pPr>
        <w:pStyle w:val="2"/>
        <w:bidi w:val="0"/>
      </w:pPr>
      <w:bookmarkStart w:id="379" w:name="_Toc99028793"/>
      <w:bookmarkStart w:id="380" w:name="_Toc99093051"/>
      <w:bookmarkStart w:id="381" w:name="_Toc1301"/>
      <w:r>
        <w:t>项目组织机构和人员培训</w:t>
      </w:r>
      <w:bookmarkEnd w:id="379"/>
      <w:bookmarkEnd w:id="380"/>
      <w:bookmarkEnd w:id="381"/>
    </w:p>
    <w:p>
      <w:pPr>
        <w:pStyle w:val="3"/>
      </w:pPr>
      <w:bookmarkStart w:id="382" w:name="_Toc3270"/>
      <w:bookmarkStart w:id="383" w:name="_Toc99028794"/>
      <w:bookmarkStart w:id="384" w:name="_Toc99093052"/>
      <w:r>
        <w:t>领导和管理机构</w:t>
      </w:r>
      <w:bookmarkEnd w:id="382"/>
      <w:bookmarkEnd w:id="383"/>
      <w:bookmarkEnd w:id="384"/>
    </w:p>
    <w:p>
      <w:r>
        <w:rPr>
          <w:rFonts w:hint="eastAsia"/>
        </w:rPr>
        <w:t>为确保本项目建设的顺利实施和正常运行，圆满完成各个阶段的建设任务，实现预期目标，根据本项目信息化建设的任务和要求，按照“分步实施”的建设原则，项目建设领导机构为黑龙江省市场监督管理局信息化领导小组，成员由信息中心、生产处、抽检处组成，</w:t>
      </w:r>
    </w:p>
    <w:p>
      <w:r>
        <w:rPr>
          <w:rFonts w:hint="eastAsia"/>
        </w:rPr>
        <w:t>黑龙江省市场监督管理局信息化领导小组职责如下：</w:t>
      </w:r>
    </w:p>
    <w:p>
      <w:r>
        <w:rPr>
          <w:rFonts w:hint="eastAsia"/>
        </w:rPr>
        <w:t>（一）贯彻落实省市场监督管理局关于信息化工作的统一部署；</w:t>
      </w:r>
    </w:p>
    <w:p>
      <w:r>
        <w:rPr>
          <w:rFonts w:hint="eastAsia"/>
        </w:rPr>
        <w:t>（二）组织研究制定局信息化工作的发展战略、宏观规划和重大政策；</w:t>
      </w:r>
    </w:p>
    <w:p>
      <w:r>
        <w:rPr>
          <w:rFonts w:hint="eastAsia"/>
        </w:rPr>
        <w:t>（三）确定升级改造规划和目标，审查升级改造方案；</w:t>
      </w:r>
    </w:p>
    <w:p>
      <w:r>
        <w:rPr>
          <w:rFonts w:hint="eastAsia"/>
        </w:rPr>
        <w:t>（四）督促、协调和指导局信息化工作的战略、规划和政策的落实；</w:t>
      </w:r>
    </w:p>
    <w:p>
      <w:pPr>
        <w:pStyle w:val="3"/>
      </w:pPr>
      <w:bookmarkStart w:id="385" w:name="_Toc99093053"/>
      <w:bookmarkStart w:id="386" w:name="_Toc99028795"/>
      <w:bookmarkStart w:id="387" w:name="_Toc1339"/>
      <w:r>
        <w:t>项目实施机构</w:t>
      </w:r>
      <w:bookmarkEnd w:id="385"/>
      <w:bookmarkEnd w:id="386"/>
      <w:bookmarkEnd w:id="387"/>
    </w:p>
    <w:p>
      <w:r>
        <w:rPr>
          <w:rFonts w:hint="eastAsia"/>
        </w:rPr>
        <w:t>本项目的实施机构为通过招标确定的供应商，为保证项目建设的顺利实施和正常运行，在黑龙江省市场监督管理局项目推进小组领导下开展项目实施工作，确保工程质量达到预期目标。</w:t>
      </w:r>
    </w:p>
    <w:p>
      <w:pPr>
        <w:pStyle w:val="3"/>
      </w:pPr>
      <w:bookmarkStart w:id="388" w:name="_Toc99093054"/>
      <w:bookmarkStart w:id="389" w:name="_Toc99028796"/>
      <w:bookmarkStart w:id="390" w:name="_Toc5425"/>
      <w:r>
        <w:t>运行维护机构</w:t>
      </w:r>
      <w:bookmarkEnd w:id="388"/>
      <w:bookmarkEnd w:id="389"/>
      <w:bookmarkEnd w:id="390"/>
    </w:p>
    <w:p>
      <w:r>
        <w:rPr>
          <w:rFonts w:hint="eastAsia"/>
        </w:rPr>
        <w:t>本系统的所有硬件设备、网络设施、安全防护措施和数据库系统均由省电子政务云平台负责组织实施日常维护和日常管理，保证系统的有效运行。本系统软件开发商免费负责系统运行维护。免费维护期满后，由信息化领导小组决定以后的运行维护管理工作方式。</w:t>
      </w:r>
    </w:p>
    <w:p>
      <w:pPr>
        <w:pStyle w:val="3"/>
      </w:pPr>
      <w:bookmarkStart w:id="391" w:name="_Toc99028797"/>
      <w:bookmarkStart w:id="392" w:name="_Toc16770"/>
      <w:bookmarkStart w:id="393" w:name="_Toc99093055"/>
      <w:r>
        <w:t>技术力量和人员配置</w:t>
      </w:r>
      <w:bookmarkEnd w:id="391"/>
      <w:bookmarkEnd w:id="392"/>
      <w:bookmarkEnd w:id="393"/>
    </w:p>
    <w:p>
      <w:r>
        <w:rPr>
          <w:rFonts w:hint="eastAsia"/>
        </w:rPr>
        <w:t>在保证项目建设质量和进度，保障系统的安全与正常运行维护的前提下合理配置技术人员。根据项目建设期和试运行期间对技术人员的特点和要求的不同以及业务量的多少，可按需要动态调整人员的配置。</w:t>
      </w:r>
    </w:p>
    <w:p>
      <w:bookmarkStart w:id="394" w:name="_Toc99028798"/>
      <w:bookmarkStart w:id="395" w:name="_Toc99093056"/>
      <w:r>
        <w:rPr>
          <w:rFonts w:hint="eastAsia"/>
        </w:rPr>
        <w:t>（1）</w:t>
      </w:r>
      <w:r>
        <w:t>项目建设期的人员配置</w:t>
      </w:r>
      <w:bookmarkEnd w:id="394"/>
      <w:bookmarkEnd w:id="395"/>
    </w:p>
    <w:p>
      <w:r>
        <w:rPr>
          <w:rFonts w:hint="eastAsia"/>
        </w:rPr>
        <w:t>本项目建设领导小组人员根据业务工作需要，可动态配置工作人员，组建</w:t>
      </w:r>
      <w:r>
        <w:t>3个项目工作组，即综合组、工程技术安全组和监督组，每组工作人员2～3名。</w:t>
      </w:r>
    </w:p>
    <w:p>
      <w:r>
        <w:rPr>
          <w:rFonts w:hint="eastAsia"/>
        </w:rPr>
        <w:t>各小组的主要分工如下：</w:t>
      </w:r>
    </w:p>
    <w:p>
      <w:r>
        <w:t>1）工程领导组</w:t>
      </w:r>
    </w:p>
    <w:p>
      <w:r>
        <w:rPr>
          <w:rFonts w:hint="eastAsia"/>
        </w:rPr>
        <w:t>由业主方项目负责人员组成，负责该项目的领导、监督、总体管理。</w:t>
      </w:r>
    </w:p>
    <w:p>
      <w:r>
        <w:t>2）项目领导组</w:t>
      </w:r>
    </w:p>
    <w:p>
      <w:r>
        <w:rPr>
          <w:rFonts w:hint="eastAsia"/>
        </w:rPr>
        <w:t>该小组由项目承建方高级管理人员和专家组成，全权负责协调配合系统项目工程领导小组的工作。项目经理也将随时向该领导小组汇报项目进行情况，必要时请求该项目领导组协调解决在项目实施中项目经理难以协调解决的问题。</w:t>
      </w:r>
    </w:p>
    <w:p>
      <w:r>
        <w:t>3）项目经理组</w:t>
      </w:r>
    </w:p>
    <w:p>
      <w:r>
        <w:rPr>
          <w:rFonts w:hint="eastAsia"/>
        </w:rPr>
        <w:t>由业主委派的专人和承建方的项目经理组成，项目经理需要由项目管理经验丰富的项目经理担任。他们根据此次项目实施中负责对象的不同，带领相应队伍实施相应内容的工作。</w:t>
      </w:r>
    </w:p>
    <w:p>
      <w:bookmarkStart w:id="396" w:name="_Toc99093057"/>
      <w:bookmarkStart w:id="397" w:name="_Toc99028799"/>
      <w:r>
        <w:rPr>
          <w:rFonts w:hint="eastAsia"/>
        </w:rPr>
        <w:t>（2）</w:t>
      </w:r>
      <w:r>
        <w:t>项目运行期的人员配置</w:t>
      </w:r>
      <w:bookmarkEnd w:id="396"/>
      <w:bookmarkEnd w:id="397"/>
    </w:p>
    <w:p>
      <w:r>
        <w:rPr>
          <w:rFonts w:hint="eastAsia"/>
        </w:rPr>
        <w:t>运行维护工作根据信息技术部门现有的人员配置和岗位职责进行，其中指定</w:t>
      </w:r>
      <w:r>
        <w:t>2-3人作为本处室针对系统运行维护的具体对接人员，其他人员可根据工作需要，灵活安排进行项目建成后系统的运行维护管理工作。</w:t>
      </w:r>
    </w:p>
    <w:p>
      <w:pPr>
        <w:pStyle w:val="3"/>
      </w:pPr>
      <w:bookmarkStart w:id="398" w:name="_Toc99093058"/>
      <w:bookmarkStart w:id="399" w:name="_Toc99028800"/>
      <w:bookmarkStart w:id="400" w:name="_Toc3940"/>
      <w:r>
        <w:t>人员培训方案</w:t>
      </w:r>
      <w:bookmarkEnd w:id="398"/>
      <w:bookmarkEnd w:id="399"/>
      <w:bookmarkEnd w:id="400"/>
    </w:p>
    <w:p>
      <w:r>
        <w:rPr>
          <w:rFonts w:hint="eastAsia"/>
        </w:rPr>
        <w:t>项目培训将贯穿于整个项目实施过程，采取集中培训的方式进行。培训主要包括以下几种类型：</w:t>
      </w:r>
    </w:p>
    <w:p>
      <w:r>
        <w:rPr>
          <w:rFonts w:hint="eastAsia"/>
        </w:rPr>
        <w:t>管理培训：与系统建设、项目管理以及系统运行管理相关的培训，这部分培训工作主要是针对各业务部门的领导和管理人员，目的是使他们能够从整体上了解和掌握系统建设相关的知识，明确系统建设中所处的位置和承担的任务。</w:t>
      </w:r>
    </w:p>
    <w:p>
      <w:r>
        <w:rPr>
          <w:rFonts w:hint="eastAsia"/>
        </w:rPr>
        <w:t>专业技术培训：对系统中使用到的相关技术和软硬件的使用进行培训，使用户能够掌握系统的基本原理、安装配置、运行维护及软件二次开发等方面的技术。培训完成后，用户能够正确地维护系统，保障系统安全、高效地运行。</w:t>
      </w:r>
    </w:p>
    <w:p>
      <w:r>
        <w:rPr>
          <w:rFonts w:hint="eastAsia"/>
        </w:rPr>
        <w:t>操作员培训：对终端用户的培训，要求用户掌握系统操作的方法，满足业务办理和公文处理的需要。</w:t>
      </w:r>
    </w:p>
    <w:p>
      <w:r>
        <w:rPr>
          <w:rFonts w:hint="eastAsia"/>
        </w:rPr>
        <w:t>（</w:t>
      </w:r>
      <w:r>
        <w:t>1）培训要求</w:t>
      </w:r>
    </w:p>
    <w:p>
      <w:r>
        <w:rPr>
          <w:rFonts w:hint="eastAsia"/>
        </w:rPr>
        <w:t>培训任务主要由系统承建方的培训教师来完成，个别对专业技术要求较高的子系统，应由原产商的培训教师来负责培训以确保培训质量。</w:t>
      </w:r>
    </w:p>
    <w:p>
      <w:r>
        <w:rPr>
          <w:rFonts w:hint="eastAsia"/>
        </w:rPr>
        <w:t>培训地点由项目承建方与业主方共同商议确定。</w:t>
      </w:r>
    </w:p>
    <w:p>
      <w:r>
        <w:rPr>
          <w:rFonts w:hint="eastAsia"/>
        </w:rPr>
        <w:t>培训教材等资料应经过项目各方评审认可，以确保培训质量。</w:t>
      </w:r>
    </w:p>
    <w:p>
      <w:r>
        <w:rPr>
          <w:rFonts w:hint="eastAsia"/>
        </w:rPr>
        <w:t>（</w:t>
      </w:r>
      <w:r>
        <w:t>2）培训方法</w:t>
      </w:r>
    </w:p>
    <w:p>
      <w:r>
        <w:rPr>
          <w:rFonts w:hint="eastAsia"/>
        </w:rPr>
        <w:t>除了集中培训之外，也可以将培训内容制作成视频文件或多媒体课件，由操作员在网上在线学习或下载后离线自学。</w:t>
      </w:r>
    </w:p>
    <w:p>
      <w:pPr>
        <w:pStyle w:val="4"/>
        <w:ind w:left="240" w:leftChars="0" w:firstLineChars="0"/>
      </w:pPr>
      <w:bookmarkStart w:id="401" w:name="_Toc99028801"/>
      <w:bookmarkStart w:id="402" w:name="_Toc14058"/>
      <w:bookmarkStart w:id="403" w:name="_Toc99093059"/>
      <w:r>
        <w:t>项目培训对象</w:t>
      </w:r>
      <w:bookmarkEnd w:id="401"/>
      <w:bookmarkEnd w:id="402"/>
      <w:bookmarkEnd w:id="403"/>
    </w:p>
    <w:p>
      <w:r>
        <w:rPr>
          <w:rFonts w:hint="eastAsia"/>
        </w:rPr>
        <w:t>在项目培训方面实施方有责任完成对软件产品、系统集成、开发技术及工具、应用系统等在内的培训，培训包括技术人员培训、业务系统培训。对于所有培训，实施方必须派出具有相应专业的实际工作和教学经验的教师和相应的辅导人员进行培训。</w:t>
      </w:r>
    </w:p>
    <w:p>
      <w:r>
        <w:rPr>
          <w:rFonts w:hint="eastAsia"/>
        </w:rPr>
        <w:t>针对培训工作重点放在熟悉和使用本系统上，初步拟订培训对象和内容如下。</w:t>
      </w:r>
    </w:p>
    <w:p>
      <w:r>
        <w:rPr>
          <w:rFonts w:hint="eastAsia"/>
        </w:rPr>
        <w:t>（</w:t>
      </w:r>
      <w:r>
        <w:t>1）高级管理人员培训</w:t>
      </w:r>
    </w:p>
    <w:p>
      <w:r>
        <w:rPr>
          <w:rFonts w:hint="eastAsia"/>
        </w:rPr>
        <w:t>因高级管理人员工作繁忙，可根据工作安排进行单独培训或由系统管理由进行培训。</w:t>
      </w:r>
    </w:p>
    <w:p>
      <w:r>
        <w:rPr>
          <w:rFonts w:hint="eastAsia"/>
        </w:rPr>
        <w:t>（</w:t>
      </w:r>
      <w:r>
        <w:t>2）数据管理员和系统管理员培训</w:t>
      </w:r>
    </w:p>
    <w:p>
      <w:r>
        <w:rPr>
          <w:rFonts w:hint="eastAsia"/>
        </w:rPr>
        <w:t>数据管理员和系统管理人员是整个系统使用的关键性环节，因此是培训的重点之一，为保证其能，计划进行集中培训，并建立模拟环境。培训内容除充分掌握系统的各项功能外，还提供软件扩充方法、客户端自动生成、数据库维护及相关的网络应用和维护培训，以便今后能自行适应软件，不断满足专业发展的要求。</w:t>
      </w:r>
    </w:p>
    <w:p>
      <w:r>
        <w:rPr>
          <w:rFonts w:hint="eastAsia"/>
        </w:rPr>
        <w:t>（</w:t>
      </w:r>
      <w:r>
        <w:t>3）一般工作人员培训</w:t>
      </w:r>
    </w:p>
    <w:p>
      <w:r>
        <w:rPr>
          <w:rFonts w:hint="eastAsia"/>
        </w:rPr>
        <w:t>工作人员是系统的经常性使用者，为保证培训质量，计划进行封闭式培训，在模拟环境下进行。培训内容本软件使用方法的详细培训。</w:t>
      </w:r>
    </w:p>
    <w:p>
      <w:pPr>
        <w:pStyle w:val="4"/>
        <w:ind w:left="240" w:leftChars="0" w:firstLineChars="0"/>
      </w:pPr>
      <w:bookmarkStart w:id="404" w:name="_Toc99093060"/>
      <w:bookmarkStart w:id="405" w:name="_Toc12228"/>
      <w:bookmarkStart w:id="406" w:name="_Toc99028802"/>
      <w:r>
        <w:t>培训计划</w:t>
      </w:r>
      <w:bookmarkEnd w:id="404"/>
      <w:bookmarkEnd w:id="405"/>
      <w:bookmarkEnd w:id="406"/>
    </w:p>
    <w:p>
      <w:r>
        <w:rPr>
          <w:rFonts w:hint="eastAsia"/>
        </w:rPr>
        <w:t>培训教材和教员由项目实施方负责，保证工作人员能熟练掌握系统维护，解决一般系统故障。具体培训内容及计划、培训时间和地点项目实施方根据局里要求执行。</w:t>
      </w:r>
    </w:p>
    <w:p>
      <w:r>
        <w:rPr>
          <w:rFonts w:hint="eastAsia"/>
        </w:rPr>
        <w:t>（一）教学方式</w:t>
      </w:r>
    </w:p>
    <w:p>
      <w:r>
        <w:rPr>
          <w:rFonts w:hint="eastAsia"/>
        </w:rPr>
        <w:t>（</w:t>
      </w:r>
      <w:r>
        <w:t>1）现场培训</w:t>
      </w:r>
    </w:p>
    <w:p>
      <w:r>
        <w:rPr>
          <w:rFonts w:hint="eastAsia"/>
        </w:rPr>
        <w:t>使用户掌握日常使用维护的方法和技巧，独立处理操作中发生的常见问题，以保证系统投入使用后的正常运行。</w:t>
      </w:r>
    </w:p>
    <w:p>
      <w:r>
        <w:rPr>
          <w:rFonts w:hint="eastAsia"/>
        </w:rPr>
        <w:t>（</w:t>
      </w:r>
      <w:r>
        <w:t>2）远程或网络培训</w:t>
      </w:r>
    </w:p>
    <w:p>
      <w:r>
        <w:rPr>
          <w:rFonts w:hint="eastAsia"/>
        </w:rPr>
        <w:t>安排工程师进行视频会议、电话会议等远程培训，保证客户学习工作两不误。</w:t>
      </w:r>
    </w:p>
    <w:p>
      <w:r>
        <w:rPr>
          <w:rFonts w:hint="eastAsia"/>
        </w:rPr>
        <w:t>（</w:t>
      </w:r>
      <w:r>
        <w:t>3）其他培训</w:t>
      </w:r>
    </w:p>
    <w:p>
      <w:r>
        <w:rPr>
          <w:rFonts w:hint="eastAsia"/>
        </w:rPr>
        <w:t>对于第一层面学习后，在操作上仍存在困难的，可以报名参加专门的操作培训。</w:t>
      </w:r>
    </w:p>
    <w:p>
      <w:r>
        <w:rPr>
          <w:rFonts w:hint="eastAsia"/>
        </w:rPr>
        <w:t>（二）人员要求</w:t>
      </w:r>
    </w:p>
    <w:p>
      <w:r>
        <w:rPr>
          <w:rFonts w:hint="eastAsia"/>
        </w:rPr>
        <w:t>实际操作人员要求能够熟练操作计算机，对维护人员要求有一定的数据库、计算机网络相关知识。</w:t>
      </w:r>
    </w:p>
    <w:p>
      <w:pPr>
        <w:pStyle w:val="2"/>
      </w:pPr>
      <w:bookmarkStart w:id="407" w:name="_Toc66959678"/>
      <w:bookmarkStart w:id="408" w:name="_Toc20002"/>
      <w:bookmarkStart w:id="409" w:name="_Toc99093061"/>
      <w:r>
        <w:rPr>
          <w:rFonts w:hint="eastAsia"/>
        </w:rPr>
        <w:t>项目实施进度</w:t>
      </w:r>
      <w:bookmarkEnd w:id="407"/>
      <w:bookmarkEnd w:id="408"/>
      <w:bookmarkEnd w:id="409"/>
    </w:p>
    <w:p>
      <w:pPr>
        <w:pStyle w:val="3"/>
      </w:pPr>
      <w:bookmarkStart w:id="410" w:name="_Toc99093062"/>
      <w:bookmarkStart w:id="411" w:name="_Toc66959679"/>
      <w:bookmarkStart w:id="412" w:name="_Toc4790"/>
      <w:r>
        <w:rPr>
          <w:rFonts w:hint="eastAsia"/>
        </w:rPr>
        <w:t>项目建设期</w:t>
      </w:r>
      <w:bookmarkEnd w:id="410"/>
      <w:bookmarkEnd w:id="411"/>
      <w:bookmarkEnd w:id="412"/>
    </w:p>
    <w:p>
      <w:r>
        <w:rPr>
          <w:rFonts w:hint="eastAsia"/>
        </w:rPr>
        <w:t>项目建设期为12个月，从2022年7月至2023年6月，包括：项目前期阶段、实施阶段、验收阶段的主要任务，包括且不限可研文件的编制、招投标、系统集成、应用系统开发、系统试运行、系统初验收和系统终验。</w:t>
      </w:r>
    </w:p>
    <w:p>
      <w:pPr>
        <w:pStyle w:val="3"/>
      </w:pPr>
      <w:bookmarkStart w:id="413" w:name="_Toc30371"/>
      <w:bookmarkStart w:id="414" w:name="_Toc99093063"/>
      <w:bookmarkStart w:id="415" w:name="_Toc66959680"/>
      <w:r>
        <w:rPr>
          <w:rFonts w:hint="eastAsia"/>
        </w:rPr>
        <w:t>实施进度计划</w:t>
      </w:r>
      <w:bookmarkEnd w:id="413"/>
      <w:bookmarkEnd w:id="414"/>
      <w:bookmarkEnd w:id="415"/>
    </w:p>
    <w:p>
      <w:r>
        <w:rPr>
          <w:rFonts w:hint="eastAsia"/>
        </w:rPr>
        <w:t>根据项目总体时间和工程建设要求，安排项目建设进度，目前，初步安排的项目实施进度计划如下：</w:t>
      </w:r>
    </w:p>
    <w:p>
      <w:pPr>
        <w:rPr>
          <w:rFonts w:hint="eastAsia"/>
        </w:rPr>
      </w:pPr>
      <w:r>
        <w:rPr>
          <w:rFonts w:hint="eastAsia"/>
        </w:rPr>
        <w:t>2022年7月至2022年8月，完成项目前期工作项目立项、招投标、合同签订。</w:t>
      </w:r>
    </w:p>
    <w:p>
      <w:pPr>
        <w:rPr>
          <w:rFonts w:hint="eastAsia"/>
        </w:rPr>
      </w:pPr>
      <w:r>
        <w:rPr>
          <w:rFonts w:hint="eastAsia"/>
        </w:rPr>
        <w:t>2022年8月底至2023年4月，云资源环境准备、应用软件开发。</w:t>
      </w:r>
    </w:p>
    <w:p>
      <w:pPr>
        <w:rPr>
          <w:rFonts w:hint="eastAsia"/>
        </w:rPr>
      </w:pPr>
      <w:r>
        <w:rPr>
          <w:rFonts w:hint="eastAsia"/>
        </w:rPr>
        <w:t>2023年4月底至5月，系统部署。</w:t>
      </w:r>
    </w:p>
    <w:p>
      <w:pPr>
        <w:rPr>
          <w:rFonts w:hint="eastAsia"/>
        </w:rPr>
      </w:pPr>
      <w:r>
        <w:rPr>
          <w:rFonts w:hint="eastAsia"/>
        </w:rPr>
        <w:t>2023年5月至6月，项目试运行。</w:t>
      </w:r>
    </w:p>
    <w:p>
      <w:r>
        <w:rPr>
          <w:rFonts w:hint="eastAsia"/>
        </w:rPr>
        <w:t>2023年6月底，项目验收竣工。</w:t>
      </w:r>
    </w:p>
    <w:p>
      <w:pPr>
        <w:widowControl/>
        <w:ind w:firstLine="0" w:firstLineChars="0"/>
        <w:jc w:val="center"/>
        <w:textAlignment w:val="center"/>
        <w:rPr>
          <w:rFonts w:ascii="Times New Roman" w:hAnsi="Times New Roman" w:cs="Arial"/>
          <w:b/>
          <w:bCs/>
          <w:kern w:val="24"/>
          <w:szCs w:val="32"/>
        </w:rPr>
      </w:pPr>
      <w:r>
        <w:rPr>
          <w:rFonts w:hint="eastAsia" w:ascii="Times New Roman" w:hAnsi="Times New Roman" w:cs="Arial"/>
          <w:b/>
          <w:bCs/>
          <w:kern w:val="24"/>
          <w:szCs w:val="32"/>
        </w:rPr>
        <w:t>表11</w:t>
      </w:r>
      <w:r>
        <w:rPr>
          <w:rFonts w:ascii="Times New Roman" w:hAnsi="Times New Roman" w:cs="Arial"/>
          <w:b/>
          <w:bCs/>
          <w:kern w:val="24"/>
          <w:szCs w:val="32"/>
        </w:rPr>
        <w:t>.2</w:t>
      </w:r>
      <w:r>
        <w:rPr>
          <w:rFonts w:hint="eastAsia" w:ascii="Times New Roman" w:hAnsi="Times New Roman" w:cs="Arial"/>
          <w:b/>
          <w:bCs/>
          <w:kern w:val="24"/>
          <w:szCs w:val="32"/>
        </w:rPr>
        <w:t>-</w:t>
      </w:r>
      <w:r>
        <w:rPr>
          <w:rFonts w:ascii="Times New Roman" w:hAnsi="Times New Roman" w:cs="Arial"/>
          <w:b/>
          <w:bCs/>
          <w:kern w:val="24"/>
          <w:szCs w:val="32"/>
        </w:rPr>
        <w:t>1 项目实施进度计划表</w:t>
      </w:r>
    </w:p>
    <w:tbl>
      <w:tblPr>
        <w:tblStyle w:val="30"/>
        <w:tblW w:w="9294" w:type="dxa"/>
        <w:tblInd w:w="98" w:type="dxa"/>
        <w:tblLayout w:type="fixed"/>
        <w:tblCellMar>
          <w:top w:w="0" w:type="dxa"/>
          <w:left w:w="108" w:type="dxa"/>
          <w:bottom w:w="0" w:type="dxa"/>
          <w:right w:w="108" w:type="dxa"/>
        </w:tblCellMar>
      </w:tblPr>
      <w:tblGrid>
        <w:gridCol w:w="498"/>
        <w:gridCol w:w="1975"/>
        <w:gridCol w:w="512"/>
        <w:gridCol w:w="446"/>
        <w:gridCol w:w="557"/>
        <w:gridCol w:w="654"/>
        <w:gridCol w:w="654"/>
        <w:gridCol w:w="654"/>
        <w:gridCol w:w="557"/>
        <w:gridCol w:w="557"/>
        <w:gridCol w:w="557"/>
        <w:gridCol w:w="557"/>
        <w:gridCol w:w="558"/>
        <w:gridCol w:w="558"/>
      </w:tblGrid>
      <w:tr>
        <w:tblPrEx>
          <w:tblCellMar>
            <w:top w:w="0" w:type="dxa"/>
            <w:left w:w="108" w:type="dxa"/>
            <w:bottom w:w="0" w:type="dxa"/>
            <w:right w:w="108" w:type="dxa"/>
          </w:tblCellMar>
        </w:tblPrEx>
        <w:trPr>
          <w:trHeight w:val="280" w:hRule="atLeast"/>
        </w:trPr>
        <w:tc>
          <w:tcPr>
            <w:tcW w:w="498"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序号</w:t>
            </w:r>
          </w:p>
        </w:tc>
        <w:tc>
          <w:tcPr>
            <w:tcW w:w="1975"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时间进度安排</w:t>
            </w:r>
          </w:p>
        </w:tc>
        <w:tc>
          <w:tcPr>
            <w:tcW w:w="3477" w:type="dxa"/>
            <w:gridSpan w:val="6"/>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2022年</w:t>
            </w:r>
          </w:p>
        </w:tc>
        <w:tc>
          <w:tcPr>
            <w:tcW w:w="3344" w:type="dxa"/>
            <w:gridSpan w:val="6"/>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2023年</w:t>
            </w:r>
          </w:p>
        </w:tc>
      </w:tr>
      <w:tr>
        <w:tblPrEx>
          <w:tblCellMar>
            <w:top w:w="0" w:type="dxa"/>
            <w:left w:w="108" w:type="dxa"/>
            <w:bottom w:w="0" w:type="dxa"/>
            <w:right w:w="108" w:type="dxa"/>
          </w:tblCellMar>
        </w:tblPrEx>
        <w:trPr>
          <w:trHeight w:val="280" w:hRule="atLeast"/>
        </w:trPr>
        <w:tc>
          <w:tcPr>
            <w:tcW w:w="498"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197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7月</w:t>
            </w:r>
          </w:p>
        </w:tc>
        <w:tc>
          <w:tcPr>
            <w:tcW w:w="4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8月</w:t>
            </w: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9月</w:t>
            </w: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10月</w:t>
            </w: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11月</w:t>
            </w: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12月</w:t>
            </w: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1月</w:t>
            </w: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2月</w:t>
            </w: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3月</w:t>
            </w: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4月</w:t>
            </w:r>
          </w:p>
        </w:tc>
        <w:tc>
          <w:tcPr>
            <w:tcW w:w="5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5</w:t>
            </w:r>
          </w:p>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月</w:t>
            </w:r>
          </w:p>
        </w:tc>
        <w:tc>
          <w:tcPr>
            <w:tcW w:w="5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6</w:t>
            </w:r>
          </w:p>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月</w:t>
            </w:r>
          </w:p>
        </w:tc>
      </w:tr>
      <w:tr>
        <w:tblPrEx>
          <w:tblCellMar>
            <w:top w:w="0" w:type="dxa"/>
            <w:left w:w="108" w:type="dxa"/>
            <w:bottom w:w="0" w:type="dxa"/>
            <w:right w:w="108" w:type="dxa"/>
          </w:tblCellMar>
        </w:tblPrEx>
        <w:trPr>
          <w:trHeight w:val="280" w:hRule="atLeast"/>
        </w:trPr>
        <w:tc>
          <w:tcPr>
            <w:tcW w:w="4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w:t>
            </w:r>
          </w:p>
        </w:tc>
        <w:tc>
          <w:tcPr>
            <w:tcW w:w="19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立项批复</w:t>
            </w:r>
          </w:p>
        </w:tc>
        <w:tc>
          <w:tcPr>
            <w:tcW w:w="512"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4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r>
      <w:tr>
        <w:tblPrEx>
          <w:tblCellMar>
            <w:top w:w="0" w:type="dxa"/>
            <w:left w:w="108" w:type="dxa"/>
            <w:bottom w:w="0" w:type="dxa"/>
            <w:right w:w="108" w:type="dxa"/>
          </w:tblCellMar>
        </w:tblPrEx>
        <w:trPr>
          <w:trHeight w:val="280" w:hRule="atLeast"/>
        </w:trPr>
        <w:tc>
          <w:tcPr>
            <w:tcW w:w="4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2</w:t>
            </w:r>
          </w:p>
        </w:tc>
        <w:tc>
          <w:tcPr>
            <w:tcW w:w="19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项目招投标</w:t>
            </w:r>
          </w:p>
        </w:tc>
        <w:tc>
          <w:tcPr>
            <w:tcW w:w="512"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446"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r>
      <w:tr>
        <w:tblPrEx>
          <w:tblCellMar>
            <w:top w:w="0" w:type="dxa"/>
            <w:left w:w="108" w:type="dxa"/>
            <w:bottom w:w="0" w:type="dxa"/>
            <w:right w:w="108" w:type="dxa"/>
          </w:tblCellMar>
        </w:tblPrEx>
        <w:trPr>
          <w:trHeight w:val="280" w:hRule="atLeast"/>
        </w:trPr>
        <w:tc>
          <w:tcPr>
            <w:tcW w:w="4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3</w:t>
            </w:r>
          </w:p>
        </w:tc>
        <w:tc>
          <w:tcPr>
            <w:tcW w:w="19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项目实施部署</w:t>
            </w:r>
          </w:p>
        </w:tc>
        <w:tc>
          <w:tcPr>
            <w:tcW w:w="5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446"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r>
      <w:tr>
        <w:tblPrEx>
          <w:tblCellMar>
            <w:top w:w="0" w:type="dxa"/>
            <w:left w:w="108" w:type="dxa"/>
            <w:bottom w:w="0" w:type="dxa"/>
            <w:right w:w="108" w:type="dxa"/>
          </w:tblCellMar>
        </w:tblPrEx>
        <w:trPr>
          <w:trHeight w:val="280" w:hRule="atLeast"/>
        </w:trPr>
        <w:tc>
          <w:tcPr>
            <w:tcW w:w="4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4</w:t>
            </w:r>
          </w:p>
        </w:tc>
        <w:tc>
          <w:tcPr>
            <w:tcW w:w="19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项目初验</w:t>
            </w:r>
          </w:p>
        </w:tc>
        <w:tc>
          <w:tcPr>
            <w:tcW w:w="5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4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r>
      <w:tr>
        <w:tblPrEx>
          <w:tblCellMar>
            <w:top w:w="0" w:type="dxa"/>
            <w:left w:w="108" w:type="dxa"/>
            <w:bottom w:w="0" w:type="dxa"/>
            <w:right w:w="108" w:type="dxa"/>
          </w:tblCellMar>
        </w:tblPrEx>
        <w:trPr>
          <w:trHeight w:val="280" w:hRule="atLeast"/>
        </w:trPr>
        <w:tc>
          <w:tcPr>
            <w:tcW w:w="4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5</w:t>
            </w:r>
          </w:p>
        </w:tc>
        <w:tc>
          <w:tcPr>
            <w:tcW w:w="19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项目试运行</w:t>
            </w:r>
          </w:p>
        </w:tc>
        <w:tc>
          <w:tcPr>
            <w:tcW w:w="5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4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r>
      <w:tr>
        <w:tblPrEx>
          <w:tblCellMar>
            <w:top w:w="0" w:type="dxa"/>
            <w:left w:w="108" w:type="dxa"/>
            <w:bottom w:w="0" w:type="dxa"/>
            <w:right w:w="108" w:type="dxa"/>
          </w:tblCellMar>
        </w:tblPrEx>
        <w:trPr>
          <w:trHeight w:val="280" w:hRule="atLeast"/>
        </w:trPr>
        <w:tc>
          <w:tcPr>
            <w:tcW w:w="49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6</w:t>
            </w:r>
          </w:p>
        </w:tc>
        <w:tc>
          <w:tcPr>
            <w:tcW w:w="197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项目终验</w:t>
            </w:r>
          </w:p>
        </w:tc>
        <w:tc>
          <w:tcPr>
            <w:tcW w:w="51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44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6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c>
          <w:tcPr>
            <w:tcW w:w="558" w:type="dxa"/>
            <w:tcBorders>
              <w:top w:val="single" w:color="000000" w:sz="4" w:space="0"/>
              <w:left w:val="single" w:color="000000" w:sz="4" w:space="0"/>
              <w:bottom w:val="single" w:color="000000" w:sz="4" w:space="0"/>
              <w:right w:val="single" w:color="000000" w:sz="4" w:space="0"/>
            </w:tcBorders>
            <w:shd w:val="clear" w:color="auto" w:fill="D9D9D9"/>
            <w:noWrap/>
            <w:vAlign w:val="center"/>
          </w:tcPr>
          <w:p>
            <w:pPr>
              <w:widowControl/>
              <w:spacing w:line="240" w:lineRule="auto"/>
              <w:ind w:firstLine="0" w:firstLineChars="0"/>
              <w:jc w:val="center"/>
              <w:textAlignment w:val="center"/>
              <w:rPr>
                <w:rFonts w:ascii="宋体" w:hAnsi="宋体" w:eastAsia="宋体" w:cs="宋体"/>
                <w:color w:val="000000"/>
                <w:kern w:val="0"/>
                <w:sz w:val="21"/>
                <w:szCs w:val="21"/>
                <w:lang w:bidi="ar"/>
              </w:rPr>
            </w:pPr>
          </w:p>
        </w:tc>
      </w:tr>
    </w:tbl>
    <w:p>
      <w:pPr>
        <w:spacing w:before="120" w:after="120"/>
        <w:rPr>
          <w:rFonts w:ascii="宋体" w:hAnsi="宋体" w:cs="Times New Roman"/>
        </w:rPr>
      </w:pPr>
      <w:r>
        <w:rPr>
          <w:rFonts w:hint="eastAsia" w:ascii="宋体" w:hAnsi="宋体" w:cs="Times New Roman"/>
        </w:rPr>
        <w:t>上表中所列工程进度各项时间安排是根据可类比的工程建设实施经验大致粗略安排，实际工程进度取决于工程建设中各环节的衔接及完成情况。</w:t>
      </w:r>
    </w:p>
    <w:p>
      <w:pPr>
        <w:pStyle w:val="3"/>
        <w:spacing w:before="120" w:after="120" w:line="240" w:lineRule="auto"/>
      </w:pPr>
      <w:bookmarkStart w:id="416" w:name="_Toc30944"/>
      <w:bookmarkStart w:id="417" w:name="_Toc1970"/>
      <w:bookmarkStart w:id="418" w:name="_Toc23677"/>
      <w:bookmarkStart w:id="419" w:name="_Toc91624227"/>
      <w:r>
        <w:rPr>
          <w:rFonts w:hint="eastAsia"/>
        </w:rPr>
        <w:t>项目实施进度管理方案</w:t>
      </w:r>
      <w:bookmarkEnd w:id="416"/>
      <w:bookmarkEnd w:id="417"/>
      <w:bookmarkEnd w:id="418"/>
      <w:bookmarkEnd w:id="419"/>
    </w:p>
    <w:p>
      <w:pPr>
        <w:rPr>
          <w:rFonts w:hAnsi="宋体" w:cs="宋体"/>
        </w:rPr>
      </w:pPr>
      <w:r>
        <w:rPr>
          <w:rFonts w:hint="eastAsia" w:hAnsi="宋体" w:cs="宋体"/>
        </w:rPr>
        <w:t>（1）计划控制</w:t>
      </w:r>
    </w:p>
    <w:p>
      <w:pPr>
        <w:rPr>
          <w:rFonts w:hAnsi="宋体" w:cs="宋体"/>
        </w:rPr>
      </w:pPr>
      <w:r>
        <w:rPr>
          <w:rFonts w:hint="eastAsia" w:hAnsi="宋体" w:cs="宋体"/>
        </w:rPr>
        <w:t>计划是一切行动实施的基础。每一个项目经理的理想就是项目能百分之百的按照计划执行，而项目的实际情况往往受各种干扰影响，导致计划需要不断的跟进调整，据变化而变化。项目经理要实现计划的控制，落脚点在于监督各分项计划的实施。</w:t>
      </w:r>
    </w:p>
    <w:p>
      <w:pPr>
        <w:rPr>
          <w:rFonts w:hAnsi="宋体" w:cs="宋体"/>
        </w:rPr>
      </w:pPr>
      <w:r>
        <w:rPr>
          <w:rFonts w:hint="eastAsia" w:hAnsi="宋体" w:cs="宋体"/>
        </w:rPr>
        <w:t>（2）资源控制</w:t>
      </w:r>
    </w:p>
    <w:p>
      <w:pPr>
        <w:rPr>
          <w:rFonts w:hAnsi="宋体" w:cs="宋体"/>
        </w:rPr>
      </w:pPr>
      <w:r>
        <w:rPr>
          <w:rFonts w:hint="eastAsia" w:hAnsi="宋体" w:cs="宋体"/>
        </w:rPr>
        <w:t>通常计划不能如期的完成，大部分原因是由于资源问题。采购资源、人力资源、生产资源各种资源没有落实到位的话，再好的计划也是完成不了的。所以，项目经理在项目执行的过程中需要关注各部分资源的负荷情况。掌握资源的一手信息，才能开展资源协调。</w:t>
      </w:r>
    </w:p>
    <w:p>
      <w:pPr>
        <w:rPr>
          <w:rFonts w:hAnsi="宋体" w:cs="宋体"/>
        </w:rPr>
      </w:pPr>
      <w:r>
        <w:rPr>
          <w:rFonts w:hint="eastAsia" w:hAnsi="宋体" w:cs="宋体"/>
        </w:rPr>
        <w:t>（3）风险控制</w:t>
      </w:r>
    </w:p>
    <w:p>
      <w:pPr>
        <w:rPr>
          <w:rFonts w:hAnsi="宋体" w:cs="宋体"/>
        </w:rPr>
      </w:pPr>
      <w:r>
        <w:rPr>
          <w:rFonts w:hint="eastAsia" w:hAnsi="宋体" w:cs="宋体"/>
        </w:rPr>
        <w:t>为项目制订一套风险防范体系，需要包含风险识别、风险确认、风险应对等方面。项目启动初期，要充分的识别会影响项目进度的风险，并且的项目执行过程中，要对风险不断的进行监控与更新，然后采取相应的措施。重点在于个分项目负责人对风险的识别与即使汇报，并以预防为主。</w:t>
      </w:r>
    </w:p>
    <w:p>
      <w:pPr>
        <w:rPr>
          <w:rFonts w:hAnsi="宋体" w:cs="宋体"/>
        </w:rPr>
      </w:pPr>
      <w:r>
        <w:rPr>
          <w:rFonts w:hint="eastAsia" w:hAnsi="宋体" w:cs="宋体"/>
        </w:rPr>
        <w:t>（4）建立良好的沟通管理制度</w:t>
      </w:r>
    </w:p>
    <w:p>
      <w:pPr>
        <w:rPr>
          <w:rFonts w:hAnsi="宋体" w:cs="宋体"/>
        </w:rPr>
      </w:pPr>
      <w:r>
        <w:rPr>
          <w:rFonts w:hint="eastAsia" w:hAnsi="宋体" w:cs="宋体"/>
        </w:rPr>
        <w:t>要掌握各方实时信息，沟通十分重要。通过沟通，可以及时了解到立项部门和项目客户的期望与特殊需求，以保障各项工作在项目范围内开展，即使范围发生变化，也能及时的做出调整，使项目的进度满足各方需求。</w:t>
      </w:r>
    </w:p>
    <w:p>
      <w:pPr>
        <w:rPr>
          <w:rFonts w:hAnsi="宋体" w:cs="宋体"/>
        </w:rPr>
      </w:pPr>
      <w:r>
        <w:rPr>
          <w:rFonts w:hint="eastAsia" w:hAnsi="宋体" w:cs="宋体"/>
        </w:rPr>
        <w:t>有必要建立项目例会制度、分项计划汇报制度、项目跟进汇报制度等。强调主动沟通，以提早准备做好配合，避免项目进度拖延。</w:t>
      </w:r>
    </w:p>
    <w:p>
      <w:pPr>
        <w:rPr>
          <w:rFonts w:hAnsi="宋体" w:cs="宋体"/>
        </w:rPr>
      </w:pPr>
      <w:r>
        <w:rPr>
          <w:rFonts w:hint="eastAsia" w:hAnsi="宋体" w:cs="宋体"/>
        </w:rPr>
        <w:t>（5）借助有效的管理工具</w:t>
      </w:r>
    </w:p>
    <w:p>
      <w:pPr>
        <w:rPr>
          <w:rFonts w:hAnsi="宋体" w:cs="宋体"/>
        </w:rPr>
      </w:pPr>
      <w:r>
        <w:rPr>
          <w:rFonts w:hint="eastAsia" w:hAnsi="宋体" w:cs="宋体"/>
        </w:rPr>
        <w:t>使用项目管理工具可以让项目进度和资源分配情况可视化，有效的实时跟进项目进度，以便及时的根据情况变化做出调整。</w:t>
      </w:r>
    </w:p>
    <w:p>
      <w:pPr>
        <w:pStyle w:val="14"/>
        <w:ind w:firstLine="480"/>
      </w:pPr>
    </w:p>
    <w:p/>
    <w:p>
      <w:pPr>
        <w:pStyle w:val="2"/>
        <w:bidi w:val="0"/>
      </w:pPr>
      <w:bookmarkStart w:id="420" w:name="_Toc14158"/>
      <w:bookmarkStart w:id="421" w:name="_Toc99028806"/>
      <w:bookmarkStart w:id="422" w:name="_Toc99093064"/>
      <w:r>
        <w:t>投资估算和资金来源</w:t>
      </w:r>
      <w:bookmarkEnd w:id="420"/>
      <w:bookmarkEnd w:id="421"/>
      <w:bookmarkEnd w:id="422"/>
    </w:p>
    <w:p>
      <w:pPr>
        <w:pStyle w:val="3"/>
        <w:bidi w:val="0"/>
      </w:pPr>
      <w:bookmarkStart w:id="423" w:name="_Toc99093065"/>
      <w:bookmarkStart w:id="424" w:name="_Toc99028807"/>
      <w:bookmarkStart w:id="425" w:name="_Toc32321"/>
      <w:r>
        <w:t>投资估算的有关说明</w:t>
      </w:r>
      <w:bookmarkEnd w:id="423"/>
      <w:bookmarkEnd w:id="424"/>
      <w:bookmarkEnd w:id="425"/>
    </w:p>
    <w:p>
      <w:r>
        <w:rPr>
          <w:rFonts w:hint="eastAsia"/>
        </w:rPr>
        <w:t>1 应用系统功能定制开发费，按定制各业务应用子系统软件需要的工作量和人工费用单价估算，应用系统软开发费用，根据《软件研发成本度量规范》（GB/T 36964-2018）估算。人月费单价根据《中国软件行业基准数据》（CSBMK-202110）确定，并参考黑龙江省实际情况按2万元计取。</w:t>
      </w:r>
    </w:p>
    <w:p>
      <w:pPr>
        <w:pStyle w:val="84"/>
        <w:numPr>
          <w:ilvl w:val="0"/>
          <w:numId w:val="3"/>
        </w:numPr>
        <w:ind w:firstLine="480"/>
        <w:rPr>
          <w:rFonts w:ascii="Times New Roman" w:hAnsi="宋体" w:eastAsia="宋体" w:cs="宋体"/>
        </w:rPr>
      </w:pPr>
      <w:r>
        <w:rPr>
          <w:rFonts w:hint="eastAsia" w:ascii="Times New Roman" w:hAnsi="宋体" w:eastAsia="宋体" w:cs="宋体"/>
        </w:rPr>
        <w:t xml:space="preserve">工程建设其他费用； </w:t>
      </w:r>
    </w:p>
    <w:p>
      <w:r>
        <w:rPr>
          <w:rFonts w:hint="eastAsia"/>
        </w:rPr>
        <w:t>（1）建设项目前期工作咨询费按《建设项目前期工作咨询收费暂行规定》（国家计委计价格[1999]1283号）计取；</w:t>
      </w:r>
    </w:p>
    <w:p>
      <w:r>
        <w:rPr>
          <w:rFonts w:hint="eastAsia"/>
        </w:rPr>
        <w:t>（</w:t>
      </w:r>
      <w:r>
        <w:rPr>
          <w:rFonts w:hint="eastAsia"/>
          <w:lang w:val="en-US" w:eastAsia="zh-CN"/>
        </w:rPr>
        <w:t>2</w:t>
      </w:r>
      <w:r>
        <w:rPr>
          <w:rFonts w:hint="eastAsia"/>
        </w:rPr>
        <w:t>）工程建设监理费参考计价格《建设工程监理与相关服务收费管理规定》[2007]670号）文规定的标准费率并考虑市场竞争因素测算；</w:t>
      </w:r>
    </w:p>
    <w:p>
      <w:r>
        <w:rPr>
          <w:rFonts w:hint="eastAsia"/>
        </w:rPr>
        <w:t>（</w:t>
      </w:r>
      <w:r>
        <w:rPr>
          <w:rFonts w:hint="eastAsia"/>
          <w:lang w:val="en-US" w:eastAsia="zh-CN"/>
        </w:rPr>
        <w:t>3</w:t>
      </w:r>
      <w:r>
        <w:rPr>
          <w:rFonts w:hint="eastAsia"/>
        </w:rPr>
        <w:t>）等级保护测评费参考中关村信息安全测评联盟等级测评项目收费指导意见测算；</w:t>
      </w:r>
    </w:p>
    <w:p>
      <w:r>
        <w:rPr>
          <w:rFonts w:hint="eastAsia"/>
        </w:rPr>
        <w:t>（</w:t>
      </w:r>
      <w:r>
        <w:rPr>
          <w:rFonts w:hint="eastAsia"/>
          <w:lang w:val="en-US" w:eastAsia="zh-CN"/>
        </w:rPr>
        <w:t>4</w:t>
      </w:r>
      <w:r>
        <w:rPr>
          <w:rFonts w:hint="eastAsia"/>
        </w:rPr>
        <w:t>）密码应用安全性评估费参考市场价及前期同类项目历史数据计取。</w:t>
      </w:r>
    </w:p>
    <w:p>
      <w:pPr>
        <w:pStyle w:val="3"/>
        <w:bidi w:val="0"/>
      </w:pPr>
      <w:bookmarkStart w:id="426" w:name="_Toc99028811"/>
      <w:bookmarkStart w:id="427" w:name="_Toc4358"/>
      <w:bookmarkStart w:id="428" w:name="_Toc99093069"/>
      <w:r>
        <w:t>项目总投资估算</w:t>
      </w:r>
      <w:bookmarkEnd w:id="426"/>
      <w:bookmarkEnd w:id="427"/>
      <w:bookmarkEnd w:id="428"/>
    </w:p>
    <w:p>
      <w:r>
        <w:rPr>
          <w:rFonts w:hint="eastAsia"/>
        </w:rPr>
        <w:t>本项目总投资估算为</w:t>
      </w:r>
      <w:r>
        <w:t>4</w:t>
      </w:r>
      <w:r>
        <w:rPr>
          <w:rFonts w:hint="eastAsia"/>
          <w:lang w:val="en-US" w:eastAsia="zh-CN"/>
        </w:rPr>
        <w:t>17.55</w:t>
      </w:r>
      <w:r>
        <w:t>万元。</w:t>
      </w:r>
      <w:r>
        <w:rPr>
          <w:rFonts w:hint="eastAsia"/>
        </w:rPr>
        <w:t>其中，工程费用为</w:t>
      </w:r>
      <w:r>
        <w:rPr>
          <w:rFonts w:hint="eastAsia"/>
          <w:lang w:val="en-US" w:eastAsia="zh-CN"/>
        </w:rPr>
        <w:t>357.6</w:t>
      </w:r>
      <w:r>
        <w:rPr>
          <w:rFonts w:hint="eastAsia"/>
        </w:rPr>
        <w:t>万元，建设其他费</w:t>
      </w:r>
      <w:r>
        <w:rPr>
          <w:rFonts w:hint="eastAsia"/>
          <w:lang w:val="en-US" w:eastAsia="zh-CN"/>
        </w:rPr>
        <w:t>44.95</w:t>
      </w:r>
      <w:r>
        <w:rPr>
          <w:rFonts w:hint="eastAsia"/>
        </w:rPr>
        <w:t>万元，预备费15万元。具体构成详见下表：</w:t>
      </w:r>
    </w:p>
    <w:tbl>
      <w:tblPr>
        <w:tblStyle w:val="30"/>
        <w:tblW w:w="4999" w:type="pct"/>
        <w:tblInd w:w="0" w:type="dxa"/>
        <w:tblLayout w:type="autofit"/>
        <w:tblCellMar>
          <w:top w:w="0" w:type="dxa"/>
          <w:left w:w="108" w:type="dxa"/>
          <w:bottom w:w="0" w:type="dxa"/>
          <w:right w:w="108" w:type="dxa"/>
        </w:tblCellMar>
      </w:tblPr>
      <w:tblGrid>
        <w:gridCol w:w="1631"/>
        <w:gridCol w:w="2964"/>
        <w:gridCol w:w="2489"/>
        <w:gridCol w:w="1884"/>
      </w:tblGrid>
      <w:tr>
        <w:tblPrEx>
          <w:tblCellMar>
            <w:top w:w="0" w:type="dxa"/>
            <w:left w:w="108" w:type="dxa"/>
            <w:bottom w:w="0" w:type="dxa"/>
            <w:right w:w="108" w:type="dxa"/>
          </w:tblCellMar>
        </w:tblPrEx>
        <w:trPr>
          <w:trHeight w:val="402" w:hRule="atLeast"/>
        </w:trPr>
        <w:tc>
          <w:tcPr>
            <w:tcW w:w="909" w:type="pct"/>
            <w:tcBorders>
              <w:top w:val="single" w:color="auto" w:sz="4" w:space="0"/>
              <w:left w:val="single" w:color="auto" w:sz="4" w:space="0"/>
              <w:bottom w:val="single" w:color="auto" w:sz="4" w:space="0"/>
              <w:right w:val="single" w:color="auto" w:sz="4" w:space="0"/>
            </w:tcBorders>
            <w:shd w:val="clear" w:color="auto" w:fill="DEEAF6"/>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序号</w:t>
            </w:r>
          </w:p>
        </w:tc>
        <w:tc>
          <w:tcPr>
            <w:tcW w:w="1652" w:type="pct"/>
            <w:tcBorders>
              <w:top w:val="single" w:color="auto" w:sz="4" w:space="0"/>
              <w:left w:val="single" w:color="auto" w:sz="4" w:space="0"/>
              <w:bottom w:val="single" w:color="auto" w:sz="4" w:space="0"/>
              <w:right w:val="single" w:color="auto" w:sz="4" w:space="0"/>
            </w:tcBorders>
            <w:shd w:val="clear" w:color="auto" w:fill="DEEAF6"/>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费用名称</w:t>
            </w:r>
          </w:p>
        </w:tc>
        <w:tc>
          <w:tcPr>
            <w:tcW w:w="1387" w:type="pct"/>
            <w:tcBorders>
              <w:top w:val="single" w:color="auto" w:sz="4" w:space="0"/>
              <w:left w:val="single" w:color="auto" w:sz="4" w:space="0"/>
              <w:bottom w:val="single" w:color="auto" w:sz="4" w:space="0"/>
              <w:right w:val="single" w:color="auto" w:sz="4" w:space="0"/>
            </w:tcBorders>
            <w:shd w:val="clear" w:color="auto" w:fill="DEEAF6"/>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投资额(万元)</w:t>
            </w:r>
          </w:p>
        </w:tc>
        <w:tc>
          <w:tcPr>
            <w:tcW w:w="1050" w:type="pct"/>
            <w:tcBorders>
              <w:top w:val="single" w:color="auto" w:sz="4" w:space="0"/>
              <w:left w:val="single" w:color="auto" w:sz="4" w:space="0"/>
              <w:bottom w:val="single" w:color="auto" w:sz="4" w:space="0"/>
              <w:right w:val="single" w:color="auto" w:sz="4" w:space="0"/>
            </w:tcBorders>
            <w:shd w:val="clear" w:color="auto" w:fill="DEEAF6"/>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备注</w:t>
            </w:r>
          </w:p>
        </w:tc>
      </w:tr>
      <w:tr>
        <w:tblPrEx>
          <w:tblCellMar>
            <w:top w:w="0" w:type="dxa"/>
            <w:left w:w="108" w:type="dxa"/>
            <w:bottom w:w="0" w:type="dxa"/>
            <w:right w:w="108" w:type="dxa"/>
          </w:tblCellMar>
        </w:tblPrEx>
        <w:trPr>
          <w:trHeight w:val="402" w:hRule="atLeast"/>
        </w:trPr>
        <w:tc>
          <w:tcPr>
            <w:tcW w:w="909"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一</w:t>
            </w:r>
          </w:p>
        </w:tc>
        <w:tc>
          <w:tcPr>
            <w:tcW w:w="1652"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工程费</w:t>
            </w:r>
          </w:p>
        </w:tc>
        <w:tc>
          <w:tcPr>
            <w:tcW w:w="1387"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val="en-US" w:eastAsia="zh-CN" w:bidi="ar"/>
              </w:rPr>
              <w:t>357</w:t>
            </w:r>
            <w:r>
              <w:rPr>
                <w:rFonts w:hint="eastAsia" w:ascii="宋体" w:hAnsi="宋体" w:cs="宋体"/>
                <w:color w:val="000000"/>
                <w:kern w:val="0"/>
                <w:sz w:val="21"/>
                <w:szCs w:val="21"/>
                <w:lang w:bidi="ar"/>
              </w:rPr>
              <w:t>.6</w:t>
            </w:r>
          </w:p>
        </w:tc>
        <w:tc>
          <w:tcPr>
            <w:tcW w:w="1050"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p>
        </w:tc>
      </w:tr>
      <w:tr>
        <w:tblPrEx>
          <w:tblCellMar>
            <w:top w:w="0" w:type="dxa"/>
            <w:left w:w="108" w:type="dxa"/>
            <w:bottom w:w="0" w:type="dxa"/>
            <w:right w:w="108" w:type="dxa"/>
          </w:tblCellMar>
        </w:tblPrEx>
        <w:trPr>
          <w:trHeight w:val="402" w:hRule="atLeast"/>
        </w:trPr>
        <w:tc>
          <w:tcPr>
            <w:tcW w:w="909"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w:t>
            </w:r>
          </w:p>
        </w:tc>
        <w:tc>
          <w:tcPr>
            <w:tcW w:w="1652"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软件开发费</w:t>
            </w:r>
          </w:p>
        </w:tc>
        <w:tc>
          <w:tcPr>
            <w:tcW w:w="1387"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val="en-US" w:eastAsia="zh-CN" w:bidi="ar"/>
              </w:rPr>
              <w:t>357</w:t>
            </w:r>
            <w:r>
              <w:rPr>
                <w:rFonts w:hint="eastAsia" w:ascii="宋体" w:hAnsi="宋体" w:cs="宋体"/>
                <w:color w:val="000000"/>
                <w:kern w:val="0"/>
                <w:sz w:val="21"/>
                <w:szCs w:val="21"/>
                <w:lang w:bidi="ar"/>
              </w:rPr>
              <w:t>.6</w:t>
            </w:r>
          </w:p>
        </w:tc>
        <w:tc>
          <w:tcPr>
            <w:tcW w:w="1050"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p>
        </w:tc>
      </w:tr>
      <w:tr>
        <w:tblPrEx>
          <w:tblCellMar>
            <w:top w:w="0" w:type="dxa"/>
            <w:left w:w="108" w:type="dxa"/>
            <w:bottom w:w="0" w:type="dxa"/>
            <w:right w:w="108" w:type="dxa"/>
          </w:tblCellMar>
        </w:tblPrEx>
        <w:trPr>
          <w:trHeight w:val="402" w:hRule="atLeast"/>
        </w:trPr>
        <w:tc>
          <w:tcPr>
            <w:tcW w:w="909"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二</w:t>
            </w:r>
          </w:p>
        </w:tc>
        <w:tc>
          <w:tcPr>
            <w:tcW w:w="1652"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工程建设其他费</w:t>
            </w:r>
          </w:p>
        </w:tc>
        <w:tc>
          <w:tcPr>
            <w:tcW w:w="1387"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hint="default" w:ascii="宋体" w:hAnsi="宋体" w:eastAsia="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44.95</w:t>
            </w:r>
          </w:p>
        </w:tc>
        <w:tc>
          <w:tcPr>
            <w:tcW w:w="1050"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p>
        </w:tc>
      </w:tr>
      <w:tr>
        <w:tblPrEx>
          <w:tblCellMar>
            <w:top w:w="0" w:type="dxa"/>
            <w:left w:w="108" w:type="dxa"/>
            <w:bottom w:w="0" w:type="dxa"/>
            <w:right w:w="108" w:type="dxa"/>
          </w:tblCellMar>
        </w:tblPrEx>
        <w:trPr>
          <w:trHeight w:val="402" w:hRule="atLeast"/>
        </w:trPr>
        <w:tc>
          <w:tcPr>
            <w:tcW w:w="909"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三</w:t>
            </w:r>
          </w:p>
        </w:tc>
        <w:tc>
          <w:tcPr>
            <w:tcW w:w="1652"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基本预备费</w:t>
            </w:r>
          </w:p>
        </w:tc>
        <w:tc>
          <w:tcPr>
            <w:tcW w:w="1387"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15.00</w:t>
            </w:r>
          </w:p>
        </w:tc>
        <w:tc>
          <w:tcPr>
            <w:tcW w:w="1050"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p>
        </w:tc>
      </w:tr>
      <w:tr>
        <w:tblPrEx>
          <w:tblCellMar>
            <w:top w:w="0" w:type="dxa"/>
            <w:left w:w="108" w:type="dxa"/>
            <w:bottom w:w="0" w:type="dxa"/>
            <w:right w:w="108" w:type="dxa"/>
          </w:tblCellMar>
        </w:tblPrEx>
        <w:trPr>
          <w:trHeight w:val="402" w:hRule="atLeast"/>
        </w:trPr>
        <w:tc>
          <w:tcPr>
            <w:tcW w:w="909"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四</w:t>
            </w:r>
          </w:p>
        </w:tc>
        <w:tc>
          <w:tcPr>
            <w:tcW w:w="1652"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项目总投资</w:t>
            </w:r>
          </w:p>
        </w:tc>
        <w:tc>
          <w:tcPr>
            <w:tcW w:w="1387"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hint="default" w:ascii="宋体" w:hAnsi="宋体" w:eastAsia="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417.55</w:t>
            </w:r>
          </w:p>
        </w:tc>
        <w:tc>
          <w:tcPr>
            <w:tcW w:w="1050" w:type="pct"/>
            <w:tcBorders>
              <w:top w:val="single" w:color="auto" w:sz="4" w:space="0"/>
              <w:left w:val="single" w:color="auto" w:sz="4" w:space="0"/>
              <w:bottom w:val="single" w:color="auto" w:sz="4" w:space="0"/>
              <w:right w:val="single" w:color="auto" w:sz="4" w:space="0"/>
            </w:tcBorders>
            <w:vAlign w:val="center"/>
          </w:tcPr>
          <w:p>
            <w:pPr>
              <w:widowControl/>
              <w:ind w:firstLine="0" w:firstLineChars="0"/>
              <w:jc w:val="center"/>
              <w:textAlignment w:val="center"/>
              <w:rPr>
                <w:rFonts w:ascii="宋体" w:hAnsi="宋体" w:cs="宋体"/>
                <w:color w:val="000000"/>
                <w:kern w:val="0"/>
                <w:sz w:val="21"/>
                <w:szCs w:val="21"/>
                <w:lang w:bidi="ar"/>
              </w:rPr>
            </w:pPr>
            <w:r>
              <w:rPr>
                <w:rFonts w:hint="eastAsia" w:ascii="宋体" w:hAnsi="宋体" w:cs="宋体"/>
                <w:color w:val="000000"/>
                <w:kern w:val="0"/>
                <w:sz w:val="21"/>
                <w:szCs w:val="21"/>
                <w:lang w:bidi="ar"/>
              </w:rPr>
              <w:t>一+二+三</w:t>
            </w:r>
          </w:p>
        </w:tc>
      </w:tr>
    </w:tbl>
    <w:p>
      <w:pPr>
        <w:pStyle w:val="3"/>
        <w:bidi w:val="0"/>
      </w:pPr>
      <w:bookmarkStart w:id="429" w:name="_Toc99028812"/>
      <w:bookmarkStart w:id="430" w:name="_Toc99093070"/>
      <w:bookmarkStart w:id="431" w:name="_Toc9992"/>
      <w:r>
        <w:t>资金来源与落实情况</w:t>
      </w:r>
      <w:bookmarkEnd w:id="429"/>
      <w:bookmarkEnd w:id="430"/>
      <w:bookmarkEnd w:id="431"/>
    </w:p>
    <w:p>
      <w:r>
        <w:rPr>
          <w:rFonts w:hint="eastAsia"/>
        </w:rPr>
        <w:t>本项目资金为地方政府一般债券资金。</w:t>
      </w:r>
    </w:p>
    <w:p>
      <w:pPr>
        <w:pStyle w:val="3"/>
      </w:pPr>
      <w:bookmarkStart w:id="432" w:name="_Toc99028813"/>
      <w:bookmarkStart w:id="433" w:name="_Toc10879"/>
      <w:bookmarkStart w:id="434" w:name="_Toc99093071"/>
      <w:r>
        <w:t>资金使用计划</w:t>
      </w:r>
      <w:bookmarkEnd w:id="432"/>
      <w:bookmarkEnd w:id="433"/>
      <w:bookmarkEnd w:id="434"/>
    </w:p>
    <w:p>
      <w:r>
        <w:rPr>
          <w:rFonts w:hint="eastAsia"/>
        </w:rPr>
        <w:t>加强和规范黑龙江市场监督服务与保障能力提升补助资金管理，制定资金管理制度，包含资金申请、资金使用、监督管理、绩效考评、验收审计和财务管理等。</w:t>
      </w:r>
    </w:p>
    <w:p>
      <w:r>
        <w:rPr>
          <w:rFonts w:hint="eastAsia"/>
        </w:rPr>
        <w:t>加强项目质量管理，确保资金用到实处，杜绝出现建设项目具体类目的资金预算与市场行情差距较大的问题。</w:t>
      </w:r>
    </w:p>
    <w:p>
      <w:r>
        <w:rPr>
          <w:rFonts w:hint="eastAsia"/>
        </w:rPr>
        <w:t>严格项目验收管理，对于分期项目不通过验收的情形不予开展下一期项目招标工作，责令项目建设单位整改。</w:t>
      </w:r>
    </w:p>
    <w:p>
      <w:r>
        <w:rPr>
          <w:rFonts w:hint="eastAsia"/>
        </w:rPr>
        <w:t>建立健全项目资金责任追究机制，明确项目管理的第一责任人，具体明确责任。</w:t>
      </w:r>
    </w:p>
    <w:p>
      <w:r>
        <w:rPr>
          <w:rFonts w:hint="eastAsia"/>
        </w:rPr>
        <w:t>存在虚报项目，套取、截留、挤占、挪用项目建设资金的，并追究当事人和有关领导的行政责任；触犯刑律的，移交司法机关处理。</w:t>
      </w:r>
    </w:p>
    <w:p>
      <w:pPr>
        <w:pStyle w:val="3"/>
      </w:pPr>
      <w:bookmarkStart w:id="435" w:name="_Toc99093072"/>
      <w:bookmarkStart w:id="436" w:name="_Toc99028814"/>
      <w:bookmarkStart w:id="437" w:name="_Toc32341"/>
      <w:r>
        <w:t>项目运行维护经费估算</w:t>
      </w:r>
      <w:bookmarkEnd w:id="435"/>
      <w:bookmarkEnd w:id="436"/>
      <w:bookmarkEnd w:id="437"/>
    </w:p>
    <w:p>
      <w:pPr>
        <w:ind w:firstLine="480"/>
      </w:pPr>
      <w:r>
        <w:rPr>
          <w:rFonts w:hint="eastAsia"/>
        </w:rPr>
        <w:t>本项目总投资不包括建设期结束后的年运行维护费。年运行维护费用按年度进行估算，本项目每年的运行维护费主要包括软件维护费、数据库维护费，按建设项目投资的10%估算运行维护费用。</w:t>
      </w:r>
    </w:p>
    <w:p>
      <w:pPr>
        <w:ind w:firstLine="480"/>
        <w:jc w:val="center"/>
      </w:pPr>
      <w:bookmarkStart w:id="438" w:name="_Toc85793304"/>
      <w:r>
        <w:rPr>
          <w:rFonts w:hint="eastAsia"/>
        </w:rPr>
        <w:t>项目运行维护经费表</w:t>
      </w:r>
      <w:bookmarkEnd w:id="438"/>
    </w:p>
    <w:tbl>
      <w:tblPr>
        <w:tblStyle w:val="30"/>
        <w:tblW w:w="8635" w:type="dxa"/>
        <w:tblInd w:w="1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5"/>
        <w:gridCol w:w="2722"/>
        <w:gridCol w:w="2128"/>
        <w:gridCol w:w="29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0" w:hRule="atLeast"/>
        </w:trPr>
        <w:tc>
          <w:tcPr>
            <w:tcW w:w="805"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序号</w:t>
            </w:r>
          </w:p>
        </w:tc>
        <w:tc>
          <w:tcPr>
            <w:tcW w:w="2722"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费用名称</w:t>
            </w:r>
          </w:p>
        </w:tc>
        <w:tc>
          <w:tcPr>
            <w:tcW w:w="2128"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费用估算（万元/年）</w:t>
            </w:r>
          </w:p>
        </w:tc>
        <w:tc>
          <w:tcPr>
            <w:tcW w:w="2980"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805"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w:t>
            </w:r>
          </w:p>
        </w:tc>
        <w:tc>
          <w:tcPr>
            <w:tcW w:w="2722"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系统维护费</w:t>
            </w:r>
          </w:p>
        </w:tc>
        <w:tc>
          <w:tcPr>
            <w:tcW w:w="2128" w:type="dxa"/>
          </w:tcPr>
          <w:p>
            <w:pPr>
              <w:widowControl/>
              <w:ind w:firstLine="0" w:firstLineChars="0"/>
              <w:jc w:val="center"/>
              <w:textAlignment w:val="center"/>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35.76</w:t>
            </w:r>
          </w:p>
        </w:tc>
        <w:tc>
          <w:tcPr>
            <w:tcW w:w="2980"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按照软件总投资 10%估算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805"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2</w:t>
            </w:r>
          </w:p>
        </w:tc>
        <w:tc>
          <w:tcPr>
            <w:tcW w:w="2722"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等保测评费</w:t>
            </w:r>
          </w:p>
        </w:tc>
        <w:tc>
          <w:tcPr>
            <w:tcW w:w="2128"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20</w:t>
            </w:r>
          </w:p>
        </w:tc>
        <w:tc>
          <w:tcPr>
            <w:tcW w:w="2980"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按照市场价格估算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805"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3</w:t>
            </w:r>
          </w:p>
        </w:tc>
        <w:tc>
          <w:tcPr>
            <w:tcW w:w="2722"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密码应用评估费</w:t>
            </w:r>
          </w:p>
        </w:tc>
        <w:tc>
          <w:tcPr>
            <w:tcW w:w="2128"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12</w:t>
            </w:r>
          </w:p>
        </w:tc>
        <w:tc>
          <w:tcPr>
            <w:tcW w:w="2980"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按照市场价格估算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0" w:hRule="atLeast"/>
        </w:trPr>
        <w:tc>
          <w:tcPr>
            <w:tcW w:w="805" w:type="dxa"/>
          </w:tcPr>
          <w:p>
            <w:pPr>
              <w:widowControl/>
              <w:ind w:firstLine="0" w:firstLineChars="0"/>
              <w:jc w:val="center"/>
              <w:textAlignment w:val="center"/>
              <w:rPr>
                <w:rFonts w:hint="eastAsia" w:ascii="宋体" w:hAnsi="宋体" w:eastAsia="宋体" w:cs="宋体"/>
                <w:color w:val="000000"/>
                <w:kern w:val="0"/>
                <w:sz w:val="21"/>
                <w:szCs w:val="21"/>
                <w:lang w:bidi="ar"/>
              </w:rPr>
            </w:pPr>
          </w:p>
        </w:tc>
        <w:tc>
          <w:tcPr>
            <w:tcW w:w="2722" w:type="dxa"/>
          </w:tcPr>
          <w:p>
            <w:pPr>
              <w:widowControl/>
              <w:ind w:firstLine="0" w:firstLineChars="0"/>
              <w:jc w:val="center"/>
              <w:textAlignment w:val="center"/>
              <w:rPr>
                <w:rFonts w:hint="eastAsia" w:ascii="宋体" w:hAnsi="宋体" w:eastAsia="宋体" w:cs="宋体"/>
                <w:color w:val="000000"/>
                <w:kern w:val="0"/>
                <w:sz w:val="21"/>
                <w:szCs w:val="21"/>
                <w:lang w:bidi="ar"/>
              </w:rPr>
            </w:pPr>
            <w:r>
              <w:rPr>
                <w:rFonts w:hint="eastAsia" w:ascii="宋体" w:hAnsi="宋体" w:eastAsia="宋体" w:cs="宋体"/>
                <w:color w:val="000000"/>
                <w:kern w:val="0"/>
                <w:sz w:val="21"/>
                <w:szCs w:val="21"/>
                <w:lang w:bidi="ar"/>
              </w:rPr>
              <w:t>合</w:t>
            </w:r>
            <w:r>
              <w:rPr>
                <w:rFonts w:hint="eastAsia" w:ascii="宋体" w:hAnsi="宋体" w:eastAsia="宋体" w:cs="宋体"/>
                <w:color w:val="000000"/>
                <w:kern w:val="0"/>
                <w:sz w:val="21"/>
                <w:szCs w:val="21"/>
                <w:lang w:bidi="ar"/>
              </w:rPr>
              <w:tab/>
            </w:r>
            <w:r>
              <w:rPr>
                <w:rFonts w:hint="eastAsia" w:ascii="宋体" w:hAnsi="宋体" w:eastAsia="宋体" w:cs="宋体"/>
                <w:color w:val="000000"/>
                <w:kern w:val="0"/>
                <w:sz w:val="21"/>
                <w:szCs w:val="21"/>
                <w:lang w:bidi="ar"/>
              </w:rPr>
              <w:t>计</w:t>
            </w:r>
          </w:p>
        </w:tc>
        <w:tc>
          <w:tcPr>
            <w:tcW w:w="2128" w:type="dxa"/>
          </w:tcPr>
          <w:p>
            <w:pPr>
              <w:widowControl/>
              <w:ind w:firstLine="0" w:firstLineChars="0"/>
              <w:jc w:val="center"/>
              <w:textAlignment w:val="center"/>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67.76</w:t>
            </w:r>
          </w:p>
        </w:tc>
        <w:tc>
          <w:tcPr>
            <w:tcW w:w="2980" w:type="dxa"/>
          </w:tcPr>
          <w:p>
            <w:pPr>
              <w:widowControl/>
              <w:ind w:firstLine="0" w:firstLineChars="0"/>
              <w:jc w:val="center"/>
              <w:textAlignment w:val="center"/>
              <w:rPr>
                <w:rFonts w:hint="eastAsia" w:ascii="宋体" w:hAnsi="宋体" w:eastAsia="宋体" w:cs="宋体"/>
                <w:color w:val="000000"/>
                <w:kern w:val="0"/>
                <w:sz w:val="21"/>
                <w:szCs w:val="21"/>
                <w:lang w:bidi="ar"/>
              </w:rPr>
            </w:pPr>
          </w:p>
        </w:tc>
      </w:tr>
    </w:tbl>
    <w:p>
      <w:pPr>
        <w:bidi w:val="0"/>
      </w:pPr>
    </w:p>
    <w:p>
      <w:pPr>
        <w:pStyle w:val="2"/>
        <w:bidi w:val="0"/>
      </w:pPr>
      <w:bookmarkStart w:id="439" w:name="_Toc99093074"/>
      <w:bookmarkStart w:id="440" w:name="_Toc7183"/>
      <w:bookmarkStart w:id="441" w:name="_Toc93395117"/>
      <w:r>
        <w:rPr>
          <w:rFonts w:hint="eastAsia"/>
        </w:rPr>
        <w:t>效益与指标评价分析</w:t>
      </w:r>
      <w:bookmarkEnd w:id="439"/>
      <w:bookmarkEnd w:id="440"/>
      <w:bookmarkEnd w:id="441"/>
    </w:p>
    <w:p>
      <w:pPr>
        <w:pStyle w:val="3"/>
        <w:bidi w:val="0"/>
      </w:pPr>
      <w:bookmarkStart w:id="442" w:name="_Toc7006"/>
      <w:r>
        <w:rPr>
          <w:rFonts w:hint="eastAsia"/>
        </w:rPr>
        <w:t>经济效益分析</w:t>
      </w:r>
      <w:bookmarkEnd w:id="442"/>
    </w:p>
    <w:p>
      <w:r>
        <w:rPr>
          <w:rFonts w:hint="eastAsia"/>
        </w:rPr>
        <w:t>主题库证照库项目系统将部署在政务云资源上，有利于优化资源配置，有效地的保护组织信息应用系统的原有投入，提高组织IT应用系统架构的可维护性、可扩展性，有效的地降低信息应用系统的建设、维护和更新的成本。市场监管主题库与证照库项目为纯公益性投资，不产生直接经济效益，但随着信息化应用的有序推广，将对市场监督管理局的工作产生及其深远的影响，社会效益及其显著。</w:t>
      </w:r>
    </w:p>
    <w:p>
      <w:pPr>
        <w:pStyle w:val="3"/>
        <w:spacing w:before="120" w:after="120" w:line="240" w:lineRule="auto"/>
      </w:pPr>
      <w:bookmarkStart w:id="443" w:name="_Toc26472"/>
      <w:r>
        <w:rPr>
          <w:rFonts w:hint="eastAsia"/>
        </w:rPr>
        <w:t>社会效益分析</w:t>
      </w:r>
      <w:bookmarkEnd w:id="443"/>
    </w:p>
    <w:p>
      <w:r>
        <w:rPr>
          <w:rFonts w:hint="eastAsia"/>
        </w:rPr>
        <w:t>主题库证照库实现市级市场监督管理信息资源的集中存储、集中处理、集中管理、集中服务，加快系统内部信息资源的流通和共享，为公众服务和相关政府部门提供准确信息，为市场监管部门各级管理人员提供决策支持，提高政府各部门协同工作能力和整体执法效能。主题库证照库项目监管大脑主题库应用平台，具体社会效益体现在以下几个方面：一是监管大脑主题库应用平台发挥信息化效能，提升专业化监管能力，提高办事效率。二是建设证照库，方便企业查询相关信息，降低企业办事时间和成本，减少交易风险，为企业开展经营活动创造便利，为社会创造更多的效益。</w:t>
      </w:r>
    </w:p>
    <w:p>
      <w:pPr>
        <w:pStyle w:val="3"/>
        <w:spacing w:before="120" w:after="120" w:line="240" w:lineRule="auto"/>
      </w:pPr>
      <w:bookmarkStart w:id="444" w:name="_Toc27419"/>
      <w:bookmarkStart w:id="445" w:name="_Toc106120828"/>
      <w:r>
        <w:rPr>
          <w:rFonts w:hint="eastAsia"/>
        </w:rPr>
        <w:t>效益与指标评价分析</w:t>
      </w:r>
      <w:bookmarkEnd w:id="444"/>
      <w:bookmarkEnd w:id="445"/>
    </w:p>
    <w:p>
      <w:r>
        <w:t>1.</w:t>
      </w:r>
      <w:r>
        <w:rPr>
          <w:rFonts w:hint="eastAsia"/>
        </w:rPr>
        <w:t>扩大市场监管信息化监管深度</w:t>
      </w:r>
    </w:p>
    <w:p>
      <w:r>
        <w:rPr>
          <w:rFonts w:hint="eastAsia"/>
        </w:rPr>
        <w:t>此次市场监管主题库及证照库项目深化监管领域，从市场主体业务办理情况、监督检查情况、投诉举报情况、执法办案情况和监督效能情况出发，全面支持市场监管监督检查、稽查执法、投诉举报等各项监管业务的信息化办理，有效助力市场监管工作。</w:t>
      </w:r>
    </w:p>
    <w:p>
      <w:r>
        <w:t>2.</w:t>
      </w:r>
      <w:r>
        <w:rPr>
          <w:rFonts w:hint="eastAsia"/>
        </w:rPr>
        <w:t>创新监管方式，提升监管能效</w:t>
      </w:r>
    </w:p>
    <w:p>
      <w:r>
        <w:rPr>
          <w:rFonts w:hint="eastAsia"/>
        </w:rPr>
        <w:t>此次建设的市场监管主题库及证照库项目将充分利用信息化的手段，以“数字监管”为前提，革新传统的监管方式和手段，为监管部门提供了移动监管、决策支持等多种信息化手段助力监管工作，减轻监管人员的工作负担，提升市场监管部门的综合监管能效。</w:t>
      </w:r>
    </w:p>
    <w:p>
      <w:r>
        <w:t>3.</w:t>
      </w:r>
      <w:r>
        <w:rPr>
          <w:rFonts w:hint="eastAsia"/>
        </w:rPr>
        <w:t>形成以诚信体系为核心的常态化运转机制</w:t>
      </w:r>
    </w:p>
    <w:p>
      <w:r>
        <w:rPr>
          <w:rFonts w:hint="eastAsia"/>
        </w:rPr>
        <w:t>平台以各应用系统作为监管数据源，通过诚信模型的计算得出科学、客观、权威的市场主体诚信评价结果，能够有效约束市场主体生产经营的安全规范，促进行业的良性竞争，以常态化的诚信闭环为驱动，打造良好的营商环境。</w:t>
      </w:r>
    </w:p>
    <w:p>
      <w:r>
        <w:t>4.</w:t>
      </w:r>
      <w:r>
        <w:rPr>
          <w:rFonts w:hint="eastAsia"/>
        </w:rPr>
        <w:t>进一步强化数据质量，确保数据资源有效利用</w:t>
      </w:r>
    </w:p>
    <w:p>
      <w:r>
        <w:rPr>
          <w:rFonts w:hint="eastAsia"/>
        </w:rPr>
        <w:t>数据资源是市场监管信息化建设的基础资源，而数据资源的互通共享则是构建科学有效的市场监管信息化体系的前提。通过数据质量提升，形成数据质量检查体系的基础资源，全面支撑数据质量检查工作的开展，进一步强化数据的互通共享，杜绝“信息孤岛”，发掘数据资源的有效价值。</w:t>
      </w:r>
    </w:p>
    <w:p>
      <w:pPr>
        <w:pStyle w:val="2"/>
        <w:bidi w:val="0"/>
      </w:pPr>
      <w:bookmarkStart w:id="446" w:name="_Toc66959693"/>
      <w:bookmarkStart w:id="447" w:name="_Toc99093075"/>
      <w:bookmarkStart w:id="448" w:name="_Toc6020"/>
      <w:r>
        <w:rPr>
          <w:rFonts w:hint="eastAsia"/>
        </w:rPr>
        <w:t>项目风险与风险管理</w:t>
      </w:r>
      <w:bookmarkEnd w:id="446"/>
      <w:bookmarkEnd w:id="447"/>
      <w:bookmarkEnd w:id="448"/>
    </w:p>
    <w:p>
      <w:pPr>
        <w:pStyle w:val="3"/>
        <w:spacing w:before="120" w:after="120" w:line="240" w:lineRule="auto"/>
      </w:pPr>
      <w:bookmarkStart w:id="449" w:name="_Toc24302"/>
      <w:r>
        <w:rPr>
          <w:rFonts w:hint="eastAsia"/>
        </w:rPr>
        <w:t>风险识别和分析</w:t>
      </w:r>
      <w:bookmarkEnd w:id="449"/>
    </w:p>
    <w:p>
      <w:r>
        <w:rPr>
          <w:rFonts w:hint="eastAsia"/>
        </w:rPr>
        <w:t>风险是项目建设自身无法避免的，在项目建设中充分考虑到相关因素，尽可能减少因为政策因素而产生的影响。总体来说，本项目在政策、组织、技术等方面存在较小风险。主要体现在政策风险、组织风险、技术风险、进度风险等几个方面。在项目的建设和管理中，需加强专业人员的管理和培训，加强内部和外部的风险控制。</w:t>
      </w:r>
    </w:p>
    <w:p>
      <w:r>
        <w:rPr>
          <w:rFonts w:hint="eastAsia"/>
        </w:rPr>
        <w:t>（1）政策风险</w:t>
      </w:r>
    </w:p>
    <w:p>
      <w:r>
        <w:rPr>
          <w:rFonts w:hint="eastAsia"/>
        </w:rPr>
        <w:t>由于本项目建设内容依据2021年度相关国家和总局的各项发文。是市场监管总局有明确要求的信息化建设任务，黑龙江省市场监管局按照国家和省商事制度改革、“放管服”改革、优化营商环境有关工作部署和要求，进行相关系统建设，对服务我省经济社会发展起着非常重要的作用。本项目符合国家及地方的相关政策。</w:t>
      </w:r>
    </w:p>
    <w:p>
      <w:r>
        <w:rPr>
          <w:rFonts w:hint="eastAsia"/>
        </w:rPr>
        <w:t>（2）组织风险</w:t>
      </w:r>
    </w:p>
    <w:p>
      <w:r>
        <w:rPr>
          <w:rFonts w:hint="eastAsia"/>
        </w:rPr>
        <w:t>组织风险主要指由于项目组织设计不当、项目管理跟不上，导致项目不能按时建成投产，或者达不到设计要求，或在项目投产后没有达到预期目的。</w:t>
      </w:r>
    </w:p>
    <w:p>
      <w:r>
        <w:rPr>
          <w:rFonts w:hint="eastAsia"/>
        </w:rPr>
        <w:t>项目建设单位为黑龙江省市场监管局，可通过组织优秀的技术人才和管理人才完成该项目的组织管理，并通过项目的监理单位监督项目质量、进度等因素，为项目的顺利执行提供有力的保障。本项目涉及使用范围较广，因此项目组要通过精心组织，加强与相关部门的沟通协调，确保工程的实施的进度和质量。</w:t>
      </w:r>
    </w:p>
    <w:p>
      <w:r>
        <w:rPr>
          <w:rFonts w:hint="eastAsia"/>
        </w:rPr>
        <w:t>（3）技术风险</w:t>
      </w:r>
    </w:p>
    <w:p>
      <w:r>
        <w:rPr>
          <w:rFonts w:hint="eastAsia"/>
        </w:rPr>
        <w:t>技术风险是指因为技术难度等原因造成的风险。本项目的技术风险主要来源于相关产品、技术的成熟度以及网络质量保证。</w:t>
      </w:r>
    </w:p>
    <w:p>
      <w:r>
        <w:rPr>
          <w:rFonts w:hint="eastAsia"/>
        </w:rPr>
        <w:t>本项目的建设充分考虑了国家和总局对于黑龙江省市场监管局业务系统管理工作的实际需求，通过在平台的稳定性、技术的先进性、系统运行的可靠性、人员的可操作性和维护的熟练程度四方面的验证，项目在技术层面上是可行的，可以有效规避使用新技术、新设备带来的风险。因此本项目的技术风险较小。</w:t>
      </w:r>
    </w:p>
    <w:p>
      <w:r>
        <w:rPr>
          <w:rFonts w:hint="eastAsia"/>
        </w:rPr>
        <w:t>（4）进度风险</w:t>
      </w:r>
    </w:p>
    <w:p>
      <w:r>
        <w:rPr>
          <w:rFonts w:hint="eastAsia"/>
        </w:rPr>
        <w:t>进度风险是指项目建设内容多，涉及协调部门广等因素造成的拖期风险。由于项目涉及专业较多，信息采集、传输过程中需要通信网络传送，数据处理过程中需要数据库以及数据共享和交换，操作层面涉及到各种应用系统以及安全保障等多个专业，各专业队伍较多，体系建设异常复杂。在建设过程中，如果各工序不能按计划施工，将导致本项目实施落后进度安排，致使项目延期。</w:t>
      </w:r>
    </w:p>
    <w:p>
      <w:r>
        <w:rPr>
          <w:rFonts w:hint="eastAsia"/>
        </w:rPr>
        <w:t>根据上述风险识别分析，在项目建设的同时，对工程有可能出现的各种风险要提前进行分析和防范，制订有效的识别方法、应对策略和管理方法，从而保证整个工程的正常、有效、安全、稳定的运行。</w:t>
      </w:r>
    </w:p>
    <w:p>
      <w:pPr>
        <w:pStyle w:val="3"/>
        <w:spacing w:before="120" w:after="120" w:line="240" w:lineRule="auto"/>
      </w:pPr>
      <w:bookmarkStart w:id="450" w:name="_Toc2349"/>
      <w:r>
        <w:rPr>
          <w:rFonts w:hint="eastAsia"/>
        </w:rPr>
        <w:t>风险对策和管理</w:t>
      </w:r>
      <w:bookmarkEnd w:id="450"/>
    </w:p>
    <w:p>
      <w:r>
        <w:rPr>
          <w:rFonts w:hint="eastAsia"/>
        </w:rPr>
        <w:t>（1）制订风险应对计划，确定需要采取的应对各类风险的措施</w:t>
      </w:r>
    </w:p>
    <w:p>
      <w:r>
        <w:rPr>
          <w:rFonts w:hint="eastAsia"/>
        </w:rPr>
        <w:t>风险应对计划确定和指定一个或多个人承担项目风险应对措施的责任，根据风险的优先级别处理风险，在需要时将资源和活动加入到预算、进度计划和项目管理计划中。计划中的风险应对措施必须与风险的重要性相符，能够低成本、及时地应付挑战，并且在项目环境下能够实现，由指定的责任人负责实施。</w:t>
      </w:r>
    </w:p>
    <w:p>
      <w:r>
        <w:rPr>
          <w:rFonts w:hint="eastAsia"/>
        </w:rPr>
        <w:t>（2）建立和实施项目质量管理体系，严把项目周期各阶段的质量关</w:t>
      </w:r>
    </w:p>
    <w:p>
      <w:r>
        <w:rPr>
          <w:rFonts w:hint="eastAsia"/>
        </w:rPr>
        <w:t>项目设计实施必须符合有关建设的技术标准和规范，必须执行国家规定的强制性要求，项目前期专业咨询机构进行信息化系统建设的咨询服务，项目招标应选择有实力、技术先进、可靠性高的承建单位，项目建设期间，宜聘请专业监理单位对质量进行监督管理，以确保项目建设质量，控制工程进度和投资，提高项目效益。</w:t>
      </w:r>
    </w:p>
    <w:p>
      <w:r>
        <w:rPr>
          <w:rFonts w:hint="eastAsia"/>
        </w:rPr>
        <w:t>（3）持续进行风险监测与控制</w:t>
      </w:r>
    </w:p>
    <w:p>
      <w:r>
        <w:rPr>
          <w:rFonts w:hint="eastAsia"/>
        </w:rPr>
        <w:t>项目在实施过程中要加强项目全过程的控制和管理，采用先进的工程管理方式，在建设单位、实施单位的项目管理人员之间建立良好的沟通机制，做好不同部门之间的协调沟通，建立有效的联合工作机制，促进各单位之间的配合和协同，实现项目实施的稳步推进。</w:t>
      </w:r>
    </w:p>
    <w:p>
      <w:r>
        <w:rPr>
          <w:rFonts w:hint="eastAsia"/>
        </w:rPr>
        <w:t>项目应对计划中的应对措施在项目管理期间得到执行，但为了发现新风险和已经发生变化的风险，需要持续地对风险进行监测和控制。在这个过程中，需要识别、分析和预测新的风险，保持对已识别风险的跟踪，重新分析现存的风险，监测不可预见事件的引发条件，监测残留风险，评审风险应对措施的实施效果</w:t>
      </w:r>
    </w:p>
    <w:p>
      <w:pPr>
        <w:pStyle w:val="2"/>
        <w:numPr>
          <w:ilvl w:val="0"/>
          <w:numId w:val="0"/>
        </w:numPr>
      </w:pPr>
      <w:bookmarkStart w:id="451" w:name="_Toc5548"/>
      <w:r>
        <w:rPr>
          <w:rFonts w:hint="eastAsia"/>
        </w:rPr>
        <w:t>附表1</w:t>
      </w:r>
      <w:r>
        <w:t>项目总投资估算表</w:t>
      </w:r>
      <w:bookmarkEnd w:id="451"/>
    </w:p>
    <w:p/>
    <w:tbl>
      <w:tblPr>
        <w:tblStyle w:val="30"/>
        <w:tblW w:w="4871" w:type="pct"/>
        <w:tblInd w:w="0" w:type="dxa"/>
        <w:tblLayout w:type="fixed"/>
        <w:tblCellMar>
          <w:top w:w="0" w:type="dxa"/>
          <w:left w:w="108" w:type="dxa"/>
          <w:bottom w:w="0" w:type="dxa"/>
          <w:right w:w="108" w:type="dxa"/>
        </w:tblCellMar>
      </w:tblPr>
      <w:tblGrid>
        <w:gridCol w:w="976"/>
        <w:gridCol w:w="2593"/>
        <w:gridCol w:w="840"/>
        <w:gridCol w:w="1150"/>
        <w:gridCol w:w="971"/>
        <w:gridCol w:w="983"/>
        <w:gridCol w:w="1226"/>
      </w:tblGrid>
      <w:tr>
        <w:tblPrEx>
          <w:tblCellMar>
            <w:top w:w="0" w:type="dxa"/>
            <w:left w:w="108" w:type="dxa"/>
            <w:bottom w:w="0" w:type="dxa"/>
            <w:right w:w="108" w:type="dxa"/>
          </w:tblCellMar>
        </w:tblPrEx>
        <w:trPr>
          <w:trHeight w:val="400" w:hRule="atLeast"/>
        </w:trPr>
        <w:tc>
          <w:tcPr>
            <w:tcW w:w="558"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序号</w:t>
            </w:r>
          </w:p>
        </w:tc>
        <w:tc>
          <w:tcPr>
            <w:tcW w:w="1483"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工程分项及费用名称</w:t>
            </w:r>
          </w:p>
        </w:tc>
        <w:tc>
          <w:tcPr>
            <w:tcW w:w="1138" w:type="pct"/>
            <w:gridSpan w:val="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设备购置费（万元）</w:t>
            </w:r>
          </w:p>
        </w:tc>
        <w:tc>
          <w:tcPr>
            <w:tcW w:w="555"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安装工程费（万元）</w:t>
            </w:r>
          </w:p>
        </w:tc>
        <w:tc>
          <w:tcPr>
            <w:tcW w:w="562"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其它费用（万元）</w:t>
            </w:r>
          </w:p>
        </w:tc>
        <w:tc>
          <w:tcPr>
            <w:tcW w:w="701"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总计（万元）</w:t>
            </w:r>
          </w:p>
        </w:tc>
      </w:tr>
      <w:tr>
        <w:tblPrEx>
          <w:tblCellMar>
            <w:top w:w="0" w:type="dxa"/>
            <w:left w:w="108" w:type="dxa"/>
            <w:bottom w:w="0" w:type="dxa"/>
            <w:right w:w="108" w:type="dxa"/>
          </w:tblCellMar>
        </w:tblPrEx>
        <w:trPr>
          <w:trHeight w:val="400" w:hRule="atLeast"/>
        </w:trPr>
        <w:tc>
          <w:tcPr>
            <w:tcW w:w="558"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148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1138" w:type="pct"/>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55"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70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00" w:hRule="atLeast"/>
        </w:trPr>
        <w:tc>
          <w:tcPr>
            <w:tcW w:w="558"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1483"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48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硬件设备</w:t>
            </w: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软件开发</w:t>
            </w:r>
          </w:p>
        </w:tc>
        <w:tc>
          <w:tcPr>
            <w:tcW w:w="555"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701"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一</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工程费用</w:t>
            </w:r>
          </w:p>
        </w:tc>
        <w:tc>
          <w:tcPr>
            <w:tcW w:w="4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firstLine="422" w:firstLineChars="200"/>
              <w:jc w:val="center"/>
              <w:textAlignment w:val="center"/>
              <w:rPr>
                <w:rFonts w:hint="eastAsia" w:ascii="宋体" w:hAnsi="宋体" w:eastAsia="宋体" w:cs="宋体"/>
                <w:b/>
                <w:bCs/>
                <w:i w:val="0"/>
                <w:iCs w:val="0"/>
                <w:color w:val="000000"/>
                <w:kern w:val="2"/>
                <w:sz w:val="21"/>
                <w:szCs w:val="21"/>
                <w:u w:val="none"/>
                <w:lang w:val="en-US" w:eastAsia="zh-CN" w:bidi="ar-SA"/>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b/>
                <w:bCs/>
                <w:i w:val="0"/>
                <w:iCs w:val="0"/>
                <w:color w:val="000000"/>
                <w:kern w:val="0"/>
                <w:sz w:val="21"/>
                <w:szCs w:val="21"/>
                <w:u w:val="none"/>
                <w:lang w:val="en-US" w:eastAsia="zh-CN" w:bidi="ar"/>
              </w:rPr>
              <w:t>357.6</w:t>
            </w: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b/>
                <w:bCs/>
                <w:i w:val="0"/>
                <w:iCs w:val="0"/>
                <w:color w:val="000000"/>
                <w:kern w:val="0"/>
                <w:sz w:val="21"/>
                <w:szCs w:val="21"/>
                <w:u w:val="none"/>
                <w:lang w:val="en-US" w:eastAsia="zh-CN" w:bidi="ar"/>
              </w:rPr>
              <w:t>357.6</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1</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数据质量综合管理平台</w:t>
            </w:r>
          </w:p>
        </w:tc>
        <w:tc>
          <w:tcPr>
            <w:tcW w:w="4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firstLine="420" w:firstLineChars="200"/>
              <w:jc w:val="center"/>
              <w:textAlignment w:val="center"/>
              <w:rPr>
                <w:rFonts w:hint="eastAsia" w:ascii="宋体" w:hAnsi="宋体" w:eastAsia="宋体" w:cs="宋体"/>
                <w:i w:val="0"/>
                <w:iCs w:val="0"/>
                <w:color w:val="000000"/>
                <w:kern w:val="2"/>
                <w:sz w:val="21"/>
                <w:szCs w:val="21"/>
                <w:u w:val="none"/>
                <w:lang w:val="en-US" w:eastAsia="zh-CN" w:bidi="ar-SA"/>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161.2</w:t>
            </w: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161.2</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2</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监管大脑主题库应用平台</w:t>
            </w:r>
          </w:p>
        </w:tc>
        <w:tc>
          <w:tcPr>
            <w:tcW w:w="4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firstLine="420" w:firstLineChars="200"/>
              <w:jc w:val="center"/>
              <w:textAlignment w:val="center"/>
              <w:rPr>
                <w:rFonts w:hint="eastAsia" w:ascii="宋体" w:hAnsi="宋体" w:eastAsia="宋体" w:cs="宋体"/>
                <w:i w:val="0"/>
                <w:iCs w:val="0"/>
                <w:color w:val="000000"/>
                <w:kern w:val="2"/>
                <w:sz w:val="21"/>
                <w:szCs w:val="21"/>
                <w:u w:val="none"/>
                <w:lang w:val="en-US" w:eastAsia="zh-CN" w:bidi="ar-SA"/>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117.6</w:t>
            </w: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117.6</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3</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证照库平台</w:t>
            </w:r>
          </w:p>
        </w:tc>
        <w:tc>
          <w:tcPr>
            <w:tcW w:w="480" w:type="pc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ind w:firstLine="420" w:firstLineChars="200"/>
              <w:jc w:val="center"/>
              <w:textAlignment w:val="center"/>
              <w:rPr>
                <w:rFonts w:hint="eastAsia" w:ascii="宋体" w:hAnsi="宋体" w:eastAsia="宋体" w:cs="宋体"/>
                <w:i w:val="0"/>
                <w:iCs w:val="0"/>
                <w:color w:val="000000"/>
                <w:kern w:val="2"/>
                <w:sz w:val="21"/>
                <w:szCs w:val="21"/>
                <w:u w:val="none"/>
                <w:lang w:val="en-US" w:eastAsia="zh-CN" w:bidi="ar-SA"/>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78.8</w:t>
            </w: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78.8</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二</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工程建设其他费用</w:t>
            </w:r>
          </w:p>
        </w:tc>
        <w:tc>
          <w:tcPr>
            <w:tcW w:w="48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b/>
                <w:bCs/>
                <w:i w:val="0"/>
                <w:iCs w:val="0"/>
                <w:color w:val="000000"/>
                <w:kern w:val="0"/>
                <w:sz w:val="21"/>
                <w:szCs w:val="21"/>
                <w:u w:val="none"/>
                <w:lang w:val="en-US" w:eastAsia="zh-CN" w:bidi="ar"/>
              </w:rPr>
              <w:t>44.95</w:t>
            </w: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firstLine="422" w:firstLineChars="200"/>
              <w:jc w:val="center"/>
              <w:textAlignment w:val="center"/>
              <w:rPr>
                <w:rFonts w:ascii="宋体" w:hAnsi="宋体" w:cs="宋体"/>
                <w:color w:val="000000"/>
                <w:kern w:val="0"/>
                <w:sz w:val="21"/>
                <w:szCs w:val="21"/>
              </w:rPr>
            </w:pPr>
            <w:r>
              <w:rPr>
                <w:rFonts w:hint="eastAsia" w:ascii="宋体" w:hAnsi="宋体" w:eastAsia="宋体" w:cs="宋体"/>
                <w:b/>
                <w:bCs/>
                <w:i w:val="0"/>
                <w:iCs w:val="0"/>
                <w:color w:val="000000"/>
                <w:kern w:val="0"/>
                <w:sz w:val="21"/>
                <w:szCs w:val="21"/>
                <w:u w:val="none"/>
                <w:lang w:val="en-US" w:eastAsia="zh-CN" w:bidi="ar"/>
              </w:rPr>
              <w:t>44.95</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 xml:space="preserve">1 </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可研报告编制费</w:t>
            </w:r>
          </w:p>
        </w:tc>
        <w:tc>
          <w:tcPr>
            <w:tcW w:w="48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3</w:t>
            </w: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3</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cs="宋体"/>
                <w:color w:val="000000"/>
                <w:kern w:val="0"/>
                <w:sz w:val="21"/>
                <w:szCs w:val="21"/>
                <w:lang w:val="en-US" w:eastAsia="zh-CN"/>
              </w:rPr>
              <w:t>2</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监理费</w:t>
            </w:r>
          </w:p>
        </w:tc>
        <w:tc>
          <w:tcPr>
            <w:tcW w:w="48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9.95</w:t>
            </w: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9.95</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cs="宋体"/>
                <w:color w:val="000000"/>
                <w:kern w:val="0"/>
                <w:sz w:val="21"/>
                <w:szCs w:val="21"/>
                <w:lang w:val="en-US" w:eastAsia="zh-CN"/>
              </w:rPr>
              <w:t>3</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等级保护第三方测评费</w:t>
            </w:r>
          </w:p>
        </w:tc>
        <w:tc>
          <w:tcPr>
            <w:tcW w:w="48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20</w:t>
            </w: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20</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lang w:val="en-US" w:eastAsia="zh-CN"/>
              </w:rPr>
              <w:t>4</w:t>
            </w:r>
            <w:r>
              <w:rPr>
                <w:rFonts w:hint="eastAsia" w:ascii="宋体" w:hAnsi="宋体" w:cs="宋体"/>
                <w:color w:val="000000"/>
                <w:kern w:val="0"/>
                <w:sz w:val="21"/>
                <w:szCs w:val="21"/>
              </w:rPr>
              <w:t xml:space="preserve"> </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密码应用安全性评估费</w:t>
            </w:r>
          </w:p>
        </w:tc>
        <w:tc>
          <w:tcPr>
            <w:tcW w:w="48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12</w:t>
            </w: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ind w:left="0" w:leftChars="0" w:firstLine="0" w:firstLineChars="0"/>
              <w:jc w:val="center"/>
              <w:textAlignment w:val="center"/>
              <w:rPr>
                <w:rFonts w:ascii="宋体" w:hAnsi="宋体" w:cs="宋体"/>
                <w:color w:val="000000"/>
                <w:kern w:val="0"/>
                <w:sz w:val="21"/>
                <w:szCs w:val="21"/>
              </w:rPr>
            </w:pPr>
            <w:r>
              <w:rPr>
                <w:rFonts w:hint="eastAsia" w:ascii="宋体" w:hAnsi="宋体" w:eastAsia="宋体" w:cs="宋体"/>
                <w:i w:val="0"/>
                <w:iCs w:val="0"/>
                <w:color w:val="000000"/>
                <w:kern w:val="0"/>
                <w:sz w:val="21"/>
                <w:szCs w:val="21"/>
                <w:u w:val="none"/>
                <w:lang w:val="en-US" w:eastAsia="zh-CN" w:bidi="ar"/>
              </w:rPr>
              <w:t>12</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三</w:t>
            </w: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基本预备费</w:t>
            </w:r>
          </w:p>
        </w:tc>
        <w:tc>
          <w:tcPr>
            <w:tcW w:w="48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cs="宋体"/>
                <w:color w:val="000000"/>
                <w:kern w:val="0"/>
                <w:sz w:val="21"/>
                <w:szCs w:val="21"/>
                <w:lang w:val="en-US" w:eastAsia="zh-CN"/>
              </w:rPr>
              <w:t>15</w:t>
            </w:r>
          </w:p>
        </w:tc>
      </w:tr>
      <w:tr>
        <w:tblPrEx>
          <w:tblCellMar>
            <w:top w:w="0" w:type="dxa"/>
            <w:left w:w="108" w:type="dxa"/>
            <w:bottom w:w="0" w:type="dxa"/>
            <w:right w:w="108" w:type="dxa"/>
          </w:tblCellMar>
        </w:tblPrEx>
        <w:trPr>
          <w:trHeight w:val="400" w:hRule="atLeast"/>
        </w:trPr>
        <w:tc>
          <w:tcPr>
            <w:tcW w:w="558"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1483"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r>
              <w:rPr>
                <w:rFonts w:hint="eastAsia" w:ascii="宋体" w:hAnsi="宋体" w:cs="宋体"/>
                <w:color w:val="000000"/>
                <w:kern w:val="0"/>
                <w:sz w:val="21"/>
                <w:szCs w:val="21"/>
              </w:rPr>
              <w:t>项目总投资</w:t>
            </w:r>
          </w:p>
        </w:tc>
        <w:tc>
          <w:tcPr>
            <w:tcW w:w="48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657"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5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56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ascii="宋体" w:hAnsi="宋体" w:cs="宋体"/>
                <w:color w:val="000000"/>
                <w:kern w:val="0"/>
                <w:sz w:val="21"/>
                <w:szCs w:val="21"/>
              </w:rPr>
            </w:pPr>
          </w:p>
        </w:tc>
        <w:tc>
          <w:tcPr>
            <w:tcW w:w="701"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default" w:ascii="宋体" w:hAnsi="宋体" w:eastAsia="宋体" w:cs="宋体"/>
                <w:color w:val="000000"/>
                <w:kern w:val="0"/>
                <w:sz w:val="21"/>
                <w:szCs w:val="21"/>
                <w:lang w:val="en-US" w:eastAsia="zh-CN"/>
              </w:rPr>
            </w:pPr>
            <w:r>
              <w:rPr>
                <w:rFonts w:hint="eastAsia" w:ascii="宋体" w:hAnsi="宋体" w:cs="宋体"/>
                <w:color w:val="000000"/>
                <w:kern w:val="0"/>
                <w:sz w:val="21"/>
                <w:szCs w:val="21"/>
                <w:lang w:val="en-US" w:eastAsia="zh-CN"/>
              </w:rPr>
              <w:t>417.55</w:t>
            </w:r>
          </w:p>
        </w:tc>
      </w:tr>
    </w:tbl>
    <w:p>
      <w:pPr>
        <w:pStyle w:val="14"/>
        <w:ind w:firstLine="480"/>
      </w:pPr>
    </w:p>
    <w:p/>
    <w:p>
      <w:pPr>
        <w:pStyle w:val="14"/>
        <w:ind w:firstLine="480"/>
      </w:pPr>
    </w:p>
    <w:p>
      <w:pPr>
        <w:rPr>
          <w:rFonts w:ascii="新宋体" w:hAnsi="新宋体" w:eastAsia="新宋体"/>
        </w:rPr>
      </w:pPr>
    </w:p>
    <w:p>
      <w:pPr>
        <w:rPr>
          <w:rFonts w:ascii="新宋体" w:hAnsi="新宋体" w:eastAsia="新宋体"/>
        </w:rPr>
      </w:pPr>
    </w:p>
    <w:bookmarkEnd w:id="298"/>
    <w:p>
      <w:pPr>
        <w:rPr>
          <w:rFonts w:ascii="新宋体" w:hAnsi="新宋体" w:eastAsia="新宋体"/>
        </w:rPr>
        <w:sectPr>
          <w:pgSz w:w="11906" w:h="16838"/>
          <w:pgMar w:top="1440" w:right="1406" w:bottom="1440" w:left="1746" w:header="851" w:footer="992" w:gutter="0"/>
          <w:cols w:space="425" w:num="1"/>
          <w:docGrid w:type="lines" w:linePitch="312" w:charSpace="0"/>
        </w:sectPr>
      </w:pPr>
    </w:p>
    <w:p>
      <w:pPr>
        <w:pStyle w:val="2"/>
        <w:numPr>
          <w:ilvl w:val="0"/>
          <w:numId w:val="0"/>
        </w:numPr>
        <w:rPr>
          <w:rFonts w:hint="eastAsia"/>
        </w:rPr>
      </w:pPr>
      <w:bookmarkStart w:id="452" w:name="_Toc26728"/>
      <w:bookmarkStart w:id="453" w:name="_Toc530561105"/>
      <w:bookmarkStart w:id="454" w:name="_Toc99093090"/>
      <w:r>
        <w:rPr>
          <w:rFonts w:hint="eastAsia"/>
        </w:rPr>
        <w:t>附表2应用系统软件开发工作量清单</w:t>
      </w:r>
      <w:bookmarkEnd w:id="452"/>
    </w:p>
    <w:tbl>
      <w:tblPr>
        <w:tblStyle w:val="30"/>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51"/>
        <w:gridCol w:w="2805"/>
        <w:gridCol w:w="845"/>
        <w:gridCol w:w="845"/>
        <w:gridCol w:w="857"/>
        <w:gridCol w:w="846"/>
        <w:gridCol w:w="864"/>
        <w:gridCol w:w="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序号</w:t>
            </w:r>
          </w:p>
        </w:tc>
        <w:tc>
          <w:tcPr>
            <w:tcW w:w="1565"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应用系</w:t>
            </w:r>
          </w:p>
        </w:tc>
        <w:tc>
          <w:tcPr>
            <w:tcW w:w="1422" w:type="pct"/>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工程量核算（人月数）</w:t>
            </w:r>
          </w:p>
        </w:tc>
        <w:tc>
          <w:tcPr>
            <w:tcW w:w="472" w:type="pct"/>
            <w:vMerge w:val="restart"/>
            <w:tcBorders>
              <w:top w:val="single" w:color="000000" w:sz="4" w:space="0"/>
              <w:left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工作量估算</w:t>
            </w:r>
          </w:p>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（人月）</w:t>
            </w:r>
          </w:p>
        </w:tc>
        <w:tc>
          <w:tcPr>
            <w:tcW w:w="479"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人月单价（元）</w:t>
            </w:r>
          </w:p>
        </w:tc>
        <w:tc>
          <w:tcPr>
            <w:tcW w:w="530" w:type="pct"/>
            <w:vMerge w:val="restart"/>
            <w:tcBorders>
              <w:top w:val="single" w:color="000000" w:sz="4" w:space="0"/>
              <w:left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合计</w:t>
            </w:r>
          </w:p>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1565"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需求分析/建模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程序开发</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软件测试</w:t>
            </w:r>
          </w:p>
        </w:tc>
        <w:tc>
          <w:tcPr>
            <w:tcW w:w="472" w:type="pct"/>
            <w:vMerge w:val="continue"/>
            <w:tcBorders>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vMerge w:val="continue"/>
            <w:tcBorders>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000" w:type="pct"/>
            <w:gridSpan w:val="8"/>
            <w:tcBorders>
              <w:top w:val="single" w:color="000000" w:sz="4" w:space="0"/>
              <w:left w:val="single" w:color="000000" w:sz="4" w:space="0"/>
              <w:bottom w:val="single" w:color="000000" w:sz="4" w:space="0"/>
              <w:right w:val="single" w:color="000000" w:sz="4" w:space="0"/>
            </w:tcBorders>
            <w:shd w:val="clear" w:color="auto" w:fill="D9D9D9"/>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一、数据质量综合管理平台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469" w:type="pct"/>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数据质量检查资源规划与设计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检查规则梳理与设计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完整性检查规则设计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准确性检查规则设计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规范性检查规则设计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数据完整性检查规则设计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真实性检查规则设计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数据质量检查信息库建设</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检查清单信息库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检查结果信息库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分析主题信息库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问题数据清单信息库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知识信息库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模型设计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数据质量评价模型设计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数据质量工作考核模型设计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支撑平台建设</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数据质量检查组件</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空值检查组件</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重复数据检查组件</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及时性检查组件</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规范性检查组件</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完整性检查组件</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2.1.6</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域值检查组件</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2.1.7</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准确性检查组件</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应用系统建设</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数据质量服务门户</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单点登录及认证</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工作台</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系统管理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3.1.3.1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用户管理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3.1.3.2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机构管理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3.1.3.3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角色管理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3.1.3.4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权限管理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3.1.3.5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菜单管理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3.1.3.6</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安全审计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数据接入管理系统</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3.2.1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3.2.2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表/视图结构管理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数据质量检查系统</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3.3.1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检查模型管理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3.3.2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检查任务调度</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3.3.3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检查任务监控</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3.3.4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检查结果管理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数据质量评价系统</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3.4.1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评价指标</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3.4.2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评价模型</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3.4.3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评价结果</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0.8</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数据质量分析系统</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综合分析</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数据质量整体概况</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检查结果分析</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数据质量检查结果查询</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分析报告</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3.5.2.1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检查分析报告</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3.5.2.2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质量评价报告</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3.6</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数据质量问题处理系统</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3.6.1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任务管理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3.6.2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线索管理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3.6.3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分发认领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3.6.4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处理反馈</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3.7</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知识库管理平台系统</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3.7.1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知识采集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3.7.2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知识审核</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3.7.3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知识查询</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4469" w:type="pct"/>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合计</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000" w:type="pct"/>
            <w:gridSpan w:val="8"/>
            <w:tcBorders>
              <w:top w:val="single" w:color="000000" w:sz="4" w:space="0"/>
              <w:left w:val="single" w:color="000000" w:sz="4" w:space="0"/>
              <w:bottom w:val="single" w:color="000000" w:sz="4" w:space="0"/>
              <w:right w:val="single" w:color="000000" w:sz="4" w:space="0"/>
            </w:tcBorders>
            <w:shd w:val="clear" w:color="auto" w:fill="D9D9D9"/>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二、监管大脑主题库应用平台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业务主题库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市场主体主题库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市场主体主题库构建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市场主体数据源管理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市场主体数据汇聚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市场主体数据处理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市场主体数据治理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企业发展指数主题库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企业发展主题库构建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企业发展数据源管理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企业发展数据汇聚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企业发展数据处理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企业发展数据治理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企业生存状况主题库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企业生存状况主题库构建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企业生存状况数据源管理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企业生存状况数据汇聚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企业生存状况数据处理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企业生存状况数据治理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企业外来投资主题库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企业外来投资主题库构建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企业外来投资数据源管理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企业外来投资数据汇聚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企业外来投资数据处理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企业外来投资数据治理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创业主题库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创业主题库构建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创业数据源管理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创业数据汇聚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创业数据处理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创业数据治理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企业活跃度主题库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企业活跃度主题库构建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企业活跃度数据源管理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企业活跃度数据汇聚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企业活跃度数据处理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企业活跃度数据治理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1.7</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小微企业扶持主题库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1.7.1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小微企业扶持主题库构建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1.7.2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小微企业扶持数据源管理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1.7.3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小微企业扶持数据汇聚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1.7.4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小微企业扶持数据处理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1.7.5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小微企业扶持数据治理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企业年报分析主题库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企业年报分析主题库构建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企业年报分析主数据源管理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企业年报分析主数据汇聚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企业年报分析主数据处理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企业年报分析主数据治理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1.9</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主体抽查主题库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1.9.1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主体抽查主题库构建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1.9.2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主体抽查数据源管理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1.9.3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主体抽查数据汇聚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1.9.4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主体抽查数据处理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1.9.5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主体抽查数据治理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经营异常名录主题库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1.10.1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经营异常名录主题库构建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1.10.2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经营异常名录数据源管理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1.10.3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经营异常名录数据汇聚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1.10.4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经营异常名录数据处理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1.10.5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经营异常名录数据治理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失联企业主题库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失联企业主题库构建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失联企业数据源管理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失联企业数据汇聚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失联企业数据处理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1.11.5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失联企业数据治理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风险监管主题库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风险监管主题库构建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风险监管数据源管理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风险监管数据汇聚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风险监管数据处理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1.12.5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风险监管数据治理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类金融企业主题库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类金融企业主题库构建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类金融企业数据源管理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类金融企业数据汇聚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类金融企业数据处理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1.13.5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类金融企业数据治理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纳税异常主题库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纳税异常主题库构建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纳税异常数据源管理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纳税异常数据汇聚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纳税异常数据处理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1.14.5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纳税异常数据治理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企业族谱主题库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企业族谱主主题库构建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企业族谱数据源管理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企业族谱数据汇聚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企业族谱数据处理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1.15.5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企业族谱数据治理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1.16</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消费维权主题库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1.16.1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消费维权主题库构建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1.16.2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消费维权数据源管理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1.16.3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消费维权数据汇聚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1.16.4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消费维权数据处理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1.16.5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消费维权数据治理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1.17</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失信被执行人主题库</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1.17.1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失信被执行人主题库构建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1.17.2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失信被执行人数据源管理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1.17.3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失信被执行人数据汇聚</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1.17.4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失信被执行人数据处理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1.17.5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失信被执行人数据治理</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监管大脑主题</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首页</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48000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政务服务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创新发展</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80000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效能督察</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食品安全</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2.6</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放心消费</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2.7</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执法办案</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4469" w:type="pct"/>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合计</w:t>
            </w:r>
            <w:r>
              <w:rPr>
                <w:rFonts w:hint="default" w:ascii="宋体" w:hAnsi="宋体" w:eastAsia="宋体" w:cs="宋体"/>
                <w:color w:val="000000"/>
                <w:kern w:val="0"/>
                <w:sz w:val="21"/>
                <w:szCs w:val="21"/>
                <w:lang w:val="en-US" w:eastAsia="zh-CN"/>
              </w:rPr>
              <w:t xml:space="preserve"> </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1176000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000" w:type="pct"/>
            <w:gridSpan w:val="8"/>
            <w:tcBorders>
              <w:top w:val="single" w:color="000000" w:sz="4" w:space="0"/>
              <w:left w:val="single" w:color="000000" w:sz="4" w:space="0"/>
              <w:bottom w:val="single" w:color="000000" w:sz="4" w:space="0"/>
              <w:right w:val="single" w:color="000000" w:sz="4" w:space="0"/>
            </w:tcBorders>
            <w:shd w:val="clear" w:color="auto" w:fill="D9D9D9"/>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三、证照库平台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电子证照生成</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新增照面信息</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修改照面信息</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删除照面信息</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查看照面信息</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生成电子证照</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1.6</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查看电子证照</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0.2</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电子证照共享至省政务服务网</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2.1</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电子证照检索服务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0.4</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12000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2.2</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基于持证主体代码下载服务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基于证照标识下载服务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基于持证主体代码信息获取服务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基于证照标识信息获取服务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2.6</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电子证照信息验证服务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2.7</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证照类型获取服务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2.8</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Token获取服务</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0.5</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总局数据中心上报</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0.6</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4</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查询统计以及监控功能</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0.9</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1.8</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5</w:t>
            </w:r>
          </w:p>
        </w:tc>
        <w:tc>
          <w:tcPr>
            <w:tcW w:w="1565"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电子证照公示</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0.1</w:t>
            </w:r>
          </w:p>
        </w:tc>
        <w:tc>
          <w:tcPr>
            <w:tcW w:w="476"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0.05</w:t>
            </w:r>
          </w:p>
        </w:tc>
        <w:tc>
          <w:tcPr>
            <w:tcW w:w="472"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0.3</w:t>
            </w:r>
          </w:p>
        </w:tc>
        <w:tc>
          <w:tcPr>
            <w:tcW w:w="479"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20000</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6000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00" w:hRule="atLeast"/>
        </w:trPr>
        <w:tc>
          <w:tcPr>
            <w:tcW w:w="4469" w:type="pct"/>
            <w:gridSpan w:val="7"/>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合计</w:t>
            </w:r>
          </w:p>
        </w:tc>
        <w:tc>
          <w:tcPr>
            <w:tcW w:w="530" w:type="pct"/>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spacing w:line="240" w:lineRule="auto"/>
              <w:ind w:firstLine="0" w:firstLineChars="0"/>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lang w:val="en-US" w:eastAsia="zh-CN"/>
              </w:rPr>
              <w:t>788000</w:t>
            </w:r>
          </w:p>
        </w:tc>
      </w:tr>
    </w:tbl>
    <w:p>
      <w:pPr>
        <w:rPr>
          <w:rFonts w:hint="eastAsia"/>
        </w:rPr>
      </w:pPr>
    </w:p>
    <w:p/>
    <w:bookmarkEnd w:id="453"/>
    <w:bookmarkEnd w:id="454"/>
    <w:p/>
    <w:sectPr>
      <w:pgSz w:w="11906" w:h="16838"/>
      <w:pgMar w:top="1440" w:right="1406" w:bottom="1440" w:left="1746" w:header="851" w:footer="992" w:gutter="0"/>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34"/>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00" w:usb3="00000000" w:csb0="00040000"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after="12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 w:val="21"/>
      </w:rPr>
    </w:pPr>
    <w:r>
      <w:rPr>
        <w:rFonts w:hint="eastAsia"/>
        <w:sz w:val="21"/>
      </w:rPr>
      <w:t>第</w:t>
    </w:r>
    <w:sdt>
      <w:sdtPr>
        <w:rPr>
          <w:sz w:val="21"/>
        </w:rPr>
        <w:id w:val="-1498189540"/>
      </w:sdtPr>
      <w:sdtEndPr>
        <w:rPr>
          <w:sz w:val="21"/>
        </w:rPr>
      </w:sdtEndPr>
      <w:sdtContent>
        <w:r>
          <w:rPr>
            <w:sz w:val="21"/>
          </w:rPr>
          <w:fldChar w:fldCharType="begin"/>
        </w:r>
        <w:r>
          <w:rPr>
            <w:sz w:val="21"/>
          </w:rPr>
          <w:instrText xml:space="preserve">PAGE   \* MERGEFORMAT</w:instrText>
        </w:r>
        <w:r>
          <w:rPr>
            <w:sz w:val="21"/>
          </w:rPr>
          <w:fldChar w:fldCharType="separate"/>
        </w:r>
        <w:r>
          <w:rPr>
            <w:sz w:val="21"/>
            <w:lang w:val="zh-CN"/>
          </w:rPr>
          <w:t>IV</w:t>
        </w:r>
        <w:r>
          <w:rPr>
            <w:sz w:val="21"/>
          </w:rPr>
          <w:fldChar w:fldCharType="end"/>
        </w:r>
        <w:r>
          <w:rPr>
            <w:rFonts w:hint="eastAsia"/>
            <w:sz w:val="21"/>
          </w:rPr>
          <w:t>页</w:t>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single" w:color="auto" w:sz="4" w:space="0"/>
      </w:pBdr>
      <w:ind w:firstLine="0" w:firstLineChars="0"/>
      <w:jc w:val="center"/>
      <w:rPr>
        <w:sz w:val="24"/>
        <w:szCs w:val="22"/>
      </w:rPr>
    </w:pPr>
    <w:r>
      <w:rPr>
        <w:rFonts w:hint="eastAsia"/>
        <w:sz w:val="24"/>
        <w:szCs w:val="22"/>
      </w:rPr>
      <w:t>第</w:t>
    </w:r>
    <w:sdt>
      <w:sdtPr>
        <w:rPr>
          <w:sz w:val="24"/>
          <w:szCs w:val="22"/>
        </w:rPr>
        <w:id w:val="-1821269358"/>
      </w:sdtPr>
      <w:sdtEndPr>
        <w:rPr>
          <w:sz w:val="24"/>
          <w:szCs w:val="22"/>
        </w:rPr>
      </w:sdtEndPr>
      <w:sdtContent>
        <w:r>
          <w:rPr>
            <w:sz w:val="24"/>
            <w:szCs w:val="22"/>
          </w:rPr>
          <w:fldChar w:fldCharType="begin"/>
        </w:r>
        <w:r>
          <w:rPr>
            <w:sz w:val="24"/>
            <w:szCs w:val="22"/>
          </w:rPr>
          <w:instrText xml:space="preserve">PAGE   \* MERGEFORMAT</w:instrText>
        </w:r>
        <w:r>
          <w:rPr>
            <w:sz w:val="24"/>
            <w:szCs w:val="22"/>
          </w:rPr>
          <w:fldChar w:fldCharType="separate"/>
        </w:r>
        <w:r>
          <w:rPr>
            <w:sz w:val="24"/>
            <w:szCs w:val="22"/>
            <w:lang w:val="zh-CN"/>
          </w:rPr>
          <w:t>208</w:t>
        </w:r>
        <w:r>
          <w:rPr>
            <w:sz w:val="24"/>
            <w:szCs w:val="22"/>
          </w:rPr>
          <w:fldChar w:fldCharType="end"/>
        </w:r>
      </w:sdtContent>
    </w:sdt>
    <w:r>
      <w:rPr>
        <w:rFonts w:hint="eastAsia"/>
        <w:sz w:val="24"/>
        <w:szCs w:val="2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keepNext w:val="0"/>
      <w:keepLines w:val="0"/>
      <w:pageBreakBefore w:val="0"/>
      <w:widowControl/>
      <w:pBdr>
        <w:bottom w:val="single" w:color="auto" w:sz="4" w:space="0"/>
      </w:pBdr>
      <w:kinsoku/>
      <w:wordWrap/>
      <w:overflowPunct/>
      <w:topLinePunct w:val="0"/>
      <w:autoSpaceDE/>
      <w:autoSpaceDN/>
      <w:bidi w:val="0"/>
      <w:adjustRightInd/>
      <w:snapToGrid/>
      <w:spacing w:before="0" w:beforeLines="0" w:after="0" w:afterLines="0" w:line="240" w:lineRule="auto"/>
      <w:ind w:firstLine="480"/>
      <w:jc w:val="right"/>
      <w:textAlignment w:val="auto"/>
    </w:pPr>
    <w:r>
      <w:rPr>
        <w:rFonts w:hint="eastAsia"/>
      </w:rPr>
      <w:t>黑龙江省市场监督管理局2022年度政务服务整合融合项目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120"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Bdr>
        <w:bottom w:val="single" w:color="auto" w:sz="4" w:space="0"/>
      </w:pBdr>
      <w:spacing w:before="156" w:after="156"/>
      <w:jc w:val="right"/>
    </w:pPr>
    <w:r>
      <w:rPr>
        <w:rFonts w:hint="eastAsia"/>
      </w:rPr>
      <w:t>黑龙江省市场监督管理局2022年度政务服务整合融合项目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line="240" w:lineRule="auto"/>
      <w:ind w:firstLine="440"/>
      <w:jc w:val="right"/>
      <w:rPr>
        <w:rFonts w:ascii="宋体" w:hAnsi="宋体"/>
        <w:sz w:val="22"/>
      </w:rPr>
    </w:pPr>
    <w:r>
      <w:rPr>
        <w:rFonts w:hint="eastAsia" w:ascii="宋体" w:hAnsi="宋体"/>
        <w:sz w:val="22"/>
      </w:rPr>
      <w:t>黑龙江省市场监督管理局</w:t>
    </w:r>
    <w:r>
      <w:rPr>
        <w:rFonts w:ascii="宋体" w:hAnsi="宋体"/>
        <w:sz w:val="22"/>
      </w:rPr>
      <w:t>2022年主题库证照库项目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255E00"/>
    <w:multiLevelType w:val="singleLevel"/>
    <w:tmpl w:val="ED255E00"/>
    <w:lvl w:ilvl="0" w:tentative="0">
      <w:start w:val="2"/>
      <w:numFmt w:val="decimal"/>
      <w:suff w:val="space"/>
      <w:lvlText w:val="%1."/>
      <w:lvlJc w:val="left"/>
    </w:lvl>
  </w:abstractNum>
  <w:abstractNum w:abstractNumId="1">
    <w:nsid w:val="ED3922FF"/>
    <w:multiLevelType w:val="singleLevel"/>
    <w:tmpl w:val="ED3922FF"/>
    <w:lvl w:ilvl="0" w:tentative="0">
      <w:start w:val="2"/>
      <w:numFmt w:val="decimal"/>
      <w:lvlText w:val="%1."/>
      <w:lvlJc w:val="left"/>
      <w:pPr>
        <w:tabs>
          <w:tab w:val="left" w:pos="312"/>
        </w:tabs>
      </w:pPr>
    </w:lvl>
  </w:abstractNum>
  <w:abstractNum w:abstractNumId="2">
    <w:nsid w:val="4F88541A"/>
    <w:multiLevelType w:val="multilevel"/>
    <w:tmpl w:val="4F88541A"/>
    <w:lvl w:ilvl="0" w:tentative="0">
      <w:start w:val="1"/>
      <w:numFmt w:val="chineseCountingThousand"/>
      <w:pStyle w:val="2"/>
      <w:lvlText w:val="第%1章."/>
      <w:lvlJc w:val="left"/>
      <w:pPr>
        <w:ind w:left="720" w:firstLine="0"/>
      </w:pPr>
      <w:rPr>
        <w:rFonts w:hint="eastAsia"/>
      </w:rPr>
    </w:lvl>
    <w:lvl w:ilvl="1" w:tentative="0">
      <w:start w:val="1"/>
      <w:numFmt w:val="decimal"/>
      <w:pStyle w:val="3"/>
      <w:isLgl/>
      <w:lvlText w:val="%1.%2."/>
      <w:lvlJc w:val="left"/>
      <w:pPr>
        <w:ind w:left="0" w:firstLine="0"/>
      </w:pPr>
      <w:rPr>
        <w:rFonts w:hint="eastAsia"/>
      </w:rPr>
    </w:lvl>
    <w:lvl w:ilvl="2" w:tentative="0">
      <w:start w:val="1"/>
      <w:numFmt w:val="decimal"/>
      <w:pStyle w:val="4"/>
      <w:isLgl/>
      <w:lvlText w:val="%1.%2.%3."/>
      <w:lvlJc w:val="left"/>
      <w:pPr>
        <w:ind w:left="240" w:firstLine="0"/>
      </w:pPr>
      <w:rPr>
        <w:rFonts w:hint="eastAsia"/>
      </w:rPr>
    </w:lvl>
    <w:lvl w:ilvl="3" w:tentative="0">
      <w:start w:val="1"/>
      <w:numFmt w:val="decimal"/>
      <w:pStyle w:val="5"/>
      <w:isLgl/>
      <w:lvlText w:val="%1.%2.%3.%4."/>
      <w:lvlJc w:val="left"/>
      <w:pPr>
        <w:ind w:left="0" w:firstLine="0"/>
      </w:pPr>
      <w:rPr>
        <w:rFonts w:hint="default" w:ascii="仿宋" w:hAnsi="仿宋" w:eastAsia="仿宋" w:cs="Calibri"/>
      </w:rPr>
    </w:lvl>
    <w:lvl w:ilvl="4" w:tentative="0">
      <w:start w:val="1"/>
      <w:numFmt w:val="decimal"/>
      <w:pStyle w:val="6"/>
      <w:isLgl/>
      <w:lvlText w:val="%1.%2.%3.%4.%5."/>
      <w:lvlJc w:val="left"/>
      <w:pPr>
        <w:ind w:left="0" w:firstLine="0"/>
      </w:pPr>
      <w:rPr>
        <w:rFonts w:hint="default" w:ascii="Calibri" w:hAnsi="Calibri" w:cs="Calibri"/>
      </w:rPr>
    </w:lvl>
    <w:lvl w:ilvl="5" w:tentative="0">
      <w:start w:val="1"/>
      <w:numFmt w:val="decimal"/>
      <w:pStyle w:val="7"/>
      <w:isLgl/>
      <w:lvlText w:val="%1.%2.%3.%4.%5.%6."/>
      <w:lvlJc w:val="left"/>
      <w:pPr>
        <w:ind w:left="0" w:firstLine="0"/>
      </w:pPr>
      <w:rPr>
        <w:rFonts w:hint="default" w:ascii="Calibri" w:hAnsi="Calibri" w:cs="Calibri"/>
      </w:rPr>
    </w:lvl>
    <w:lvl w:ilvl="6" w:tentative="0">
      <w:start w:val="1"/>
      <w:numFmt w:val="decimal"/>
      <w:pStyle w:val="8"/>
      <w:isLgl/>
      <w:lvlText w:val="%1.%2.%3.%4.%5.%6.%7."/>
      <w:lvlJc w:val="left"/>
      <w:pPr>
        <w:ind w:left="0" w:firstLine="0"/>
      </w:pPr>
      <w:rPr>
        <w:rFonts w:hint="default" w:ascii="Calibri" w:hAnsi="Calibri" w:cs="Calibri"/>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E2NzAwNWNiM2EwZWQ0MDNjMDVlZjNiNTBhM2ZjZDAifQ=="/>
  </w:docVars>
  <w:rsids>
    <w:rsidRoot w:val="00BC0704"/>
    <w:rsid w:val="0000125D"/>
    <w:rsid w:val="0000423D"/>
    <w:rsid w:val="0000663E"/>
    <w:rsid w:val="00007B19"/>
    <w:rsid w:val="00007BE4"/>
    <w:rsid w:val="00025D2A"/>
    <w:rsid w:val="0002790E"/>
    <w:rsid w:val="00027CA4"/>
    <w:rsid w:val="000310A3"/>
    <w:rsid w:val="00034C11"/>
    <w:rsid w:val="00034E6B"/>
    <w:rsid w:val="0003647B"/>
    <w:rsid w:val="00041644"/>
    <w:rsid w:val="00051ADA"/>
    <w:rsid w:val="000604AC"/>
    <w:rsid w:val="00061490"/>
    <w:rsid w:val="0006229C"/>
    <w:rsid w:val="000709F6"/>
    <w:rsid w:val="00076C18"/>
    <w:rsid w:val="000800FF"/>
    <w:rsid w:val="00080A60"/>
    <w:rsid w:val="00080C19"/>
    <w:rsid w:val="00082DCD"/>
    <w:rsid w:val="00085045"/>
    <w:rsid w:val="00087DEA"/>
    <w:rsid w:val="0009799B"/>
    <w:rsid w:val="000A3837"/>
    <w:rsid w:val="000A3BEF"/>
    <w:rsid w:val="000A58BE"/>
    <w:rsid w:val="000A7D4B"/>
    <w:rsid w:val="000B26C7"/>
    <w:rsid w:val="000B53C8"/>
    <w:rsid w:val="000B7E05"/>
    <w:rsid w:val="000C52D5"/>
    <w:rsid w:val="000C7481"/>
    <w:rsid w:val="000D2A1E"/>
    <w:rsid w:val="000D2C3E"/>
    <w:rsid w:val="000D389A"/>
    <w:rsid w:val="000D48E5"/>
    <w:rsid w:val="000D4AAE"/>
    <w:rsid w:val="000D6F9E"/>
    <w:rsid w:val="000F270B"/>
    <w:rsid w:val="000F44BB"/>
    <w:rsid w:val="00105A64"/>
    <w:rsid w:val="00105B96"/>
    <w:rsid w:val="00106215"/>
    <w:rsid w:val="00107F7D"/>
    <w:rsid w:val="0011370E"/>
    <w:rsid w:val="00113A50"/>
    <w:rsid w:val="00116BE9"/>
    <w:rsid w:val="00125751"/>
    <w:rsid w:val="00127029"/>
    <w:rsid w:val="001277E4"/>
    <w:rsid w:val="0013007E"/>
    <w:rsid w:val="001303EF"/>
    <w:rsid w:val="00150FDD"/>
    <w:rsid w:val="00155024"/>
    <w:rsid w:val="001571FB"/>
    <w:rsid w:val="001602A0"/>
    <w:rsid w:val="00161730"/>
    <w:rsid w:val="001748EA"/>
    <w:rsid w:val="00177984"/>
    <w:rsid w:val="0018104E"/>
    <w:rsid w:val="00181FAF"/>
    <w:rsid w:val="00184EB5"/>
    <w:rsid w:val="00186954"/>
    <w:rsid w:val="00191CE7"/>
    <w:rsid w:val="00193992"/>
    <w:rsid w:val="001A1ADB"/>
    <w:rsid w:val="001A2161"/>
    <w:rsid w:val="001A3BE6"/>
    <w:rsid w:val="001A4ABD"/>
    <w:rsid w:val="001A7466"/>
    <w:rsid w:val="001B172A"/>
    <w:rsid w:val="001B1BE2"/>
    <w:rsid w:val="001B2B11"/>
    <w:rsid w:val="001B6082"/>
    <w:rsid w:val="001B7C2D"/>
    <w:rsid w:val="001B7FCB"/>
    <w:rsid w:val="001C0F53"/>
    <w:rsid w:val="001D08E5"/>
    <w:rsid w:val="001D63A9"/>
    <w:rsid w:val="001D671D"/>
    <w:rsid w:val="001D68B2"/>
    <w:rsid w:val="001E78B5"/>
    <w:rsid w:val="001F5B54"/>
    <w:rsid w:val="001F6BC8"/>
    <w:rsid w:val="001F774B"/>
    <w:rsid w:val="00206CBD"/>
    <w:rsid w:val="00211D05"/>
    <w:rsid w:val="00217CDA"/>
    <w:rsid w:val="0022002F"/>
    <w:rsid w:val="00225EA2"/>
    <w:rsid w:val="00235E24"/>
    <w:rsid w:val="00236043"/>
    <w:rsid w:val="002370BC"/>
    <w:rsid w:val="0023716A"/>
    <w:rsid w:val="002372AB"/>
    <w:rsid w:val="0023737F"/>
    <w:rsid w:val="00237866"/>
    <w:rsid w:val="002445C4"/>
    <w:rsid w:val="00277F5A"/>
    <w:rsid w:val="00280596"/>
    <w:rsid w:val="002814C7"/>
    <w:rsid w:val="00284039"/>
    <w:rsid w:val="00294058"/>
    <w:rsid w:val="002953C2"/>
    <w:rsid w:val="002969B5"/>
    <w:rsid w:val="002A1344"/>
    <w:rsid w:val="002A3973"/>
    <w:rsid w:val="002B20F0"/>
    <w:rsid w:val="002B6022"/>
    <w:rsid w:val="002C27D5"/>
    <w:rsid w:val="002C32E0"/>
    <w:rsid w:val="002C3E48"/>
    <w:rsid w:val="002C5FDA"/>
    <w:rsid w:val="002D3EBC"/>
    <w:rsid w:val="002D55FB"/>
    <w:rsid w:val="002D7D63"/>
    <w:rsid w:val="002E191C"/>
    <w:rsid w:val="002E535D"/>
    <w:rsid w:val="002F1062"/>
    <w:rsid w:val="002F2BDB"/>
    <w:rsid w:val="002F4F23"/>
    <w:rsid w:val="003053AC"/>
    <w:rsid w:val="00311FB0"/>
    <w:rsid w:val="0031501E"/>
    <w:rsid w:val="00316160"/>
    <w:rsid w:val="00317D92"/>
    <w:rsid w:val="00321C69"/>
    <w:rsid w:val="0032581C"/>
    <w:rsid w:val="0033525C"/>
    <w:rsid w:val="0033606D"/>
    <w:rsid w:val="003364D5"/>
    <w:rsid w:val="0035288F"/>
    <w:rsid w:val="003575F1"/>
    <w:rsid w:val="003635BB"/>
    <w:rsid w:val="00363606"/>
    <w:rsid w:val="0036542A"/>
    <w:rsid w:val="0037222F"/>
    <w:rsid w:val="0037547E"/>
    <w:rsid w:val="00381F51"/>
    <w:rsid w:val="0038485A"/>
    <w:rsid w:val="003856DD"/>
    <w:rsid w:val="00387AFC"/>
    <w:rsid w:val="003925E0"/>
    <w:rsid w:val="003B106B"/>
    <w:rsid w:val="003B5653"/>
    <w:rsid w:val="003B63B1"/>
    <w:rsid w:val="003C5E22"/>
    <w:rsid w:val="003D0C03"/>
    <w:rsid w:val="003D15CC"/>
    <w:rsid w:val="003D1EF7"/>
    <w:rsid w:val="003D50D9"/>
    <w:rsid w:val="003E20FA"/>
    <w:rsid w:val="003E28C1"/>
    <w:rsid w:val="003E5360"/>
    <w:rsid w:val="003E6144"/>
    <w:rsid w:val="003F0AB1"/>
    <w:rsid w:val="003F1B9E"/>
    <w:rsid w:val="00401499"/>
    <w:rsid w:val="00401BBD"/>
    <w:rsid w:val="00411B1B"/>
    <w:rsid w:val="00414353"/>
    <w:rsid w:val="00415311"/>
    <w:rsid w:val="00415A3D"/>
    <w:rsid w:val="00417651"/>
    <w:rsid w:val="00422466"/>
    <w:rsid w:val="00430DEF"/>
    <w:rsid w:val="00431582"/>
    <w:rsid w:val="004354E4"/>
    <w:rsid w:val="004365AE"/>
    <w:rsid w:val="00436ECF"/>
    <w:rsid w:val="00446EB2"/>
    <w:rsid w:val="0045294E"/>
    <w:rsid w:val="00456989"/>
    <w:rsid w:val="00456B1C"/>
    <w:rsid w:val="004576A7"/>
    <w:rsid w:val="00461620"/>
    <w:rsid w:val="004618A9"/>
    <w:rsid w:val="00463589"/>
    <w:rsid w:val="00465BA0"/>
    <w:rsid w:val="0046669E"/>
    <w:rsid w:val="00467361"/>
    <w:rsid w:val="00467AB1"/>
    <w:rsid w:val="0047151A"/>
    <w:rsid w:val="00474302"/>
    <w:rsid w:val="004749B2"/>
    <w:rsid w:val="00475D7F"/>
    <w:rsid w:val="00476378"/>
    <w:rsid w:val="00476B4D"/>
    <w:rsid w:val="00480917"/>
    <w:rsid w:val="0048346B"/>
    <w:rsid w:val="00484569"/>
    <w:rsid w:val="00487EB0"/>
    <w:rsid w:val="0049277E"/>
    <w:rsid w:val="00493D45"/>
    <w:rsid w:val="0049521A"/>
    <w:rsid w:val="004963DB"/>
    <w:rsid w:val="004963EF"/>
    <w:rsid w:val="004A06F9"/>
    <w:rsid w:val="004B0F13"/>
    <w:rsid w:val="004C0590"/>
    <w:rsid w:val="004C3D6D"/>
    <w:rsid w:val="004D0A85"/>
    <w:rsid w:val="004D0CE8"/>
    <w:rsid w:val="004D4656"/>
    <w:rsid w:val="004D6D6C"/>
    <w:rsid w:val="004E17F3"/>
    <w:rsid w:val="004E2A70"/>
    <w:rsid w:val="004E4F8D"/>
    <w:rsid w:val="004F19E6"/>
    <w:rsid w:val="004F20AD"/>
    <w:rsid w:val="004F392A"/>
    <w:rsid w:val="004F52A0"/>
    <w:rsid w:val="004F54BB"/>
    <w:rsid w:val="0051469A"/>
    <w:rsid w:val="00517804"/>
    <w:rsid w:val="005216DC"/>
    <w:rsid w:val="00522959"/>
    <w:rsid w:val="005242B7"/>
    <w:rsid w:val="00526FB8"/>
    <w:rsid w:val="00527414"/>
    <w:rsid w:val="0053535E"/>
    <w:rsid w:val="00537E2C"/>
    <w:rsid w:val="00541858"/>
    <w:rsid w:val="0054371B"/>
    <w:rsid w:val="00543F85"/>
    <w:rsid w:val="00546559"/>
    <w:rsid w:val="00556602"/>
    <w:rsid w:val="0056317C"/>
    <w:rsid w:val="00564CB5"/>
    <w:rsid w:val="00567689"/>
    <w:rsid w:val="00567732"/>
    <w:rsid w:val="00576215"/>
    <w:rsid w:val="005767C9"/>
    <w:rsid w:val="00576C6F"/>
    <w:rsid w:val="005868D8"/>
    <w:rsid w:val="005B2CAB"/>
    <w:rsid w:val="005C02BC"/>
    <w:rsid w:val="005C1991"/>
    <w:rsid w:val="005C465F"/>
    <w:rsid w:val="005C5E23"/>
    <w:rsid w:val="005C695F"/>
    <w:rsid w:val="005D5C7B"/>
    <w:rsid w:val="005E28D0"/>
    <w:rsid w:val="005E5494"/>
    <w:rsid w:val="005E6FF4"/>
    <w:rsid w:val="005F6791"/>
    <w:rsid w:val="005F7F16"/>
    <w:rsid w:val="0060074E"/>
    <w:rsid w:val="00607A3B"/>
    <w:rsid w:val="00610C97"/>
    <w:rsid w:val="006125C7"/>
    <w:rsid w:val="006207D6"/>
    <w:rsid w:val="00624E2A"/>
    <w:rsid w:val="0062600A"/>
    <w:rsid w:val="00627323"/>
    <w:rsid w:val="00636661"/>
    <w:rsid w:val="0063764A"/>
    <w:rsid w:val="00637687"/>
    <w:rsid w:val="00641124"/>
    <w:rsid w:val="00645491"/>
    <w:rsid w:val="00646762"/>
    <w:rsid w:val="00650692"/>
    <w:rsid w:val="006512EA"/>
    <w:rsid w:val="0065733D"/>
    <w:rsid w:val="00662252"/>
    <w:rsid w:val="0066404E"/>
    <w:rsid w:val="00664A6D"/>
    <w:rsid w:val="00666C05"/>
    <w:rsid w:val="0066755A"/>
    <w:rsid w:val="00680664"/>
    <w:rsid w:val="006819B6"/>
    <w:rsid w:val="00694550"/>
    <w:rsid w:val="006A1209"/>
    <w:rsid w:val="006A1E7F"/>
    <w:rsid w:val="006A324C"/>
    <w:rsid w:val="006A6111"/>
    <w:rsid w:val="006A7F94"/>
    <w:rsid w:val="006B1F9D"/>
    <w:rsid w:val="006B3066"/>
    <w:rsid w:val="006B668C"/>
    <w:rsid w:val="006C02CD"/>
    <w:rsid w:val="006E044F"/>
    <w:rsid w:val="006E2AA6"/>
    <w:rsid w:val="006F0FB6"/>
    <w:rsid w:val="006F33FD"/>
    <w:rsid w:val="00710D1E"/>
    <w:rsid w:val="007112C4"/>
    <w:rsid w:val="007125AA"/>
    <w:rsid w:val="00713C1F"/>
    <w:rsid w:val="00715B98"/>
    <w:rsid w:val="0072150C"/>
    <w:rsid w:val="00723688"/>
    <w:rsid w:val="007241C8"/>
    <w:rsid w:val="0072505A"/>
    <w:rsid w:val="00733F2C"/>
    <w:rsid w:val="00735C5B"/>
    <w:rsid w:val="00737B4B"/>
    <w:rsid w:val="00744119"/>
    <w:rsid w:val="00751356"/>
    <w:rsid w:val="00751B09"/>
    <w:rsid w:val="00752E58"/>
    <w:rsid w:val="00757AA6"/>
    <w:rsid w:val="0076130A"/>
    <w:rsid w:val="0076278F"/>
    <w:rsid w:val="00767914"/>
    <w:rsid w:val="0077009E"/>
    <w:rsid w:val="007764FE"/>
    <w:rsid w:val="00776826"/>
    <w:rsid w:val="00777C1E"/>
    <w:rsid w:val="007851F7"/>
    <w:rsid w:val="00786B73"/>
    <w:rsid w:val="00790778"/>
    <w:rsid w:val="00791466"/>
    <w:rsid w:val="007919A1"/>
    <w:rsid w:val="007921BF"/>
    <w:rsid w:val="00793C88"/>
    <w:rsid w:val="007A1F57"/>
    <w:rsid w:val="007A3168"/>
    <w:rsid w:val="007A644B"/>
    <w:rsid w:val="007B1EF0"/>
    <w:rsid w:val="007B688A"/>
    <w:rsid w:val="007B7055"/>
    <w:rsid w:val="007C2353"/>
    <w:rsid w:val="007C4F52"/>
    <w:rsid w:val="007D3733"/>
    <w:rsid w:val="007E36FA"/>
    <w:rsid w:val="007F55D8"/>
    <w:rsid w:val="00813125"/>
    <w:rsid w:val="00813832"/>
    <w:rsid w:val="00824753"/>
    <w:rsid w:val="0082725F"/>
    <w:rsid w:val="00827AEF"/>
    <w:rsid w:val="00827D34"/>
    <w:rsid w:val="00832FC3"/>
    <w:rsid w:val="008357FC"/>
    <w:rsid w:val="00850569"/>
    <w:rsid w:val="00851B09"/>
    <w:rsid w:val="00852F3F"/>
    <w:rsid w:val="00854855"/>
    <w:rsid w:val="008555DE"/>
    <w:rsid w:val="00864DF0"/>
    <w:rsid w:val="00866245"/>
    <w:rsid w:val="00866C75"/>
    <w:rsid w:val="00867182"/>
    <w:rsid w:val="00873A4A"/>
    <w:rsid w:val="00882FE2"/>
    <w:rsid w:val="00884AA4"/>
    <w:rsid w:val="00890523"/>
    <w:rsid w:val="008905F6"/>
    <w:rsid w:val="008A1530"/>
    <w:rsid w:val="008A2718"/>
    <w:rsid w:val="008A311F"/>
    <w:rsid w:val="008A7AC0"/>
    <w:rsid w:val="008B09EB"/>
    <w:rsid w:val="008B1203"/>
    <w:rsid w:val="008B376D"/>
    <w:rsid w:val="008D28FA"/>
    <w:rsid w:val="008D4001"/>
    <w:rsid w:val="008D61F9"/>
    <w:rsid w:val="008F24FF"/>
    <w:rsid w:val="00902764"/>
    <w:rsid w:val="00911DBC"/>
    <w:rsid w:val="0091585E"/>
    <w:rsid w:val="00927ECF"/>
    <w:rsid w:val="009351FF"/>
    <w:rsid w:val="009372CA"/>
    <w:rsid w:val="009402A7"/>
    <w:rsid w:val="0096254A"/>
    <w:rsid w:val="00962E61"/>
    <w:rsid w:val="009634CB"/>
    <w:rsid w:val="00966EAC"/>
    <w:rsid w:val="009700D8"/>
    <w:rsid w:val="00970506"/>
    <w:rsid w:val="0098066D"/>
    <w:rsid w:val="0098115E"/>
    <w:rsid w:val="00984003"/>
    <w:rsid w:val="00984ED3"/>
    <w:rsid w:val="00990475"/>
    <w:rsid w:val="009A142E"/>
    <w:rsid w:val="009A2E1D"/>
    <w:rsid w:val="009A52BC"/>
    <w:rsid w:val="009B41A5"/>
    <w:rsid w:val="009B42CC"/>
    <w:rsid w:val="009B476C"/>
    <w:rsid w:val="009B4BC3"/>
    <w:rsid w:val="009C2B6E"/>
    <w:rsid w:val="009C2F71"/>
    <w:rsid w:val="009D45BC"/>
    <w:rsid w:val="009D4B84"/>
    <w:rsid w:val="009D5442"/>
    <w:rsid w:val="009E73BF"/>
    <w:rsid w:val="009F0BC1"/>
    <w:rsid w:val="009F1D98"/>
    <w:rsid w:val="009F6008"/>
    <w:rsid w:val="009F72EE"/>
    <w:rsid w:val="00A001FA"/>
    <w:rsid w:val="00A0043D"/>
    <w:rsid w:val="00A00DC1"/>
    <w:rsid w:val="00A00F7B"/>
    <w:rsid w:val="00A02201"/>
    <w:rsid w:val="00A26E61"/>
    <w:rsid w:val="00A27613"/>
    <w:rsid w:val="00A31825"/>
    <w:rsid w:val="00A34E81"/>
    <w:rsid w:val="00A6187A"/>
    <w:rsid w:val="00A63728"/>
    <w:rsid w:val="00A74A80"/>
    <w:rsid w:val="00A75572"/>
    <w:rsid w:val="00A77DDF"/>
    <w:rsid w:val="00A90B6E"/>
    <w:rsid w:val="00A92D27"/>
    <w:rsid w:val="00AA03A5"/>
    <w:rsid w:val="00AA0B53"/>
    <w:rsid w:val="00AA189E"/>
    <w:rsid w:val="00AA3660"/>
    <w:rsid w:val="00AB3616"/>
    <w:rsid w:val="00AB4D02"/>
    <w:rsid w:val="00AC1B8B"/>
    <w:rsid w:val="00AC2FB8"/>
    <w:rsid w:val="00AC3B78"/>
    <w:rsid w:val="00AC4C50"/>
    <w:rsid w:val="00AD6B6B"/>
    <w:rsid w:val="00AD6CF3"/>
    <w:rsid w:val="00AD70F7"/>
    <w:rsid w:val="00AE6DE8"/>
    <w:rsid w:val="00AE7F46"/>
    <w:rsid w:val="00AF18AA"/>
    <w:rsid w:val="00AF3783"/>
    <w:rsid w:val="00AF501C"/>
    <w:rsid w:val="00B13B6A"/>
    <w:rsid w:val="00B20A52"/>
    <w:rsid w:val="00B210F0"/>
    <w:rsid w:val="00B21DDD"/>
    <w:rsid w:val="00B33CC9"/>
    <w:rsid w:val="00B3455B"/>
    <w:rsid w:val="00B42AD4"/>
    <w:rsid w:val="00B44614"/>
    <w:rsid w:val="00B446CD"/>
    <w:rsid w:val="00B44835"/>
    <w:rsid w:val="00B457A2"/>
    <w:rsid w:val="00B46E26"/>
    <w:rsid w:val="00B6151B"/>
    <w:rsid w:val="00B64525"/>
    <w:rsid w:val="00B70A69"/>
    <w:rsid w:val="00B71ED6"/>
    <w:rsid w:val="00B76372"/>
    <w:rsid w:val="00B77DE7"/>
    <w:rsid w:val="00B80AF7"/>
    <w:rsid w:val="00B817B4"/>
    <w:rsid w:val="00B84713"/>
    <w:rsid w:val="00B865ED"/>
    <w:rsid w:val="00B876E7"/>
    <w:rsid w:val="00BA1DBE"/>
    <w:rsid w:val="00BA6231"/>
    <w:rsid w:val="00BA764F"/>
    <w:rsid w:val="00BC0704"/>
    <w:rsid w:val="00BC35F2"/>
    <w:rsid w:val="00BC387B"/>
    <w:rsid w:val="00BC609B"/>
    <w:rsid w:val="00BD2B8A"/>
    <w:rsid w:val="00BD46A6"/>
    <w:rsid w:val="00BD5867"/>
    <w:rsid w:val="00BE6AFE"/>
    <w:rsid w:val="00BE7BEA"/>
    <w:rsid w:val="00BF17AC"/>
    <w:rsid w:val="00BF2FDB"/>
    <w:rsid w:val="00BF4590"/>
    <w:rsid w:val="00BF47B4"/>
    <w:rsid w:val="00BF73F9"/>
    <w:rsid w:val="00C01F21"/>
    <w:rsid w:val="00C02F16"/>
    <w:rsid w:val="00C04799"/>
    <w:rsid w:val="00C05524"/>
    <w:rsid w:val="00C10551"/>
    <w:rsid w:val="00C12A45"/>
    <w:rsid w:val="00C1650B"/>
    <w:rsid w:val="00C16726"/>
    <w:rsid w:val="00C20AB8"/>
    <w:rsid w:val="00C23051"/>
    <w:rsid w:val="00C3291F"/>
    <w:rsid w:val="00C34D3A"/>
    <w:rsid w:val="00C4216B"/>
    <w:rsid w:val="00C441D3"/>
    <w:rsid w:val="00C47132"/>
    <w:rsid w:val="00C47DA2"/>
    <w:rsid w:val="00C61F2B"/>
    <w:rsid w:val="00C63FDA"/>
    <w:rsid w:val="00C645CC"/>
    <w:rsid w:val="00C6465B"/>
    <w:rsid w:val="00C65A93"/>
    <w:rsid w:val="00C662BB"/>
    <w:rsid w:val="00C66FBE"/>
    <w:rsid w:val="00C73C2A"/>
    <w:rsid w:val="00C73F98"/>
    <w:rsid w:val="00C85097"/>
    <w:rsid w:val="00C85D33"/>
    <w:rsid w:val="00C86A36"/>
    <w:rsid w:val="00C9033E"/>
    <w:rsid w:val="00C94ED9"/>
    <w:rsid w:val="00C97E78"/>
    <w:rsid w:val="00CA24A5"/>
    <w:rsid w:val="00CA26BB"/>
    <w:rsid w:val="00CA43E0"/>
    <w:rsid w:val="00CC34B4"/>
    <w:rsid w:val="00CC5750"/>
    <w:rsid w:val="00CC6029"/>
    <w:rsid w:val="00CC7325"/>
    <w:rsid w:val="00CD0EB4"/>
    <w:rsid w:val="00CD1E87"/>
    <w:rsid w:val="00CD1FA6"/>
    <w:rsid w:val="00CD21CF"/>
    <w:rsid w:val="00CD2F18"/>
    <w:rsid w:val="00CD30EA"/>
    <w:rsid w:val="00CD7FF1"/>
    <w:rsid w:val="00CE4172"/>
    <w:rsid w:val="00CE49F5"/>
    <w:rsid w:val="00CE56FA"/>
    <w:rsid w:val="00CE7DDE"/>
    <w:rsid w:val="00CF3204"/>
    <w:rsid w:val="00CF5A36"/>
    <w:rsid w:val="00D04A65"/>
    <w:rsid w:val="00D065FE"/>
    <w:rsid w:val="00D06AA2"/>
    <w:rsid w:val="00D07D6A"/>
    <w:rsid w:val="00D213CD"/>
    <w:rsid w:val="00D30639"/>
    <w:rsid w:val="00D361DC"/>
    <w:rsid w:val="00D41E3C"/>
    <w:rsid w:val="00D50993"/>
    <w:rsid w:val="00D50FFD"/>
    <w:rsid w:val="00D52CF5"/>
    <w:rsid w:val="00D54AB4"/>
    <w:rsid w:val="00D56750"/>
    <w:rsid w:val="00D719FD"/>
    <w:rsid w:val="00D74D85"/>
    <w:rsid w:val="00D76653"/>
    <w:rsid w:val="00D779D4"/>
    <w:rsid w:val="00D807A8"/>
    <w:rsid w:val="00D821DD"/>
    <w:rsid w:val="00D82C4D"/>
    <w:rsid w:val="00D83669"/>
    <w:rsid w:val="00D847FE"/>
    <w:rsid w:val="00D85D96"/>
    <w:rsid w:val="00D902E3"/>
    <w:rsid w:val="00DA3EFD"/>
    <w:rsid w:val="00DA4176"/>
    <w:rsid w:val="00DB58A8"/>
    <w:rsid w:val="00DB6A51"/>
    <w:rsid w:val="00DC325E"/>
    <w:rsid w:val="00DC5BBA"/>
    <w:rsid w:val="00DC6F46"/>
    <w:rsid w:val="00DD1B1B"/>
    <w:rsid w:val="00DD3808"/>
    <w:rsid w:val="00DD47B3"/>
    <w:rsid w:val="00DE113A"/>
    <w:rsid w:val="00DE375B"/>
    <w:rsid w:val="00DE502D"/>
    <w:rsid w:val="00DE5A44"/>
    <w:rsid w:val="00DE78EC"/>
    <w:rsid w:val="00DF26F3"/>
    <w:rsid w:val="00DF45A7"/>
    <w:rsid w:val="00DF5331"/>
    <w:rsid w:val="00DF5721"/>
    <w:rsid w:val="00DF6405"/>
    <w:rsid w:val="00DF7C26"/>
    <w:rsid w:val="00E02D00"/>
    <w:rsid w:val="00E03B22"/>
    <w:rsid w:val="00E05AEF"/>
    <w:rsid w:val="00E13805"/>
    <w:rsid w:val="00E21701"/>
    <w:rsid w:val="00E27708"/>
    <w:rsid w:val="00E277F3"/>
    <w:rsid w:val="00E3306F"/>
    <w:rsid w:val="00E34C98"/>
    <w:rsid w:val="00E369E0"/>
    <w:rsid w:val="00E4331F"/>
    <w:rsid w:val="00E4475A"/>
    <w:rsid w:val="00E52ABA"/>
    <w:rsid w:val="00E5359B"/>
    <w:rsid w:val="00E560C5"/>
    <w:rsid w:val="00E666A8"/>
    <w:rsid w:val="00E6749D"/>
    <w:rsid w:val="00E810B6"/>
    <w:rsid w:val="00E92E97"/>
    <w:rsid w:val="00E947B5"/>
    <w:rsid w:val="00E948F0"/>
    <w:rsid w:val="00E96B61"/>
    <w:rsid w:val="00E979F9"/>
    <w:rsid w:val="00E97A69"/>
    <w:rsid w:val="00EA1090"/>
    <w:rsid w:val="00EA3170"/>
    <w:rsid w:val="00EA48AB"/>
    <w:rsid w:val="00EA7CA6"/>
    <w:rsid w:val="00EB1B02"/>
    <w:rsid w:val="00EC17CE"/>
    <w:rsid w:val="00EC37B5"/>
    <w:rsid w:val="00EC5631"/>
    <w:rsid w:val="00ED13F3"/>
    <w:rsid w:val="00ED18A3"/>
    <w:rsid w:val="00EE12AC"/>
    <w:rsid w:val="00EE15DC"/>
    <w:rsid w:val="00EE2256"/>
    <w:rsid w:val="00EE4DB0"/>
    <w:rsid w:val="00EE575A"/>
    <w:rsid w:val="00EE6A07"/>
    <w:rsid w:val="00EF0581"/>
    <w:rsid w:val="00EF357D"/>
    <w:rsid w:val="00F015A1"/>
    <w:rsid w:val="00F043FA"/>
    <w:rsid w:val="00F048CB"/>
    <w:rsid w:val="00F06170"/>
    <w:rsid w:val="00F076C1"/>
    <w:rsid w:val="00F11839"/>
    <w:rsid w:val="00F125E4"/>
    <w:rsid w:val="00F17998"/>
    <w:rsid w:val="00F17D35"/>
    <w:rsid w:val="00F2058D"/>
    <w:rsid w:val="00F20B35"/>
    <w:rsid w:val="00F34A4C"/>
    <w:rsid w:val="00F37EF5"/>
    <w:rsid w:val="00F45FB8"/>
    <w:rsid w:val="00F4629C"/>
    <w:rsid w:val="00F564EA"/>
    <w:rsid w:val="00F63498"/>
    <w:rsid w:val="00F67D88"/>
    <w:rsid w:val="00F7582C"/>
    <w:rsid w:val="00F76A2F"/>
    <w:rsid w:val="00F820C6"/>
    <w:rsid w:val="00F841C4"/>
    <w:rsid w:val="00F90650"/>
    <w:rsid w:val="00F90719"/>
    <w:rsid w:val="00F92022"/>
    <w:rsid w:val="00FA53EB"/>
    <w:rsid w:val="00FA5D74"/>
    <w:rsid w:val="00FC7612"/>
    <w:rsid w:val="00FD1238"/>
    <w:rsid w:val="00FD22DB"/>
    <w:rsid w:val="00FD2B76"/>
    <w:rsid w:val="00FD3B40"/>
    <w:rsid w:val="00FE0946"/>
    <w:rsid w:val="00FE4C3C"/>
    <w:rsid w:val="00FF2163"/>
    <w:rsid w:val="00FF31F1"/>
    <w:rsid w:val="00FF36EE"/>
    <w:rsid w:val="00FF4584"/>
    <w:rsid w:val="0229094D"/>
    <w:rsid w:val="030B0786"/>
    <w:rsid w:val="033C20DB"/>
    <w:rsid w:val="067B2E8B"/>
    <w:rsid w:val="097160DA"/>
    <w:rsid w:val="0A7372EE"/>
    <w:rsid w:val="0C316E17"/>
    <w:rsid w:val="10C83631"/>
    <w:rsid w:val="125C08E9"/>
    <w:rsid w:val="16277CC9"/>
    <w:rsid w:val="1C3D174E"/>
    <w:rsid w:val="1D3E5DD4"/>
    <w:rsid w:val="1DF54281"/>
    <w:rsid w:val="1EA23DFC"/>
    <w:rsid w:val="26AD1681"/>
    <w:rsid w:val="27046601"/>
    <w:rsid w:val="29352BE0"/>
    <w:rsid w:val="29C858D8"/>
    <w:rsid w:val="2E8C5315"/>
    <w:rsid w:val="301755F2"/>
    <w:rsid w:val="311D0855"/>
    <w:rsid w:val="320B124A"/>
    <w:rsid w:val="3A530A59"/>
    <w:rsid w:val="3AD90A06"/>
    <w:rsid w:val="3B883652"/>
    <w:rsid w:val="3F785AE2"/>
    <w:rsid w:val="430C3285"/>
    <w:rsid w:val="47363303"/>
    <w:rsid w:val="4A4375DB"/>
    <w:rsid w:val="4C372B57"/>
    <w:rsid w:val="4C8911A5"/>
    <w:rsid w:val="4CA07448"/>
    <w:rsid w:val="4D44491C"/>
    <w:rsid w:val="4FD61D24"/>
    <w:rsid w:val="50460F59"/>
    <w:rsid w:val="53224ECB"/>
    <w:rsid w:val="591752A9"/>
    <w:rsid w:val="59704954"/>
    <w:rsid w:val="630B7D31"/>
    <w:rsid w:val="64DA0ED4"/>
    <w:rsid w:val="65AF30AB"/>
    <w:rsid w:val="66813F97"/>
    <w:rsid w:val="6689421B"/>
    <w:rsid w:val="67526EBE"/>
    <w:rsid w:val="69FE7C51"/>
    <w:rsid w:val="6A1E534B"/>
    <w:rsid w:val="6B652E36"/>
    <w:rsid w:val="6E543AB4"/>
    <w:rsid w:val="6F3B4C8B"/>
    <w:rsid w:val="703F70BE"/>
    <w:rsid w:val="712F4C84"/>
    <w:rsid w:val="732E23F9"/>
    <w:rsid w:val="75A41A8D"/>
    <w:rsid w:val="76021B5A"/>
    <w:rsid w:val="768242F7"/>
    <w:rsid w:val="794C22A0"/>
    <w:rsid w:val="7BE7210C"/>
    <w:rsid w:val="7BF107A5"/>
    <w:rsid w:val="B17DA52A"/>
    <w:rsid w:val="FAFF7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99"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nhideWhenUsed="0" w:uiPriority="99" w:semiHidden="0" w:name="footnote text"/>
    <w:lsdException w:qFormat="1" w:uiPriority="0" w:semiHidden="0" w:name="annotation text"/>
    <w:lsdException w:qFormat="1" w:uiPriority="0" w:semiHidden="0" w:name="header"/>
    <w:lsdException w:qFormat="1" w:uiPriority="99" w:semiHidden="0" w:name="footer"/>
    <w:lsdException w:unhideWhenUsed="0" w:uiPriority="0" w:semiHidden="0" w:name="index heading"/>
    <w:lsdException w:unhideWhenUsed="0" w:uiPriority="0" w:semiHidden="0" w:name="caption"/>
    <w:lsdException w:uiPriority="99" w:semiHidden="0" w:name="table of figures"/>
    <w:lsdException w:uiPriority="99" w:name="envelope address"/>
    <w:lsdException w:uiPriority="99" w:name="envelope return"/>
    <w:lsdException w:unhideWhenUsed="0" w:uiPriority="99" w:semiHidden="0" w:name="footnote reference"/>
    <w:lsdException w:qFormat="1" w:uiPriority="99" w:semiHidden="0" w:name="annotation reference"/>
    <w:lsdException w:uiPriority="99" w:name="line number"/>
    <w:lsdException w:uiPriority="0" w:semiHidden="0" w:name="page number"/>
    <w:lsdException w:uiPriority="0" w:semiHidden="0" w:name="endnote reference"/>
    <w:lsdException w:uiPriority="0" w:semiHidden="0" w:name="endnote text"/>
    <w:lsdException w:uiPriority="0" w:semiHidden="0" w:name="table of authorities"/>
    <w:lsdException w:unhideWhenUsed="0" w:uiPriority="0" w:semiHidden="0" w:name="macro"/>
    <w:lsdException w:uiPriority="0" w:semiHidden="0" w:name="toa heading"/>
    <w:lsdException w:unhideWhenUsed="0" w:uiPriority="0" w:semiHidden="0" w:name="List"/>
    <w:lsdException w:unhideWhenUsed="0" w:uiPriority="99"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99"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iPriority="1" w:name="Default Paragraph Font"/>
    <w:lsdException w:qFormat="1" w:uiPriority="99" w:semiHidden="0" w:name="Body Text"/>
    <w:lsdException w:qFormat="1" w:uiPriority="99" w:semiHidden="0" w:name="Body Text Indent"/>
    <w:lsdException w:unhideWhenUsed="0" w:uiPriority="0" w:semiHidden="0" w:name="List Continue"/>
    <w:lsdException w:unhideWhenUsed="0" w:uiPriority="0" w:semiHidden="0" w:name="List Continue 2"/>
    <w:lsdException w:uiPriority="99" w:name="List Continue 3"/>
    <w:lsdException w:unhideWhenUsed="0" w:uiPriority="0" w:semiHidden="0" w:name="List Continue 4"/>
    <w:lsdException w:uiPriority="99" w:name="List Continue 5"/>
    <w:lsdException w:uiPriority="0" w:semiHidden="0" w:name="Message Header"/>
    <w:lsdException w:unhideWhenUsed="0" w:uiPriority="0" w:semiHidden="0" w:name="Subtitle"/>
    <w:lsdException w:unhideWhenUsed="0" w:uiPriority="0" w:semiHidden="0" w:name="Salutation"/>
    <w:lsdException w:uiPriority="0" w:semiHidden="0" w:name="Date"/>
    <w:lsdException w:uiPriority="0" w:semiHidden="0" w:name="Body Text First Indent"/>
    <w:lsdException w:qFormat="1" w:uiPriority="99" w:semiHidden="0" w:name="Body Text First Indent 2"/>
    <w:lsdException w:uiPriority="0" w:semiHidden="0" w:name="Note Heading"/>
    <w:lsdException w:uiPriority="0" w:semiHidden="0" w:name="Body Text 2"/>
    <w:lsdException w:uiPriority="0" w:semiHidden="0" w:name="Body Text 3"/>
    <w:lsdException w:uiPriority="0" w:semiHidden="0" w:name="Body Text Indent 2"/>
    <w:lsdException w:uiPriority="0" w:semiHidden="0" w:name="Body Text Indent 3"/>
    <w:lsdException w:uiPriority="0" w:semiHidden="0" w:name="Block Text"/>
    <w:lsdException w:qFormat="1" w:uiPriority="99" w:semiHidden="0" w:name="Hyperlink"/>
    <w:lsdException w:qFormat="1" w:uiPriority="99" w:semiHidden="0" w:name="FollowedHyperlink"/>
    <w:lsdException w:unhideWhenUsed="0" w:uiPriority="22" w:semiHidden="0" w:name="Strong"/>
    <w:lsdException w:unhideWhenUsed="0" w:uiPriority="20" w:semiHidden="0" w:name="Emphasis"/>
    <w:lsdException w:uiPriority="0" w:semiHidden="0" w:name="Document Map"/>
    <w:lsdException w:unhideWhenUsed="0" w:uiPriority="0" w:semiHidden="0" w:name="Plain Text"/>
    <w:lsdException w:unhideWhenUsed="0" w:uiPriority="0" w:semiHidden="0" w:name="E-mail Signature"/>
    <w:lsdException w:qFormat="1" w:uiPriority="99" w:semiHidden="0" w:name="Normal (Web)"/>
    <w:lsdException w:uiPriority="99" w:name="HTML Acronym"/>
    <w:lsdException w:unhideWhenUsed="0" w:uiPriority="0" w:semiHidden="0" w:name="HTML Address"/>
    <w:lsdException w:unhideWhenUsed="0" w:uiPriority="0" w:semiHidden="0" w:name="HTML Cite"/>
    <w:lsdException w:uiPriority="0" w:semiHidden="0" w:name="HTML Code"/>
    <w:lsdException w:uiPriority="99" w:name="HTML Definition"/>
    <w:lsdException w:unhideWhenUsed="0" w:uiPriority="0" w:semiHidden="0" w:name="HTML Keyboard"/>
    <w:lsdException w:unhideWhenUsed="0" w:uiPriority="0" w:semiHidden="0" w:name="HTML Preformatted"/>
    <w:lsdException w:uiPriority="99" w:name="HTML Sample"/>
    <w:lsdException w:unhideWhenUsed="0" w:uiPriority="0" w:semiHidden="0" w:name="HTML Typewriter"/>
    <w:lsdException w:uiPriority="99" w:name="HTML Variable"/>
    <w:lsdException w:uiPriority="99" w:name="Normal Table"/>
    <w:lsdException w:qFormat="1" w:uiPriority="0" w:semiHidden="0" w:name="annotation subject"/>
    <w:lsdException w:qFormat="1" w:uiPriority="0"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qFormat="1" w:uiPriority="0" w:name="Table Colorful 1"/>
    <w:lsdException w:qFormat="1" w:uiPriority="0" w:name="Table Colorful 2"/>
    <w:lsdException w:qFormat="1" w:uiPriority="0"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qFormat="1" w:uiPriority="0" w:name="Table Grid 1"/>
    <w:lsdException w:qFormat="1" w:uiPriority="0" w:name="Table Grid 2"/>
    <w:lsdException w:qFormat="1" w:uiPriority="0" w:name="Table Grid 3"/>
    <w:lsdException w:qFormat="1" w:uiPriority="0" w:name="Table Grid 4"/>
    <w:lsdException w:qFormat="1" w:uiPriority="0" w:name="Table Grid 5"/>
    <w:lsdException w:qFormat="1" w:uiPriority="0" w:name="Table Grid 6"/>
    <w:lsdException w:qFormat="1" w:uiPriority="0" w:name="Table Grid 7"/>
    <w:lsdException w:qFormat="1" w:uiPriority="0"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qFormat="1" w:uiPriority="0" w:name="Table List 8"/>
    <w:lsdException w:uiPriority="99" w:name="Table 3D effects 1"/>
    <w:lsdException w:uiPriority="99" w:name="Table 3D effects 2"/>
    <w:lsdException w:uiPriority="99" w:name="Table 3D effects 3"/>
    <w:lsdException w:qFormat="1" w:uiPriority="0" w:name="Table Contemporary"/>
    <w:lsdException w:qFormat="1" w:uiPriority="0" w:name="Table Elegant"/>
    <w:lsdException w:qFormat="1" w:uiPriority="0" w:name="Table Professional"/>
    <w:lsdException w:uiPriority="99" w:name="Table Subtle 1"/>
    <w:lsdException w:uiPriority="99" w:name="Table Subtle 2"/>
    <w:lsdException w:qFormat="1" w:uiPriority="0" w:name="Table Web 1"/>
    <w:lsdException w:qFormat="1" w:uiPriority="0" w:name="Table Web 2"/>
    <w:lsdException w:qFormat="1" w:uiPriority="0" w:name="Table Web 3"/>
    <w:lsdException w:qFormat="1" w:uiPriority="0" w:semiHidden="0" w:name="Balloon Text"/>
    <w:lsdException w:qFormat="1" w:unhideWhenUsed="0" w:uiPriority="0" w:semiHidden="0" w:name="Table Grid"/>
    <w:lsdException w:qFormat="1"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ind w:firstLine="480" w:firstLineChars="200"/>
      <w:jc w:val="both"/>
    </w:pPr>
    <w:rPr>
      <w:rFonts w:ascii="仿宋" w:hAnsi="仿宋" w:eastAsia="宋体" w:cs="仿宋"/>
      <w:color w:val="000000" w:themeColor="text1"/>
      <w:kern w:val="2"/>
      <w:sz w:val="24"/>
      <w:szCs w:val="24"/>
      <w:lang w:val="en-US" w:eastAsia="zh-CN" w:bidi="ar-SA"/>
      <w14:textFill>
        <w14:solidFill>
          <w14:schemeClr w14:val="tx1"/>
        </w14:solidFill>
      </w14:textFill>
    </w:rPr>
  </w:style>
  <w:style w:type="paragraph" w:styleId="2">
    <w:name w:val="heading 1"/>
    <w:basedOn w:val="1"/>
    <w:next w:val="1"/>
    <w:link w:val="37"/>
    <w:qFormat/>
    <w:uiPriority w:val="9"/>
    <w:pPr>
      <w:keepNext/>
      <w:keepLines/>
      <w:pageBreakBefore/>
      <w:numPr>
        <w:ilvl w:val="0"/>
        <w:numId w:val="1"/>
      </w:numPr>
      <w:spacing w:line="480" w:lineRule="auto"/>
      <w:ind w:firstLineChars="0"/>
      <w:outlineLvl w:val="0"/>
    </w:pPr>
    <w:rPr>
      <w:rFonts w:eastAsia="宋体"/>
      <w:b/>
      <w:bCs/>
      <w:kern w:val="44"/>
      <w:sz w:val="36"/>
      <w:szCs w:val="44"/>
    </w:rPr>
  </w:style>
  <w:style w:type="paragraph" w:styleId="3">
    <w:name w:val="heading 2"/>
    <w:basedOn w:val="1"/>
    <w:next w:val="1"/>
    <w:link w:val="38"/>
    <w:unhideWhenUsed/>
    <w:qFormat/>
    <w:uiPriority w:val="0"/>
    <w:pPr>
      <w:keepNext/>
      <w:keepLines/>
      <w:numPr>
        <w:ilvl w:val="1"/>
        <w:numId w:val="1"/>
      </w:numPr>
      <w:spacing w:line="240" w:lineRule="auto"/>
      <w:ind w:firstLineChars="0"/>
      <w:outlineLvl w:val="1"/>
    </w:pPr>
    <w:rPr>
      <w:rFonts w:eastAsia="宋体" w:cstheme="majorBidi"/>
      <w:b/>
      <w:bCs/>
      <w:sz w:val="32"/>
      <w:szCs w:val="32"/>
    </w:rPr>
  </w:style>
  <w:style w:type="paragraph" w:styleId="4">
    <w:name w:val="heading 3"/>
    <w:basedOn w:val="1"/>
    <w:next w:val="1"/>
    <w:link w:val="39"/>
    <w:unhideWhenUsed/>
    <w:qFormat/>
    <w:uiPriority w:val="0"/>
    <w:pPr>
      <w:keepNext/>
      <w:keepLines/>
      <w:numPr>
        <w:ilvl w:val="2"/>
        <w:numId w:val="1"/>
      </w:numPr>
      <w:spacing w:before="40" w:after="40" w:line="240" w:lineRule="auto"/>
      <w:ind w:firstLineChars="0"/>
      <w:outlineLvl w:val="2"/>
    </w:pPr>
    <w:rPr>
      <w:rFonts w:eastAsia="宋体"/>
      <w:b/>
      <w:bCs/>
      <w:sz w:val="30"/>
      <w:szCs w:val="32"/>
    </w:rPr>
  </w:style>
  <w:style w:type="paragraph" w:styleId="5">
    <w:name w:val="heading 4"/>
    <w:basedOn w:val="1"/>
    <w:next w:val="1"/>
    <w:link w:val="40"/>
    <w:unhideWhenUsed/>
    <w:qFormat/>
    <w:uiPriority w:val="0"/>
    <w:pPr>
      <w:keepNext/>
      <w:keepLines/>
      <w:numPr>
        <w:ilvl w:val="3"/>
        <w:numId w:val="1"/>
      </w:numPr>
      <w:spacing w:before="40" w:after="40"/>
      <w:ind w:firstLineChars="0"/>
      <w:outlineLvl w:val="3"/>
    </w:pPr>
    <w:rPr>
      <w:rFonts w:asciiTheme="majorHAnsi" w:hAnsiTheme="majorHAnsi" w:cstheme="majorBidi"/>
      <w:b/>
      <w:bCs/>
      <w:sz w:val="28"/>
    </w:rPr>
  </w:style>
  <w:style w:type="paragraph" w:styleId="6">
    <w:name w:val="heading 5"/>
    <w:basedOn w:val="1"/>
    <w:next w:val="1"/>
    <w:link w:val="41"/>
    <w:unhideWhenUsed/>
    <w:qFormat/>
    <w:uiPriority w:val="0"/>
    <w:pPr>
      <w:keepNext/>
      <w:keepLines/>
      <w:numPr>
        <w:ilvl w:val="4"/>
        <w:numId w:val="1"/>
      </w:numPr>
      <w:spacing w:line="377" w:lineRule="auto"/>
      <w:ind w:firstLineChars="0"/>
      <w:outlineLvl w:val="4"/>
    </w:pPr>
    <w:rPr>
      <w:rFonts w:eastAsia="宋体"/>
      <w:b/>
      <w:bCs/>
    </w:rPr>
  </w:style>
  <w:style w:type="paragraph" w:styleId="7">
    <w:name w:val="heading 6"/>
    <w:basedOn w:val="1"/>
    <w:next w:val="1"/>
    <w:link w:val="42"/>
    <w:unhideWhenUsed/>
    <w:qFormat/>
    <w:uiPriority w:val="0"/>
    <w:pPr>
      <w:keepNext/>
      <w:keepLines/>
      <w:numPr>
        <w:ilvl w:val="5"/>
        <w:numId w:val="1"/>
      </w:numPr>
      <w:spacing w:before="240" w:after="64" w:line="319" w:lineRule="auto"/>
      <w:ind w:firstLineChars="0"/>
      <w:outlineLvl w:val="5"/>
    </w:pPr>
    <w:rPr>
      <w:rFonts w:cstheme="majorBidi"/>
      <w:b/>
      <w:bCs/>
    </w:rPr>
  </w:style>
  <w:style w:type="paragraph" w:styleId="8">
    <w:name w:val="heading 7"/>
    <w:basedOn w:val="1"/>
    <w:next w:val="1"/>
    <w:link w:val="43"/>
    <w:unhideWhenUsed/>
    <w:qFormat/>
    <w:uiPriority w:val="0"/>
    <w:pPr>
      <w:keepNext/>
      <w:keepLines/>
      <w:numPr>
        <w:ilvl w:val="6"/>
        <w:numId w:val="1"/>
      </w:numPr>
      <w:spacing w:before="240" w:after="64" w:line="319" w:lineRule="auto"/>
      <w:ind w:firstLineChars="0"/>
      <w:outlineLvl w:val="6"/>
    </w:pPr>
    <w:rPr>
      <w:bCs/>
    </w:rPr>
  </w:style>
  <w:style w:type="paragraph" w:styleId="9">
    <w:name w:val="heading 8"/>
    <w:basedOn w:val="1"/>
    <w:next w:val="1"/>
    <w:link w:val="44"/>
    <w:unhideWhenUsed/>
    <w:qFormat/>
    <w:uiPriority w:val="0"/>
    <w:pPr>
      <w:keepNext/>
      <w:keepLines/>
      <w:numPr>
        <w:ilvl w:val="7"/>
        <w:numId w:val="1"/>
      </w:numPr>
      <w:spacing w:before="240" w:after="64" w:line="320" w:lineRule="auto"/>
      <w:ind w:firstLineChars="0"/>
      <w:outlineLvl w:val="7"/>
    </w:pPr>
  </w:style>
  <w:style w:type="paragraph" w:styleId="10">
    <w:name w:val="heading 9"/>
    <w:basedOn w:val="1"/>
    <w:next w:val="1"/>
    <w:link w:val="45"/>
    <w:unhideWhenUsed/>
    <w:qFormat/>
    <w:uiPriority w:val="0"/>
    <w:pPr>
      <w:keepNext/>
      <w:keepLines/>
      <w:numPr>
        <w:ilvl w:val="8"/>
        <w:numId w:val="1"/>
      </w:numPr>
      <w:spacing w:before="240" w:after="64" w:line="320" w:lineRule="auto"/>
      <w:ind w:firstLineChars="0"/>
      <w:outlineLvl w:val="8"/>
    </w:pPr>
  </w:style>
  <w:style w:type="character" w:default="1" w:styleId="32">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spacing w:line="240" w:lineRule="auto"/>
      <w:ind w:left="2520" w:leftChars="1200" w:firstLine="0" w:firstLineChars="0"/>
    </w:pPr>
    <w:rPr>
      <w:rFonts w:asciiTheme="minorHAnsi" w:hAnsiTheme="minorHAnsi" w:eastAsiaTheme="minorEastAsia" w:cstheme="minorBidi"/>
      <w:color w:val="auto"/>
      <w:sz w:val="21"/>
      <w:szCs w:val="22"/>
    </w:rPr>
  </w:style>
  <w:style w:type="paragraph" w:styleId="12">
    <w:name w:val="Normal Indent"/>
    <w:basedOn w:val="1"/>
    <w:link w:val="36"/>
    <w:unhideWhenUsed/>
    <w:qFormat/>
    <w:uiPriority w:val="0"/>
    <w:pPr>
      <w:jc w:val="left"/>
    </w:pPr>
    <w:rPr>
      <w:rFonts w:ascii="Times New Roman" w:hAnsi="Times New Roman" w:cs="Times New Roman"/>
      <w:color w:val="auto"/>
      <w:kern w:val="24"/>
    </w:rPr>
  </w:style>
  <w:style w:type="paragraph" w:styleId="13">
    <w:name w:val="annotation text"/>
    <w:basedOn w:val="1"/>
    <w:link w:val="52"/>
    <w:unhideWhenUsed/>
    <w:qFormat/>
    <w:uiPriority w:val="0"/>
    <w:pPr>
      <w:jc w:val="left"/>
    </w:pPr>
  </w:style>
  <w:style w:type="paragraph" w:styleId="14">
    <w:name w:val="Body Text"/>
    <w:basedOn w:val="1"/>
    <w:next w:val="1"/>
    <w:link w:val="55"/>
    <w:unhideWhenUsed/>
    <w:qFormat/>
    <w:uiPriority w:val="99"/>
    <w:pPr>
      <w:ind w:firstLine="200"/>
    </w:pPr>
    <w:rPr>
      <w:rFonts w:ascii="Times New Roman" w:hAnsi="Times New Roman" w:cs="Times New Roman"/>
      <w:color w:val="auto"/>
      <w:szCs w:val="22"/>
    </w:rPr>
  </w:style>
  <w:style w:type="paragraph" w:styleId="15">
    <w:name w:val="Body Text Indent"/>
    <w:basedOn w:val="1"/>
    <w:unhideWhenUsed/>
    <w:qFormat/>
    <w:uiPriority w:val="99"/>
    <w:pPr>
      <w:spacing w:after="120" w:line="240" w:lineRule="auto"/>
      <w:ind w:left="420" w:leftChars="200" w:firstLine="0" w:firstLineChars="0"/>
    </w:pPr>
    <w:rPr>
      <w:rFonts w:asciiTheme="minorHAnsi" w:hAnsiTheme="minorHAnsi" w:eastAsiaTheme="minorEastAsia" w:cstheme="minorBidi"/>
      <w:sz w:val="21"/>
      <w:szCs w:val="22"/>
    </w:rPr>
  </w:style>
  <w:style w:type="paragraph" w:styleId="16">
    <w:name w:val="toc 5"/>
    <w:basedOn w:val="1"/>
    <w:next w:val="1"/>
    <w:unhideWhenUsed/>
    <w:qFormat/>
    <w:uiPriority w:val="39"/>
    <w:pPr>
      <w:spacing w:line="240" w:lineRule="auto"/>
      <w:ind w:left="1680" w:leftChars="800" w:firstLine="0" w:firstLineChars="0"/>
    </w:pPr>
    <w:rPr>
      <w:rFonts w:asciiTheme="minorHAnsi" w:hAnsiTheme="minorHAnsi" w:eastAsiaTheme="minorEastAsia" w:cstheme="minorBidi"/>
      <w:color w:val="auto"/>
      <w:sz w:val="21"/>
      <w:szCs w:val="22"/>
    </w:rPr>
  </w:style>
  <w:style w:type="paragraph" w:styleId="17">
    <w:name w:val="toc 3"/>
    <w:basedOn w:val="1"/>
    <w:next w:val="1"/>
    <w:unhideWhenUsed/>
    <w:qFormat/>
    <w:uiPriority w:val="39"/>
    <w:pPr>
      <w:tabs>
        <w:tab w:val="left" w:pos="2520"/>
        <w:tab w:val="right" w:leader="dot" w:pos="8296"/>
      </w:tabs>
      <w:spacing w:line="276" w:lineRule="auto"/>
      <w:ind w:left="960" w:leftChars="400" w:firstLine="420"/>
    </w:pPr>
    <w:rPr>
      <w:rFonts w:ascii="宋体" w:hAnsi="宋体"/>
      <w:kern w:val="28"/>
      <w:sz w:val="21"/>
    </w:rPr>
  </w:style>
  <w:style w:type="paragraph" w:styleId="18">
    <w:name w:val="toc 8"/>
    <w:basedOn w:val="1"/>
    <w:next w:val="1"/>
    <w:unhideWhenUsed/>
    <w:qFormat/>
    <w:uiPriority w:val="39"/>
    <w:pPr>
      <w:spacing w:line="240" w:lineRule="auto"/>
      <w:ind w:left="2940" w:leftChars="1400" w:firstLine="0" w:firstLineChars="0"/>
    </w:pPr>
    <w:rPr>
      <w:rFonts w:asciiTheme="minorHAnsi" w:hAnsiTheme="minorHAnsi" w:eastAsiaTheme="minorEastAsia" w:cstheme="minorBidi"/>
      <w:color w:val="auto"/>
      <w:sz w:val="21"/>
      <w:szCs w:val="22"/>
    </w:rPr>
  </w:style>
  <w:style w:type="paragraph" w:styleId="19">
    <w:name w:val="Balloon Text"/>
    <w:basedOn w:val="1"/>
    <w:link w:val="47"/>
    <w:unhideWhenUsed/>
    <w:qFormat/>
    <w:uiPriority w:val="0"/>
    <w:pPr>
      <w:spacing w:line="240" w:lineRule="auto"/>
    </w:pPr>
    <w:rPr>
      <w:sz w:val="18"/>
      <w:szCs w:val="18"/>
    </w:rPr>
  </w:style>
  <w:style w:type="paragraph" w:styleId="20">
    <w:name w:val="footer"/>
    <w:basedOn w:val="1"/>
    <w:link w:val="51"/>
    <w:unhideWhenUsed/>
    <w:qFormat/>
    <w:uiPriority w:val="99"/>
    <w:pPr>
      <w:tabs>
        <w:tab w:val="center" w:pos="4153"/>
        <w:tab w:val="right" w:pos="8306"/>
      </w:tabs>
      <w:snapToGrid w:val="0"/>
      <w:spacing w:line="240" w:lineRule="auto"/>
      <w:jc w:val="left"/>
    </w:pPr>
    <w:rPr>
      <w:sz w:val="18"/>
      <w:szCs w:val="18"/>
    </w:rPr>
  </w:style>
  <w:style w:type="paragraph" w:styleId="21">
    <w:name w:val="header"/>
    <w:basedOn w:val="1"/>
    <w:link w:val="50"/>
    <w:unhideWhenUsed/>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22">
    <w:name w:val="toc 1"/>
    <w:basedOn w:val="1"/>
    <w:next w:val="1"/>
    <w:unhideWhenUsed/>
    <w:qFormat/>
    <w:uiPriority w:val="39"/>
    <w:pPr>
      <w:tabs>
        <w:tab w:val="left" w:pos="1680"/>
        <w:tab w:val="right" w:leader="dot" w:pos="8296"/>
      </w:tabs>
      <w:spacing w:line="276" w:lineRule="auto"/>
      <w:ind w:firstLine="420"/>
    </w:pPr>
    <w:rPr>
      <w:rFonts w:ascii="宋体" w:hAnsi="宋体"/>
      <w:sz w:val="21"/>
    </w:rPr>
  </w:style>
  <w:style w:type="paragraph" w:styleId="23">
    <w:name w:val="toc 4"/>
    <w:basedOn w:val="1"/>
    <w:next w:val="1"/>
    <w:unhideWhenUsed/>
    <w:qFormat/>
    <w:uiPriority w:val="39"/>
    <w:pPr>
      <w:spacing w:line="240" w:lineRule="auto"/>
      <w:ind w:left="1260" w:leftChars="600" w:firstLine="0" w:firstLineChars="0"/>
    </w:pPr>
    <w:rPr>
      <w:rFonts w:asciiTheme="minorHAnsi" w:hAnsiTheme="minorHAnsi" w:eastAsiaTheme="minorEastAsia" w:cstheme="minorBidi"/>
      <w:color w:val="auto"/>
      <w:sz w:val="21"/>
      <w:szCs w:val="22"/>
    </w:rPr>
  </w:style>
  <w:style w:type="paragraph" w:styleId="24">
    <w:name w:val="toc 6"/>
    <w:basedOn w:val="1"/>
    <w:next w:val="1"/>
    <w:unhideWhenUsed/>
    <w:qFormat/>
    <w:uiPriority w:val="39"/>
    <w:pPr>
      <w:spacing w:line="240" w:lineRule="auto"/>
      <w:ind w:left="2100" w:leftChars="1000" w:firstLine="0" w:firstLineChars="0"/>
    </w:pPr>
    <w:rPr>
      <w:rFonts w:asciiTheme="minorHAnsi" w:hAnsiTheme="minorHAnsi" w:eastAsiaTheme="minorEastAsia" w:cstheme="minorBidi"/>
      <w:color w:val="auto"/>
      <w:sz w:val="21"/>
      <w:szCs w:val="22"/>
    </w:rPr>
  </w:style>
  <w:style w:type="paragraph" w:styleId="25">
    <w:name w:val="toc 2"/>
    <w:basedOn w:val="1"/>
    <w:next w:val="1"/>
    <w:unhideWhenUsed/>
    <w:qFormat/>
    <w:uiPriority w:val="39"/>
    <w:pPr>
      <w:tabs>
        <w:tab w:val="left" w:pos="1680"/>
        <w:tab w:val="right" w:leader="dot" w:pos="8296"/>
      </w:tabs>
      <w:spacing w:line="276" w:lineRule="auto"/>
      <w:ind w:left="480" w:leftChars="200" w:firstLine="420"/>
    </w:pPr>
    <w:rPr>
      <w:sz w:val="21"/>
    </w:rPr>
  </w:style>
  <w:style w:type="paragraph" w:styleId="26">
    <w:name w:val="toc 9"/>
    <w:basedOn w:val="1"/>
    <w:next w:val="1"/>
    <w:unhideWhenUsed/>
    <w:qFormat/>
    <w:uiPriority w:val="39"/>
    <w:pPr>
      <w:spacing w:line="240" w:lineRule="auto"/>
      <w:ind w:left="3360" w:leftChars="1600" w:firstLine="0" w:firstLineChars="0"/>
    </w:pPr>
    <w:rPr>
      <w:rFonts w:asciiTheme="minorHAnsi" w:hAnsiTheme="minorHAnsi" w:eastAsiaTheme="minorEastAsia" w:cstheme="minorBidi"/>
      <w:color w:val="auto"/>
      <w:sz w:val="21"/>
      <w:szCs w:val="22"/>
    </w:rPr>
  </w:style>
  <w:style w:type="paragraph" w:styleId="27">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eastAsia="仿宋" w:cs="宋体"/>
      <w:kern w:val="0"/>
    </w:rPr>
  </w:style>
  <w:style w:type="paragraph" w:styleId="28">
    <w:name w:val="annotation subject"/>
    <w:basedOn w:val="13"/>
    <w:next w:val="13"/>
    <w:link w:val="54"/>
    <w:unhideWhenUsed/>
    <w:qFormat/>
    <w:uiPriority w:val="0"/>
    <w:rPr>
      <w:b/>
      <w:bCs/>
    </w:rPr>
  </w:style>
  <w:style w:type="paragraph" w:styleId="29">
    <w:name w:val="Body Text First Indent 2"/>
    <w:basedOn w:val="15"/>
    <w:unhideWhenUsed/>
    <w:qFormat/>
    <w:uiPriority w:val="99"/>
    <w:pPr>
      <w:ind w:firstLine="420" w:firstLineChars="200"/>
    </w:pPr>
  </w:style>
  <w:style w:type="table" w:styleId="31">
    <w:name w:val="Table Grid"/>
    <w:basedOn w:val="3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FollowedHyperlink"/>
    <w:basedOn w:val="32"/>
    <w:unhideWhenUsed/>
    <w:qFormat/>
    <w:uiPriority w:val="99"/>
    <w:rPr>
      <w:color w:val="954F72"/>
      <w:u w:val="single"/>
    </w:rPr>
  </w:style>
  <w:style w:type="character" w:styleId="34">
    <w:name w:val="Hyperlink"/>
    <w:basedOn w:val="32"/>
    <w:unhideWhenUsed/>
    <w:qFormat/>
    <w:uiPriority w:val="99"/>
    <w:rPr>
      <w:color w:val="0563C1" w:themeColor="hyperlink"/>
      <w:u w:val="single"/>
      <w14:textFill>
        <w14:solidFill>
          <w14:schemeClr w14:val="hlink"/>
        </w14:solidFill>
      </w14:textFill>
    </w:rPr>
  </w:style>
  <w:style w:type="character" w:styleId="35">
    <w:name w:val="annotation reference"/>
    <w:basedOn w:val="32"/>
    <w:unhideWhenUsed/>
    <w:qFormat/>
    <w:uiPriority w:val="99"/>
    <w:rPr>
      <w:sz w:val="21"/>
      <w:szCs w:val="21"/>
    </w:rPr>
  </w:style>
  <w:style w:type="character" w:customStyle="1" w:styleId="36">
    <w:name w:val="正文缩进 字符"/>
    <w:link w:val="12"/>
    <w:qFormat/>
    <w:locked/>
    <w:uiPriority w:val="0"/>
    <w:rPr>
      <w:kern w:val="24"/>
      <w:sz w:val="24"/>
      <w:szCs w:val="24"/>
    </w:rPr>
  </w:style>
  <w:style w:type="character" w:customStyle="1" w:styleId="37">
    <w:name w:val="标题 1 字符"/>
    <w:basedOn w:val="32"/>
    <w:link w:val="2"/>
    <w:qFormat/>
    <w:uiPriority w:val="0"/>
    <w:rPr>
      <w:rFonts w:ascii="仿宋" w:hAnsi="仿宋" w:eastAsia="宋体" w:cs="仿宋"/>
      <w:b/>
      <w:bCs/>
      <w:color w:val="000000" w:themeColor="text1"/>
      <w:kern w:val="44"/>
      <w:sz w:val="36"/>
      <w:szCs w:val="44"/>
      <w14:textFill>
        <w14:solidFill>
          <w14:schemeClr w14:val="tx1"/>
        </w14:solidFill>
      </w14:textFill>
    </w:rPr>
  </w:style>
  <w:style w:type="character" w:customStyle="1" w:styleId="38">
    <w:name w:val="标题 2 字符"/>
    <w:basedOn w:val="32"/>
    <w:link w:val="3"/>
    <w:qFormat/>
    <w:uiPriority w:val="0"/>
    <w:rPr>
      <w:rFonts w:ascii="仿宋" w:hAnsi="仿宋" w:eastAsia="宋体" w:cstheme="majorBidi"/>
      <w:b/>
      <w:bCs/>
      <w:color w:val="000000" w:themeColor="text1"/>
      <w:kern w:val="2"/>
      <w:sz w:val="32"/>
      <w:szCs w:val="32"/>
      <w14:textFill>
        <w14:solidFill>
          <w14:schemeClr w14:val="tx1"/>
        </w14:solidFill>
      </w14:textFill>
    </w:rPr>
  </w:style>
  <w:style w:type="character" w:customStyle="1" w:styleId="39">
    <w:name w:val="标题 3 字符"/>
    <w:basedOn w:val="32"/>
    <w:link w:val="4"/>
    <w:qFormat/>
    <w:uiPriority w:val="0"/>
    <w:rPr>
      <w:rFonts w:ascii="仿宋" w:hAnsi="仿宋" w:eastAsia="宋体" w:cs="仿宋"/>
      <w:b/>
      <w:bCs/>
      <w:color w:val="000000" w:themeColor="text1"/>
      <w:kern w:val="2"/>
      <w:sz w:val="30"/>
      <w:szCs w:val="32"/>
      <w14:textFill>
        <w14:solidFill>
          <w14:schemeClr w14:val="tx1"/>
        </w14:solidFill>
      </w14:textFill>
    </w:rPr>
  </w:style>
  <w:style w:type="character" w:customStyle="1" w:styleId="40">
    <w:name w:val="标题 4 字符"/>
    <w:basedOn w:val="32"/>
    <w:link w:val="5"/>
    <w:qFormat/>
    <w:uiPriority w:val="0"/>
    <w:rPr>
      <w:rFonts w:eastAsia="宋体" w:asciiTheme="majorHAnsi" w:hAnsiTheme="majorHAnsi" w:cstheme="majorBidi"/>
      <w:b/>
      <w:bCs/>
      <w:color w:val="000000" w:themeColor="text1"/>
      <w:kern w:val="2"/>
      <w:sz w:val="28"/>
      <w:szCs w:val="24"/>
      <w14:textFill>
        <w14:solidFill>
          <w14:schemeClr w14:val="tx1"/>
        </w14:solidFill>
      </w14:textFill>
    </w:rPr>
  </w:style>
  <w:style w:type="character" w:customStyle="1" w:styleId="41">
    <w:name w:val="标题 5 字符"/>
    <w:basedOn w:val="32"/>
    <w:link w:val="6"/>
    <w:qFormat/>
    <w:uiPriority w:val="0"/>
    <w:rPr>
      <w:rFonts w:ascii="仿宋" w:hAnsi="仿宋" w:eastAsia="宋体" w:cs="仿宋"/>
      <w:b/>
      <w:bCs/>
      <w:color w:val="000000" w:themeColor="text1"/>
      <w:kern w:val="2"/>
      <w:sz w:val="24"/>
      <w:szCs w:val="24"/>
      <w14:textFill>
        <w14:solidFill>
          <w14:schemeClr w14:val="tx1"/>
        </w14:solidFill>
      </w14:textFill>
    </w:rPr>
  </w:style>
  <w:style w:type="character" w:customStyle="1" w:styleId="42">
    <w:name w:val="标题 6 字符"/>
    <w:basedOn w:val="32"/>
    <w:link w:val="7"/>
    <w:qFormat/>
    <w:uiPriority w:val="0"/>
    <w:rPr>
      <w:rFonts w:ascii="仿宋" w:hAnsi="仿宋" w:cstheme="majorBidi"/>
      <w:b/>
      <w:bCs/>
      <w:color w:val="000000" w:themeColor="text1"/>
      <w:kern w:val="2"/>
      <w:sz w:val="24"/>
      <w:szCs w:val="24"/>
      <w14:textFill>
        <w14:solidFill>
          <w14:schemeClr w14:val="tx1"/>
        </w14:solidFill>
      </w14:textFill>
    </w:rPr>
  </w:style>
  <w:style w:type="character" w:customStyle="1" w:styleId="43">
    <w:name w:val="标题 7 字符"/>
    <w:basedOn w:val="32"/>
    <w:link w:val="8"/>
    <w:qFormat/>
    <w:uiPriority w:val="0"/>
    <w:rPr>
      <w:rFonts w:ascii="仿宋" w:hAnsi="仿宋" w:cs="仿宋"/>
      <w:bCs/>
      <w:color w:val="000000" w:themeColor="text1"/>
      <w:kern w:val="2"/>
      <w:sz w:val="24"/>
      <w:szCs w:val="24"/>
      <w14:textFill>
        <w14:solidFill>
          <w14:schemeClr w14:val="tx1"/>
        </w14:solidFill>
      </w14:textFill>
    </w:rPr>
  </w:style>
  <w:style w:type="character" w:customStyle="1" w:styleId="44">
    <w:name w:val="标题 8 字符"/>
    <w:basedOn w:val="32"/>
    <w:link w:val="9"/>
    <w:qFormat/>
    <w:uiPriority w:val="0"/>
    <w:rPr>
      <w:rFonts w:ascii="仿宋" w:hAnsi="仿宋" w:cs="仿宋"/>
      <w:color w:val="000000" w:themeColor="text1"/>
      <w:kern w:val="2"/>
      <w:sz w:val="24"/>
      <w:szCs w:val="24"/>
      <w14:textFill>
        <w14:solidFill>
          <w14:schemeClr w14:val="tx1"/>
        </w14:solidFill>
      </w14:textFill>
    </w:rPr>
  </w:style>
  <w:style w:type="character" w:customStyle="1" w:styleId="45">
    <w:name w:val="标题 9 字符"/>
    <w:basedOn w:val="32"/>
    <w:link w:val="10"/>
    <w:qFormat/>
    <w:uiPriority w:val="0"/>
    <w:rPr>
      <w:rFonts w:ascii="仿宋" w:hAnsi="仿宋" w:cs="仿宋"/>
      <w:color w:val="000000" w:themeColor="text1"/>
      <w:kern w:val="2"/>
      <w:sz w:val="24"/>
      <w:szCs w:val="24"/>
      <w14:textFill>
        <w14:solidFill>
          <w14:schemeClr w14:val="tx1"/>
        </w14:solidFill>
      </w14:textFill>
    </w:rPr>
  </w:style>
  <w:style w:type="paragraph" w:customStyle="1" w:styleId="46">
    <w:name w:val="表"/>
    <w:basedOn w:val="1"/>
    <w:qFormat/>
    <w:uiPriority w:val="0"/>
    <w:pPr>
      <w:widowControl/>
      <w:spacing w:line="276" w:lineRule="auto"/>
      <w:ind w:firstLine="0" w:firstLineChars="0"/>
    </w:pPr>
    <w:rPr>
      <w:rFonts w:ascii="宋体" w:hAnsi="宋体" w:cs="宋体"/>
      <w:kern w:val="0"/>
      <w:sz w:val="21"/>
      <w:szCs w:val="21"/>
    </w:rPr>
  </w:style>
  <w:style w:type="character" w:customStyle="1" w:styleId="47">
    <w:name w:val="批注框文本 字符"/>
    <w:basedOn w:val="32"/>
    <w:link w:val="19"/>
    <w:qFormat/>
    <w:uiPriority w:val="0"/>
    <w:rPr>
      <w:rFonts w:ascii="仿宋" w:hAnsi="仿宋" w:cs="仿宋"/>
      <w:color w:val="000000" w:themeColor="text1"/>
      <w:kern w:val="2"/>
      <w:sz w:val="18"/>
      <w:szCs w:val="18"/>
      <w14:textFill>
        <w14:solidFill>
          <w14:schemeClr w14:val="tx1"/>
        </w14:solidFill>
      </w14:textFill>
    </w:rPr>
  </w:style>
  <w:style w:type="paragraph" w:customStyle="1" w:styleId="48">
    <w:name w:val="修订1"/>
    <w:hidden/>
    <w:qFormat/>
    <w:uiPriority w:val="0"/>
    <w:rPr>
      <w:rFonts w:ascii="Calibri" w:hAnsi="Calibri" w:eastAsia="宋体" w:cs="Times New Roman"/>
      <w:kern w:val="2"/>
      <w:sz w:val="21"/>
      <w:szCs w:val="22"/>
      <w:lang w:val="en-US" w:eastAsia="zh-CN" w:bidi="ar-SA"/>
    </w:rPr>
  </w:style>
  <w:style w:type="paragraph" w:customStyle="1" w:styleId="49">
    <w:name w:val="修订2"/>
    <w:hidden/>
    <w:qFormat/>
    <w:uiPriority w:val="99"/>
    <w:rPr>
      <w:rFonts w:ascii="Times New Roman" w:hAnsi="Times New Roman" w:eastAsia="宋体" w:cs="Times New Roman"/>
      <w:kern w:val="2"/>
      <w:sz w:val="21"/>
      <w:szCs w:val="24"/>
      <w:lang w:val="en-US" w:eastAsia="zh-CN" w:bidi="ar-SA"/>
    </w:rPr>
  </w:style>
  <w:style w:type="character" w:customStyle="1" w:styleId="50">
    <w:name w:val="页眉 字符"/>
    <w:basedOn w:val="32"/>
    <w:link w:val="21"/>
    <w:qFormat/>
    <w:uiPriority w:val="0"/>
    <w:rPr>
      <w:rFonts w:ascii="仿宋" w:hAnsi="仿宋" w:cs="仿宋"/>
      <w:color w:val="000000" w:themeColor="text1"/>
      <w:kern w:val="2"/>
      <w:sz w:val="18"/>
      <w:szCs w:val="18"/>
      <w14:textFill>
        <w14:solidFill>
          <w14:schemeClr w14:val="tx1"/>
        </w14:solidFill>
      </w14:textFill>
    </w:rPr>
  </w:style>
  <w:style w:type="character" w:customStyle="1" w:styleId="51">
    <w:name w:val="页脚 字符"/>
    <w:basedOn w:val="32"/>
    <w:link w:val="20"/>
    <w:qFormat/>
    <w:uiPriority w:val="99"/>
    <w:rPr>
      <w:rFonts w:ascii="仿宋" w:hAnsi="仿宋" w:cs="仿宋"/>
      <w:color w:val="000000" w:themeColor="text1"/>
      <w:kern w:val="2"/>
      <w:sz w:val="18"/>
      <w:szCs w:val="18"/>
      <w14:textFill>
        <w14:solidFill>
          <w14:schemeClr w14:val="tx1"/>
        </w14:solidFill>
      </w14:textFill>
    </w:rPr>
  </w:style>
  <w:style w:type="character" w:customStyle="1" w:styleId="52">
    <w:name w:val="批注文字 字符"/>
    <w:basedOn w:val="32"/>
    <w:link w:val="13"/>
    <w:qFormat/>
    <w:uiPriority w:val="0"/>
    <w:rPr>
      <w:rFonts w:ascii="仿宋" w:hAnsi="仿宋" w:cs="仿宋"/>
      <w:color w:val="000000" w:themeColor="text1"/>
      <w:kern w:val="2"/>
      <w:sz w:val="24"/>
      <w:szCs w:val="24"/>
      <w14:textFill>
        <w14:solidFill>
          <w14:schemeClr w14:val="tx1"/>
        </w14:solidFill>
      </w14:textFill>
    </w:rPr>
  </w:style>
  <w:style w:type="paragraph" w:customStyle="1" w:styleId="53">
    <w:name w:val="TOC 标题1"/>
    <w:basedOn w:val="2"/>
    <w:next w:val="1"/>
    <w:unhideWhenUsed/>
    <w:qFormat/>
    <w:uiPriority w:val="39"/>
    <w:pPr>
      <w:pageBreakBefore w:val="0"/>
      <w:widowControl/>
      <w:numPr>
        <w:numId w:val="0"/>
      </w:numPr>
      <w:spacing w:before="24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54">
    <w:name w:val="批注主题 字符"/>
    <w:basedOn w:val="52"/>
    <w:link w:val="28"/>
    <w:qFormat/>
    <w:uiPriority w:val="0"/>
    <w:rPr>
      <w:rFonts w:ascii="仿宋" w:hAnsi="仿宋" w:cs="仿宋"/>
      <w:b/>
      <w:bCs/>
      <w:color w:val="000000" w:themeColor="text1"/>
      <w:kern w:val="2"/>
      <w:sz w:val="24"/>
      <w:szCs w:val="24"/>
      <w14:textFill>
        <w14:solidFill>
          <w14:schemeClr w14:val="tx1"/>
        </w14:solidFill>
      </w14:textFill>
    </w:rPr>
  </w:style>
  <w:style w:type="character" w:customStyle="1" w:styleId="55">
    <w:name w:val="正文文本 字符"/>
    <w:basedOn w:val="32"/>
    <w:link w:val="14"/>
    <w:qFormat/>
    <w:uiPriority w:val="0"/>
    <w:rPr>
      <w:kern w:val="2"/>
      <w:sz w:val="24"/>
      <w:szCs w:val="22"/>
    </w:rPr>
  </w:style>
  <w:style w:type="paragraph" w:customStyle="1" w:styleId="56">
    <w:name w:val="one-p"/>
    <w:basedOn w:val="1"/>
    <w:uiPriority w:val="0"/>
    <w:pPr>
      <w:widowControl/>
      <w:spacing w:before="100" w:beforeAutospacing="1" w:after="100" w:afterAutospacing="1" w:line="240" w:lineRule="auto"/>
      <w:ind w:firstLine="0" w:firstLineChars="0"/>
      <w:jc w:val="left"/>
    </w:pPr>
    <w:rPr>
      <w:rFonts w:ascii="宋体" w:hAnsi="宋体" w:cs="宋体"/>
      <w:color w:val="auto"/>
      <w:kern w:val="0"/>
    </w:rPr>
  </w:style>
  <w:style w:type="paragraph" w:customStyle="1" w:styleId="57">
    <w:name w:val="列表段落1"/>
    <w:basedOn w:val="1"/>
    <w:qFormat/>
    <w:uiPriority w:val="34"/>
    <w:pPr>
      <w:ind w:firstLine="420"/>
    </w:pPr>
  </w:style>
  <w:style w:type="paragraph" w:customStyle="1" w:styleId="58">
    <w:name w:val="msonormal"/>
    <w:basedOn w:val="1"/>
    <w:uiPriority w:val="0"/>
    <w:pPr>
      <w:widowControl/>
      <w:spacing w:before="100" w:beforeAutospacing="1" w:after="100" w:afterAutospacing="1" w:line="240" w:lineRule="auto"/>
      <w:ind w:firstLine="0" w:firstLineChars="0"/>
      <w:jc w:val="left"/>
    </w:pPr>
    <w:rPr>
      <w:rFonts w:ascii="宋体" w:hAnsi="宋体" w:cs="宋体"/>
      <w:color w:val="auto"/>
      <w:kern w:val="0"/>
    </w:rPr>
  </w:style>
  <w:style w:type="paragraph" w:customStyle="1" w:styleId="59">
    <w:name w:val="font1"/>
    <w:basedOn w:val="1"/>
    <w:uiPriority w:val="0"/>
    <w:pPr>
      <w:widowControl/>
      <w:spacing w:before="100" w:beforeAutospacing="1" w:after="100" w:afterAutospacing="1" w:line="240" w:lineRule="auto"/>
      <w:ind w:firstLine="0" w:firstLineChars="0"/>
      <w:jc w:val="left"/>
    </w:pPr>
    <w:rPr>
      <w:rFonts w:ascii="等线" w:hAnsi="等线" w:eastAsia="等线" w:cs="宋体"/>
      <w:color w:val="000000"/>
      <w:kern w:val="0"/>
      <w:sz w:val="22"/>
      <w:szCs w:val="22"/>
    </w:rPr>
  </w:style>
  <w:style w:type="paragraph" w:customStyle="1" w:styleId="60">
    <w:name w:val="font5"/>
    <w:basedOn w:val="1"/>
    <w:uiPriority w:val="0"/>
    <w:pPr>
      <w:widowControl/>
      <w:spacing w:before="100" w:beforeAutospacing="1" w:after="100" w:afterAutospacing="1" w:line="240" w:lineRule="auto"/>
      <w:ind w:firstLine="0" w:firstLineChars="0"/>
      <w:jc w:val="left"/>
    </w:pPr>
    <w:rPr>
      <w:rFonts w:ascii="Times New Roman" w:hAnsi="Times New Roman" w:cs="Times New Roman"/>
      <w:color w:val="000000"/>
      <w:kern w:val="0"/>
      <w:sz w:val="20"/>
      <w:szCs w:val="20"/>
    </w:rPr>
  </w:style>
  <w:style w:type="paragraph" w:customStyle="1" w:styleId="61">
    <w:name w:val="font6"/>
    <w:basedOn w:val="1"/>
    <w:uiPriority w:val="0"/>
    <w:pPr>
      <w:widowControl/>
      <w:spacing w:before="100" w:beforeAutospacing="1" w:after="100" w:afterAutospacing="1" w:line="240" w:lineRule="auto"/>
      <w:ind w:firstLine="0" w:firstLineChars="0"/>
      <w:jc w:val="left"/>
    </w:pPr>
    <w:rPr>
      <w:rFonts w:ascii="等线" w:hAnsi="等线" w:eastAsia="等线" w:cs="宋体"/>
      <w:color w:val="auto"/>
      <w:kern w:val="0"/>
      <w:sz w:val="18"/>
      <w:szCs w:val="18"/>
    </w:rPr>
  </w:style>
  <w:style w:type="paragraph" w:customStyle="1" w:styleId="62">
    <w:name w:val="font7"/>
    <w:basedOn w:val="1"/>
    <w:uiPriority w:val="0"/>
    <w:pPr>
      <w:widowControl/>
      <w:spacing w:before="100" w:beforeAutospacing="1" w:after="100" w:afterAutospacing="1" w:line="240" w:lineRule="auto"/>
      <w:ind w:firstLine="0" w:firstLineChars="0"/>
      <w:jc w:val="left"/>
    </w:pPr>
    <w:rPr>
      <w:rFonts w:ascii="宋体" w:hAnsi="宋体" w:cs="宋体"/>
      <w:color w:val="000000"/>
      <w:kern w:val="0"/>
      <w:sz w:val="20"/>
      <w:szCs w:val="20"/>
    </w:rPr>
  </w:style>
  <w:style w:type="paragraph" w:customStyle="1" w:styleId="63">
    <w:name w:val="xl63"/>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left"/>
      <w:textAlignment w:val="center"/>
    </w:pPr>
    <w:rPr>
      <w:rFonts w:ascii="宋体" w:hAnsi="宋体" w:cs="宋体"/>
      <w:color w:val="000000"/>
      <w:kern w:val="0"/>
      <w:sz w:val="20"/>
      <w:szCs w:val="20"/>
    </w:rPr>
  </w:style>
  <w:style w:type="paragraph" w:customStyle="1" w:styleId="64">
    <w:name w:val="xl64"/>
    <w:basedOn w:val="1"/>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line="240" w:lineRule="auto"/>
      <w:ind w:firstLine="0" w:firstLineChars="0"/>
      <w:jc w:val="center"/>
      <w:textAlignment w:val="center"/>
    </w:pPr>
    <w:rPr>
      <w:rFonts w:ascii="宋体" w:hAnsi="宋体" w:cs="宋体"/>
      <w:color w:val="000000"/>
      <w:kern w:val="0"/>
      <w:sz w:val="20"/>
      <w:szCs w:val="20"/>
    </w:rPr>
  </w:style>
  <w:style w:type="paragraph" w:customStyle="1" w:styleId="65">
    <w:name w:val="xl65"/>
    <w:basedOn w:val="1"/>
    <w:uiPriority w:val="0"/>
    <w:pPr>
      <w:widowControl/>
      <w:pBdr>
        <w:top w:val="single" w:color="auto" w:sz="4" w:space="0"/>
        <w:left w:val="single" w:color="auto" w:sz="4" w:space="18"/>
        <w:bottom w:val="single" w:color="auto" w:sz="4" w:space="0"/>
        <w:right w:val="single" w:color="auto" w:sz="4" w:space="0"/>
      </w:pBdr>
      <w:spacing w:before="100" w:beforeAutospacing="1" w:after="100" w:afterAutospacing="1" w:line="240" w:lineRule="auto"/>
      <w:ind w:firstLine="0"/>
      <w:jc w:val="left"/>
      <w:textAlignment w:val="center"/>
    </w:pPr>
    <w:rPr>
      <w:rFonts w:ascii="宋体" w:hAnsi="宋体" w:cs="宋体"/>
      <w:color w:val="000000"/>
      <w:kern w:val="0"/>
      <w:sz w:val="20"/>
      <w:szCs w:val="20"/>
    </w:rPr>
  </w:style>
  <w:style w:type="paragraph" w:customStyle="1" w:styleId="66">
    <w:name w:val="xl66"/>
    <w:basedOn w:val="1"/>
    <w:uiPriority w:val="0"/>
    <w:pPr>
      <w:widowControl/>
      <w:pBdr>
        <w:top w:val="single" w:color="auto" w:sz="4" w:space="0"/>
        <w:left w:val="single" w:color="auto" w:sz="4" w:space="9"/>
        <w:bottom w:val="single" w:color="auto" w:sz="4" w:space="0"/>
        <w:right w:val="single" w:color="auto" w:sz="4" w:space="0"/>
      </w:pBdr>
      <w:spacing w:before="100" w:beforeAutospacing="1" w:after="100" w:afterAutospacing="1" w:line="240" w:lineRule="auto"/>
      <w:ind w:firstLine="0" w:firstLineChars="100"/>
      <w:jc w:val="left"/>
      <w:textAlignment w:val="center"/>
    </w:pPr>
    <w:rPr>
      <w:rFonts w:ascii="宋体" w:hAnsi="宋体" w:cs="宋体"/>
      <w:color w:val="000000"/>
      <w:kern w:val="0"/>
      <w:sz w:val="20"/>
      <w:szCs w:val="20"/>
    </w:rPr>
  </w:style>
  <w:style w:type="paragraph" w:customStyle="1" w:styleId="67">
    <w:name w:val="xl67"/>
    <w:basedOn w:val="1"/>
    <w:uiPriority w:val="0"/>
    <w:pPr>
      <w:widowControl/>
      <w:pBdr>
        <w:top w:val="single" w:color="auto" w:sz="4" w:space="0"/>
        <w:left w:val="single" w:color="auto" w:sz="4" w:space="18"/>
        <w:bottom w:val="single" w:color="auto" w:sz="4" w:space="0"/>
        <w:right w:val="single" w:color="auto" w:sz="4" w:space="0"/>
      </w:pBdr>
      <w:shd w:val="clear" w:color="000000" w:fill="E7E6E6"/>
      <w:spacing w:before="100" w:beforeAutospacing="1" w:after="100" w:afterAutospacing="1" w:line="240" w:lineRule="auto"/>
      <w:ind w:firstLine="0"/>
      <w:jc w:val="left"/>
      <w:textAlignment w:val="center"/>
    </w:pPr>
    <w:rPr>
      <w:rFonts w:ascii="宋体" w:hAnsi="宋体" w:cs="宋体"/>
      <w:color w:val="000000"/>
      <w:kern w:val="0"/>
      <w:sz w:val="20"/>
      <w:szCs w:val="20"/>
    </w:rPr>
  </w:style>
  <w:style w:type="paragraph" w:customStyle="1" w:styleId="68">
    <w:name w:val="xl68"/>
    <w:basedOn w:val="1"/>
    <w:uiPriority w:val="0"/>
    <w:pPr>
      <w:widowControl/>
      <w:pBdr>
        <w:top w:val="single" w:color="auto" w:sz="4" w:space="0"/>
        <w:left w:val="single" w:color="auto" w:sz="4" w:space="0"/>
        <w:bottom w:val="single" w:color="auto" w:sz="4" w:space="0"/>
        <w:right w:val="single" w:color="auto" w:sz="4" w:space="0"/>
      </w:pBdr>
      <w:shd w:val="clear" w:color="000000" w:fill="F2F2F2"/>
      <w:spacing w:before="100" w:beforeAutospacing="1" w:after="100" w:afterAutospacing="1" w:line="240" w:lineRule="auto"/>
      <w:ind w:firstLine="0" w:firstLineChars="0"/>
      <w:jc w:val="left"/>
      <w:textAlignment w:val="center"/>
    </w:pPr>
    <w:rPr>
      <w:rFonts w:ascii="宋体" w:hAnsi="宋体" w:cs="宋体"/>
      <w:color w:val="000000"/>
      <w:kern w:val="0"/>
      <w:sz w:val="20"/>
      <w:szCs w:val="20"/>
    </w:rPr>
  </w:style>
  <w:style w:type="paragraph" w:customStyle="1" w:styleId="69">
    <w:name w:val="xl69"/>
    <w:basedOn w:val="1"/>
    <w:qFormat/>
    <w:uiPriority w:val="0"/>
    <w:pPr>
      <w:widowControl/>
      <w:pBdr>
        <w:top w:val="single" w:color="auto" w:sz="4" w:space="0"/>
        <w:left w:val="single" w:color="auto" w:sz="4" w:space="31"/>
        <w:bottom w:val="single" w:color="auto" w:sz="4" w:space="0"/>
        <w:right w:val="single" w:color="auto" w:sz="4" w:space="0"/>
      </w:pBdr>
      <w:spacing w:before="100" w:beforeAutospacing="1" w:after="100" w:afterAutospacing="1" w:line="240" w:lineRule="auto"/>
      <w:ind w:firstLine="0" w:firstLineChars="1300"/>
      <w:jc w:val="left"/>
      <w:textAlignment w:val="center"/>
    </w:pPr>
    <w:rPr>
      <w:rFonts w:ascii="宋体" w:hAnsi="宋体" w:cs="宋体"/>
      <w:color w:val="000000"/>
      <w:kern w:val="0"/>
      <w:sz w:val="20"/>
      <w:szCs w:val="20"/>
    </w:rPr>
  </w:style>
  <w:style w:type="paragraph" w:customStyle="1" w:styleId="70">
    <w:name w:val="xl70"/>
    <w:basedOn w:val="1"/>
    <w:uiPriority w:val="0"/>
    <w:pPr>
      <w:widowControl/>
      <w:pBdr>
        <w:top w:val="single" w:color="auto" w:sz="4" w:space="0"/>
        <w:left w:val="single" w:color="auto" w:sz="4" w:space="31"/>
        <w:bottom w:val="single" w:color="auto" w:sz="4" w:space="0"/>
        <w:right w:val="single" w:color="auto" w:sz="4" w:space="0"/>
      </w:pBdr>
      <w:spacing w:before="100" w:beforeAutospacing="1" w:after="100" w:afterAutospacing="1" w:line="240" w:lineRule="auto"/>
      <w:ind w:firstLine="0" w:firstLineChars="1400"/>
      <w:jc w:val="left"/>
      <w:textAlignment w:val="center"/>
    </w:pPr>
    <w:rPr>
      <w:rFonts w:ascii="宋体" w:hAnsi="宋体" w:cs="宋体"/>
      <w:color w:val="000000"/>
      <w:kern w:val="0"/>
      <w:sz w:val="20"/>
      <w:szCs w:val="20"/>
    </w:rPr>
  </w:style>
  <w:style w:type="paragraph" w:customStyle="1" w:styleId="71">
    <w:name w:val="xl71"/>
    <w:basedOn w:val="1"/>
    <w:uiPriority w:val="0"/>
    <w:pPr>
      <w:widowControl/>
      <w:pBdr>
        <w:top w:val="single" w:color="auto" w:sz="4" w:space="0"/>
        <w:left w:val="single" w:color="auto" w:sz="4" w:space="0"/>
        <w:bottom w:val="single" w:color="auto" w:sz="4" w:space="0"/>
        <w:right w:val="single" w:color="auto" w:sz="4" w:space="0"/>
      </w:pBdr>
      <w:shd w:val="clear" w:color="000000" w:fill="E7E6E6"/>
      <w:spacing w:before="100" w:beforeAutospacing="1" w:after="100" w:afterAutospacing="1" w:line="240" w:lineRule="auto"/>
      <w:ind w:firstLine="0" w:firstLineChars="0"/>
      <w:jc w:val="left"/>
      <w:textAlignment w:val="center"/>
    </w:pPr>
    <w:rPr>
      <w:rFonts w:ascii="宋体" w:hAnsi="宋体" w:cs="宋体"/>
      <w:color w:val="000000"/>
      <w:kern w:val="0"/>
      <w:sz w:val="20"/>
      <w:szCs w:val="20"/>
    </w:rPr>
  </w:style>
  <w:style w:type="paragraph" w:customStyle="1" w:styleId="72">
    <w:name w:val="xl72"/>
    <w:basedOn w:val="1"/>
    <w:uiPriority w:val="0"/>
    <w:pPr>
      <w:widowControl/>
      <w:pBdr>
        <w:top w:val="single" w:color="auto" w:sz="4" w:space="0"/>
        <w:left w:val="single" w:color="auto" w:sz="4" w:space="31"/>
        <w:bottom w:val="single" w:color="auto" w:sz="4" w:space="0"/>
        <w:right w:val="single" w:color="auto" w:sz="4" w:space="0"/>
      </w:pBdr>
      <w:spacing w:before="100" w:beforeAutospacing="1" w:after="100" w:afterAutospacing="1" w:line="240" w:lineRule="auto"/>
      <w:ind w:firstLine="0" w:firstLineChars="1500"/>
      <w:jc w:val="left"/>
      <w:textAlignment w:val="center"/>
    </w:pPr>
    <w:rPr>
      <w:rFonts w:ascii="宋体" w:hAnsi="宋体" w:cs="宋体"/>
      <w:color w:val="000000"/>
      <w:kern w:val="0"/>
      <w:sz w:val="20"/>
      <w:szCs w:val="20"/>
    </w:rPr>
  </w:style>
  <w:style w:type="paragraph" w:customStyle="1" w:styleId="73">
    <w:name w:val="xl73"/>
    <w:basedOn w:val="1"/>
    <w:qFormat/>
    <w:uiPriority w:val="0"/>
    <w:pPr>
      <w:widowControl/>
      <w:pBdr>
        <w:top w:val="single" w:color="auto" w:sz="4" w:space="0"/>
        <w:left w:val="single" w:color="auto" w:sz="4" w:space="0"/>
        <w:bottom w:val="single" w:color="auto" w:sz="4" w:space="0"/>
        <w:right w:val="single" w:color="auto" w:sz="4" w:space="0"/>
      </w:pBdr>
      <w:shd w:val="clear" w:color="000000" w:fill="E7E6E6"/>
      <w:spacing w:before="100" w:beforeAutospacing="1" w:after="100" w:afterAutospacing="1" w:line="240" w:lineRule="auto"/>
      <w:ind w:firstLine="0" w:firstLineChars="0"/>
      <w:jc w:val="center"/>
      <w:textAlignment w:val="center"/>
    </w:pPr>
    <w:rPr>
      <w:rFonts w:ascii="宋体" w:hAnsi="宋体" w:cs="宋体"/>
      <w:color w:val="000000"/>
      <w:kern w:val="0"/>
      <w:sz w:val="20"/>
      <w:szCs w:val="20"/>
    </w:rPr>
  </w:style>
  <w:style w:type="paragraph" w:customStyle="1" w:styleId="74">
    <w:name w:val="xl74"/>
    <w:basedOn w:val="1"/>
    <w:qFormat/>
    <w:uiPriority w:val="0"/>
    <w:pPr>
      <w:widowControl/>
      <w:pBdr>
        <w:top w:val="single" w:color="auto" w:sz="4" w:space="0"/>
        <w:left w:val="single" w:color="auto" w:sz="4" w:space="18"/>
        <w:bottom w:val="single" w:color="auto" w:sz="4" w:space="0"/>
        <w:right w:val="single" w:color="auto" w:sz="4" w:space="0"/>
      </w:pBdr>
      <w:shd w:val="clear" w:color="000000" w:fill="FFFFFF"/>
      <w:spacing w:before="100" w:beforeAutospacing="1" w:after="100" w:afterAutospacing="1" w:line="240" w:lineRule="auto"/>
      <w:ind w:firstLine="0"/>
      <w:jc w:val="left"/>
      <w:textAlignment w:val="center"/>
    </w:pPr>
    <w:rPr>
      <w:rFonts w:ascii="宋体" w:hAnsi="宋体" w:cs="宋体"/>
      <w:color w:val="000000"/>
      <w:kern w:val="0"/>
      <w:sz w:val="20"/>
      <w:szCs w:val="20"/>
    </w:rPr>
  </w:style>
  <w:style w:type="paragraph" w:customStyle="1" w:styleId="75">
    <w:name w:val="xl75"/>
    <w:basedOn w:val="1"/>
    <w:qFormat/>
    <w:uiPriority w:val="0"/>
    <w:pPr>
      <w:widowControl/>
      <w:pBdr>
        <w:top w:val="single" w:color="auto" w:sz="4" w:space="0"/>
        <w:left w:val="single" w:color="auto" w:sz="4" w:space="0"/>
        <w:bottom w:val="single" w:color="auto" w:sz="4" w:space="0"/>
        <w:right w:val="single" w:color="auto" w:sz="4" w:space="0"/>
      </w:pBdr>
      <w:shd w:val="clear" w:color="000000" w:fill="F2F2F2"/>
      <w:spacing w:before="100" w:beforeAutospacing="1" w:after="100" w:afterAutospacing="1" w:line="240" w:lineRule="auto"/>
      <w:ind w:firstLine="0" w:firstLineChars="0"/>
      <w:jc w:val="center"/>
      <w:textAlignment w:val="center"/>
    </w:pPr>
    <w:rPr>
      <w:rFonts w:ascii="宋体" w:hAnsi="宋体" w:cs="宋体"/>
      <w:color w:val="000000"/>
      <w:kern w:val="0"/>
      <w:sz w:val="20"/>
      <w:szCs w:val="20"/>
    </w:rPr>
  </w:style>
  <w:style w:type="paragraph" w:customStyle="1" w:styleId="76">
    <w:name w:val="xl76"/>
    <w:basedOn w:val="1"/>
    <w:qFormat/>
    <w:uiPriority w:val="0"/>
    <w:pPr>
      <w:widowControl/>
      <w:pBdr>
        <w:top w:val="single" w:color="auto" w:sz="4" w:space="0"/>
        <w:left w:val="single" w:color="auto" w:sz="4" w:space="18"/>
        <w:bottom w:val="single" w:color="auto" w:sz="4" w:space="0"/>
        <w:right w:val="single" w:color="auto" w:sz="4" w:space="0"/>
      </w:pBdr>
      <w:shd w:val="clear" w:color="000000" w:fill="F2F2F2"/>
      <w:spacing w:before="100" w:beforeAutospacing="1" w:after="100" w:afterAutospacing="1" w:line="240" w:lineRule="auto"/>
      <w:ind w:firstLine="0"/>
      <w:jc w:val="left"/>
      <w:textAlignment w:val="center"/>
    </w:pPr>
    <w:rPr>
      <w:rFonts w:ascii="宋体" w:hAnsi="宋体" w:cs="宋体"/>
      <w:color w:val="000000"/>
      <w:kern w:val="0"/>
      <w:sz w:val="20"/>
      <w:szCs w:val="20"/>
    </w:rPr>
  </w:style>
  <w:style w:type="paragraph" w:customStyle="1" w:styleId="77">
    <w:name w:val="xl77"/>
    <w:basedOn w:val="1"/>
    <w:uiPriority w:val="0"/>
    <w:pPr>
      <w:widowControl/>
      <w:pBdr>
        <w:top w:val="single" w:color="auto" w:sz="4" w:space="0"/>
        <w:left w:val="single" w:color="auto" w:sz="4" w:space="0"/>
        <w:bottom w:val="single" w:color="auto" w:sz="4" w:space="0"/>
        <w:right w:val="single" w:color="auto" w:sz="4" w:space="0"/>
      </w:pBdr>
      <w:shd w:val="clear" w:color="000000" w:fill="F2F2F2"/>
      <w:spacing w:before="100" w:beforeAutospacing="1" w:after="100" w:afterAutospacing="1" w:line="240" w:lineRule="auto"/>
      <w:ind w:firstLine="0" w:firstLineChars="0"/>
      <w:jc w:val="left"/>
      <w:textAlignment w:val="center"/>
    </w:pPr>
    <w:rPr>
      <w:rFonts w:ascii="宋体" w:hAnsi="宋体" w:cs="宋体"/>
      <w:color w:val="000000"/>
      <w:kern w:val="0"/>
      <w:sz w:val="20"/>
      <w:szCs w:val="20"/>
    </w:rPr>
  </w:style>
  <w:style w:type="paragraph" w:customStyle="1" w:styleId="78">
    <w:name w:val="xl78"/>
    <w:basedOn w:val="1"/>
    <w:uiPriority w:val="0"/>
    <w:pPr>
      <w:widowControl/>
      <w:pBdr>
        <w:top w:val="single" w:color="auto" w:sz="4" w:space="0"/>
        <w:left w:val="single" w:color="auto" w:sz="4" w:space="9"/>
        <w:bottom w:val="single" w:color="auto" w:sz="4" w:space="0"/>
        <w:right w:val="single" w:color="auto" w:sz="4" w:space="0"/>
      </w:pBdr>
      <w:shd w:val="clear" w:color="000000" w:fill="E7E6E6"/>
      <w:spacing w:before="100" w:beforeAutospacing="1" w:after="100" w:afterAutospacing="1" w:line="240" w:lineRule="auto"/>
      <w:ind w:firstLine="0" w:firstLineChars="100"/>
      <w:jc w:val="left"/>
      <w:textAlignment w:val="center"/>
    </w:pPr>
    <w:rPr>
      <w:rFonts w:ascii="宋体" w:hAnsi="宋体" w:cs="宋体"/>
      <w:color w:val="000000"/>
      <w:kern w:val="0"/>
      <w:sz w:val="20"/>
      <w:szCs w:val="20"/>
    </w:rPr>
  </w:style>
  <w:style w:type="paragraph" w:customStyle="1" w:styleId="79">
    <w:name w:val="xl79"/>
    <w:basedOn w:val="1"/>
    <w:uiPriority w:val="0"/>
    <w:pPr>
      <w:widowControl/>
      <w:pBdr>
        <w:top w:val="single" w:color="auto" w:sz="4" w:space="0"/>
        <w:left w:val="single" w:color="auto" w:sz="4" w:space="9"/>
        <w:bottom w:val="single" w:color="auto" w:sz="4" w:space="0"/>
        <w:right w:val="single" w:color="auto" w:sz="4" w:space="0"/>
      </w:pBdr>
      <w:shd w:val="clear" w:color="000000" w:fill="F2F2F2"/>
      <w:spacing w:before="100" w:beforeAutospacing="1" w:after="100" w:afterAutospacing="1" w:line="240" w:lineRule="auto"/>
      <w:ind w:firstLine="0" w:firstLineChars="100"/>
      <w:jc w:val="left"/>
      <w:textAlignment w:val="center"/>
    </w:pPr>
    <w:rPr>
      <w:rFonts w:ascii="宋体" w:hAnsi="宋体" w:cs="宋体"/>
      <w:color w:val="000000"/>
      <w:kern w:val="0"/>
      <w:sz w:val="20"/>
      <w:szCs w:val="20"/>
    </w:rPr>
  </w:style>
  <w:style w:type="paragraph" w:customStyle="1" w:styleId="80">
    <w:name w:val="xl80"/>
    <w:basedOn w:val="1"/>
    <w:uiPriority w:val="0"/>
    <w:pPr>
      <w:widowControl/>
      <w:pBdr>
        <w:top w:val="single" w:color="auto" w:sz="4" w:space="0"/>
        <w:left w:val="single" w:color="auto" w:sz="4" w:space="9"/>
        <w:bottom w:val="single" w:color="auto" w:sz="4" w:space="0"/>
        <w:right w:val="single" w:color="auto" w:sz="4" w:space="0"/>
      </w:pBdr>
      <w:shd w:val="clear" w:color="000000" w:fill="FFFFFF"/>
      <w:spacing w:before="100" w:beforeAutospacing="1" w:after="100" w:afterAutospacing="1" w:line="240" w:lineRule="auto"/>
      <w:ind w:firstLine="0" w:firstLineChars="100"/>
      <w:jc w:val="left"/>
      <w:textAlignment w:val="center"/>
    </w:pPr>
    <w:rPr>
      <w:rFonts w:ascii="宋体" w:hAnsi="宋体" w:cs="宋体"/>
      <w:color w:val="000000"/>
      <w:kern w:val="0"/>
      <w:sz w:val="20"/>
      <w:szCs w:val="20"/>
    </w:rPr>
  </w:style>
  <w:style w:type="paragraph" w:customStyle="1" w:styleId="81">
    <w:name w:val="xl81"/>
    <w:basedOn w:val="1"/>
    <w:uiPriority w:val="0"/>
    <w:pPr>
      <w:widowControl/>
      <w:pBdr>
        <w:top w:val="single" w:color="auto" w:sz="4" w:space="0"/>
        <w:left w:val="single" w:color="auto" w:sz="4" w:space="9"/>
        <w:bottom w:val="single" w:color="auto" w:sz="4" w:space="0"/>
        <w:right w:val="single" w:color="auto" w:sz="4" w:space="0"/>
      </w:pBdr>
      <w:shd w:val="clear" w:color="000000" w:fill="F2F2F2"/>
      <w:spacing w:before="100" w:beforeAutospacing="1" w:after="100" w:afterAutospacing="1" w:line="240" w:lineRule="auto"/>
      <w:ind w:firstLine="0" w:firstLineChars="100"/>
      <w:jc w:val="left"/>
      <w:textAlignment w:val="center"/>
    </w:pPr>
    <w:rPr>
      <w:rFonts w:ascii="宋体" w:hAnsi="宋体" w:cs="宋体"/>
      <w:color w:val="000000"/>
      <w:kern w:val="0"/>
      <w:sz w:val="20"/>
      <w:szCs w:val="20"/>
    </w:rPr>
  </w:style>
  <w:style w:type="paragraph" w:customStyle="1" w:styleId="82">
    <w:name w:val="xl82"/>
    <w:basedOn w:val="1"/>
    <w:uiPriority w:val="0"/>
    <w:pPr>
      <w:widowControl/>
      <w:pBdr>
        <w:top w:val="single" w:color="auto" w:sz="4" w:space="0"/>
        <w:left w:val="single" w:color="auto" w:sz="4" w:space="27"/>
        <w:bottom w:val="single" w:color="auto" w:sz="4" w:space="0"/>
        <w:right w:val="single" w:color="auto" w:sz="4" w:space="0"/>
      </w:pBdr>
      <w:shd w:val="clear" w:color="000000" w:fill="FFFFFF"/>
      <w:spacing w:before="100" w:beforeAutospacing="1" w:after="100" w:afterAutospacing="1" w:line="240" w:lineRule="auto"/>
      <w:ind w:firstLine="0" w:firstLineChars="300"/>
      <w:jc w:val="left"/>
      <w:textAlignment w:val="center"/>
    </w:pPr>
    <w:rPr>
      <w:rFonts w:ascii="宋体" w:hAnsi="宋体" w:cs="宋体"/>
      <w:color w:val="000000"/>
      <w:kern w:val="0"/>
      <w:sz w:val="20"/>
      <w:szCs w:val="20"/>
    </w:rPr>
  </w:style>
  <w:style w:type="paragraph" w:customStyle="1" w:styleId="83">
    <w:name w:val="xl83"/>
    <w:basedOn w:val="1"/>
    <w:uiPriority w:val="0"/>
    <w:pPr>
      <w:widowControl/>
      <w:pBdr>
        <w:top w:val="single" w:color="auto" w:sz="4" w:space="0"/>
        <w:left w:val="single" w:color="auto" w:sz="4" w:space="9"/>
        <w:bottom w:val="single" w:color="auto" w:sz="4" w:space="0"/>
        <w:right w:val="single" w:color="auto" w:sz="4" w:space="0"/>
      </w:pBdr>
      <w:spacing w:before="100" w:beforeAutospacing="1" w:after="100" w:afterAutospacing="1" w:line="240" w:lineRule="auto"/>
      <w:ind w:firstLine="0" w:firstLineChars="100"/>
      <w:jc w:val="left"/>
      <w:textAlignment w:val="center"/>
    </w:pPr>
    <w:rPr>
      <w:rFonts w:ascii="宋体" w:hAnsi="宋体" w:cs="宋体"/>
      <w:color w:val="000000"/>
      <w:kern w:val="0"/>
      <w:sz w:val="20"/>
      <w:szCs w:val="20"/>
    </w:rPr>
  </w:style>
  <w:style w:type="paragraph" w:customStyle="1" w:styleId="84">
    <w:name w:val="小四正文"/>
    <w:basedOn w:val="1"/>
    <w:unhideWhenUsed/>
    <w:qFormat/>
    <w:uiPriority w:val="0"/>
    <w:pPr>
      <w:spacing w:line="440" w:lineRule="exact"/>
      <w:ind w:firstLine="200"/>
    </w:pPr>
    <w:rPr>
      <w:rFonts w:eastAsia="仿宋"/>
      <w:color w:val="000000"/>
    </w:rPr>
  </w:style>
  <w:style w:type="character" w:customStyle="1" w:styleId="85">
    <w:name w:val="font31"/>
    <w:basedOn w:val="32"/>
    <w:uiPriority w:val="0"/>
    <w:rPr>
      <w:rFonts w:hint="default" w:ascii="Times New Roman" w:hAnsi="Times New Roman" w:cs="Times New Roman"/>
      <w:color w:val="000000"/>
      <w:sz w:val="20"/>
      <w:szCs w:val="20"/>
      <w:u w:val="none"/>
    </w:rPr>
  </w:style>
  <w:style w:type="paragraph" w:customStyle="1" w:styleId="86">
    <w:name w:val="*正文"/>
    <w:basedOn w:val="1"/>
    <w:qFormat/>
    <w:uiPriority w:val="0"/>
    <w:pPr>
      <w:widowControl/>
      <w:jc w:val="left"/>
    </w:pPr>
    <w:rPr>
      <w:rFonts w:ascii="宋体" w:hAnsiTheme="minorHAnsi" w:cstheme="minorBidi"/>
      <w:szCs w:val="30"/>
    </w:rPr>
  </w:style>
  <w:style w:type="paragraph" w:customStyle="1" w:styleId="87">
    <w:name w:val="正文样式"/>
    <w:unhideWhenUsed/>
    <w:qFormat/>
    <w:uiPriority w:val="0"/>
    <w:pPr>
      <w:widowControl w:val="0"/>
      <w:adjustRightInd w:val="0"/>
      <w:snapToGrid w:val="0"/>
      <w:spacing w:line="360" w:lineRule="auto"/>
      <w:ind w:firstLine="200" w:firstLineChars="200"/>
      <w:jc w:val="both"/>
    </w:pPr>
    <w:rPr>
      <w:rFonts w:ascii="Times New Roman" w:hAnsi="Times New Roman" w:eastAsia="宋体" w:cs="Times New Roman"/>
      <w:bCs/>
      <w:snapToGrid w:val="0"/>
      <w:sz w:val="24"/>
      <w:szCs w:val="44"/>
      <w:lang w:val="en-US" w:eastAsia="zh-CN" w:bidi="ar-SA"/>
    </w:rPr>
  </w:style>
  <w:style w:type="paragraph" w:customStyle="1" w:styleId="88">
    <w:name w:val="表正文"/>
    <w:basedOn w:val="1"/>
    <w:qFormat/>
    <w:uiPriority w:val="0"/>
    <w:pPr>
      <w:spacing w:line="276" w:lineRule="auto"/>
      <w:ind w:firstLine="0" w:firstLineChars="0"/>
    </w:pPr>
    <w:rPr>
      <w:rFonts w:ascii="宋体" w:hAnsi="宋体" w:cs="Calibri"/>
      <w:kern w:val="0"/>
      <w:sz w:val="21"/>
      <w:szCs w:val="21"/>
    </w:rPr>
  </w:style>
  <w:style w:type="character" w:customStyle="1" w:styleId="89">
    <w:name w:val="正文文本 字符1"/>
    <w:semiHidden/>
    <w:qFormat/>
    <w:locked/>
    <w:uiPriority w:val="99"/>
    <w:rPr>
      <w:kern w:val="2"/>
      <w:sz w:val="24"/>
      <w:szCs w:val="22"/>
    </w:rPr>
  </w:style>
  <w:style w:type="character" w:customStyle="1" w:styleId="90">
    <w:name w:val="font21"/>
    <w:basedOn w:val="32"/>
    <w:uiPriority w:val="0"/>
    <w:rPr>
      <w:rFonts w:hint="eastAsia" w:ascii="宋体" w:hAnsi="宋体" w:eastAsia="宋体" w:cs="宋体"/>
      <w:color w:val="000000"/>
      <w:sz w:val="20"/>
      <w:szCs w:val="20"/>
      <w:u w:val="none"/>
    </w:rPr>
  </w:style>
  <w:style w:type="paragraph" w:customStyle="1" w:styleId="91">
    <w:name w:val="Table Paragraph"/>
    <w:basedOn w:val="1"/>
    <w:qFormat/>
    <w:uiPriority w:val="1"/>
    <w:pPr>
      <w:spacing w:line="243" w:lineRule="exact"/>
      <w:ind w:firstLine="0" w:firstLineChars="0"/>
      <w:jc w:val="left"/>
    </w:pPr>
    <w:rPr>
      <w:rFonts w:ascii="仿宋_GB2312" w:hAnsi="宋体" w:eastAsia="仿宋_GB2312" w:cs="宋体"/>
      <w:kern w:val="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emf"/><Relationship Id="rId3" Type="http://schemas.openxmlformats.org/officeDocument/2006/relationships/footnotes" Target="footnotes.xml"/><Relationship Id="rId29" Type="http://schemas.openxmlformats.org/officeDocument/2006/relationships/oleObject" Target="embeddings/oleObject3.bin"/><Relationship Id="rId28" Type="http://schemas.openxmlformats.org/officeDocument/2006/relationships/image" Target="media/image8.png"/><Relationship Id="rId27" Type="http://schemas.openxmlformats.org/officeDocument/2006/relationships/image" Target="media/image7.emf"/><Relationship Id="rId26" Type="http://schemas.openxmlformats.org/officeDocument/2006/relationships/oleObject" Target="embeddings/oleObject2.bin"/><Relationship Id="rId25" Type="http://schemas.openxmlformats.org/officeDocument/2006/relationships/image" Target="media/image6.png"/><Relationship Id="rId24" Type="http://schemas.openxmlformats.org/officeDocument/2006/relationships/image" Target="media/image5.emf"/><Relationship Id="rId23" Type="http://schemas.openxmlformats.org/officeDocument/2006/relationships/image" Target="media/image4.emf"/><Relationship Id="rId22" Type="http://schemas.openxmlformats.org/officeDocument/2006/relationships/oleObject" Target="embeddings/oleObject1.bin"/><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emf"/><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Topnet</Company>
  <Pages>203</Pages>
  <Words>103334</Words>
  <Characters>114450</Characters>
  <Lines>992</Lines>
  <Paragraphs>279</Paragraphs>
  <TotalTime>0</TotalTime>
  <ScaleCrop>false</ScaleCrop>
  <LinksUpToDate>false</LinksUpToDate>
  <CharactersWithSpaces>117484</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2022-06-19T10:11:00Z</dcterms:created>
  <dc:creator>July</dc:creator>
  <cp:lastModifiedBy>赵军</cp:lastModifiedBy>
  <dcterms:modified xsi:type="dcterms:W3CDTF">2022-08-08T02:39:05Z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E8980F464DB84C959D7462461248B3EB</vt:lpwstr>
  </property>
</Properties>
</file>