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r>
        <w:rPr>
          <w:rFonts w:ascii="Calibri" w:cs="Calibri" w:eastAsia="Calibri" w:hAnsi="Calibri"/>
          <w:sz w:val="21"/>
          <w:szCs w:val="21"/>
        </w:rPr>
        <w:t xml:space="preserve"/>
      </w:r>
    </w:p>
    <w:p>
      <w:pPr>
        <w:spacing w:after="100"/>
        <w:jc w:val="center"/>
      </w:pPr>
      <w:r>
        <w:rPr>
          <w:rFonts w:ascii="Calibri" w:cs="Calibri" w:eastAsia="Calibri" w:hAnsi="Calibri"/>
          <w:b/>
          <w:bCs/>
          <w:color w:val="595959"/>
          <w:sz w:val="20"/>
          <w:szCs w:val="20"/>
        </w:rPr>
        <w:t xml:space="preserve">PROJECT DOCUMENTATION</w:t>
      </w:r>
    </w:p>
    <w:p>
      <w:pPr>
        <w:spacing w:after="140"/>
        <w:jc w:val="center"/>
      </w:pPr>
      <w:r>
        <w:rPr>
          <w:rFonts w:ascii="Calibri" w:cs="Calibri" w:eastAsia="Calibri" w:hAnsi="Calibri"/>
          <w:b/>
          <w:bCs/>
          <w:color w:val="1F3864"/>
          <w:sz w:val="54"/>
          <w:szCs w:val="54"/>
        </w:rPr>
        <w:t xml:space="preserve">AI for Adaptive Networks</w:t>
      </w:r>
    </w:p>
    <w:p>
      <w:pPr>
        <w:pBdr>
          <w:top w:val="single" w:color="2E74B5" w:sz="8" w:space="10"/>
        </w:pBdr>
        <w:spacing w:after="380"/>
        <w:jc w:val="center"/>
      </w:pPr>
      <w:r>
        <w:rPr>
          <w:rFonts w:ascii="Calibri" w:cs="Calibri" w:eastAsia="Calibri" w:hAnsi="Calibri"/>
          <w:i/>
          <w:iCs/>
          <w:color w:val="595959"/>
          <w:sz w:val="24"/>
          <w:szCs w:val="24"/>
        </w:rPr>
        <w:t xml:space="preserve">An AI-based Fault-Diagnosis System for a Long-Haul Optical + IP Transport Network</w:t>
      </w:r>
    </w:p>
    <w:p>
      <w:pPr>
        <w:spacing w:after="560"/>
      </w:pPr>
      <w:r>
        <w:rPr>
          <w:rFonts w:ascii="Calibri" w:cs="Calibri" w:eastAsia="Calibri" w:hAnsi="Calibri"/>
          <w:sz w:val="21"/>
          <w:szCs w:val="21"/>
        </w:rPr>
        <w:t xml:space="preserve"/>
      </w:r>
    </w:p>
    <w:tbl>
      <w:tblPr>
        <w:tblW w:type="dxa" w:w="8700"/>
        <w:tblBorders>
          <w:top w:val="single" w:color="C9D3E0" w:sz="2"/>
          <w:left w:val="single" w:color="C9D3E0" w:sz="2"/>
          <w:bottom w:val="single" w:color="C9D3E0" w:sz="2"/>
          <w:right w:val="single" w:color="C9D3E0" w:sz="2"/>
          <w:insideH w:val="single" w:color="DCE3EC" w:sz="2"/>
          <w:insideV w:val="single" w:color="DCE3EC" w:sz="2"/>
        </w:tblBorders>
      </w:tblPr>
      <w:tblGrid>
        <w:gridCol w:w="2700"/>
        <w:gridCol w:w="6000"/>
      </w:tblGrid>
      <w:tr>
        <w:tc>
          <w:tcPr>
            <w:tcW w:type="dxa" w:w="2700"/>
            <w:shd w:fill="EEF2F8"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Project</w:t>
            </w:r>
          </w:p>
        </w:tc>
        <w:tc>
          <w:tcPr>
            <w:tcW w:type="dxa" w:w="6000"/>
            <w:tcMar>
              <w:top w:type="dxa" w:w="60"/>
              <w:left w:type="dxa" w:w="100"/>
              <w:bottom w:type="dxa" w:w="60"/>
              <w:right w:type="dxa" w:w="100"/>
            </w:tcMar>
          </w:tcPr>
          <w:p>
            <w:pPr>
              <w:spacing w:after="0" w:line="264"/>
            </w:pPr>
            <w:r>
              <w:rPr>
                <w:rFonts w:ascii="Calibri" w:cs="Calibri" w:eastAsia="Calibri" w:hAnsi="Calibri"/>
                <w:sz w:val="19"/>
                <w:szCs w:val="19"/>
              </w:rPr>
              <w:t xml:space="preserve">AI for Adaptive Networks</w:t>
            </w:r>
          </w:p>
        </w:tc>
      </w:tr>
      <w:tr>
        <w:tc>
          <w:tcPr>
            <w:tcW w:type="dxa" w:w="2700"/>
            <w:shd w:fill="EEF2F8"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Objective</w:t>
            </w:r>
          </w:p>
        </w:tc>
        <w:tc>
          <w:tcPr>
            <w:tcW w:type="dxa" w:w="6000"/>
            <w:tcMar>
              <w:top w:type="dxa" w:w="60"/>
              <w:left w:type="dxa" w:w="100"/>
              <w:bottom w:type="dxa" w:w="60"/>
              <w:right w:type="dxa" w:w="100"/>
            </w:tcMar>
          </w:tcPr>
          <w:p>
            <w:pPr>
              <w:spacing w:after="0" w:line="264"/>
            </w:pPr>
            <w:r>
              <w:rPr>
                <w:rFonts w:ascii="Calibri" w:cs="Calibri" w:eastAsia="Calibri" w:hAnsi="Calibri"/>
                <w:sz w:val="19"/>
                <w:szCs w:val="19"/>
              </w:rPr>
              <w:t xml:space="preserve">Automatically diagnose network faults from multi-layer device logs — locate the origin and identify the root cause</w:t>
            </w:r>
          </w:p>
        </w:tc>
      </w:tr>
      <w:tr>
        <w:tc>
          <w:tcPr>
            <w:tcW w:type="dxa" w:w="2700"/>
            <w:shd w:fill="EEF2F8"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Domain</w:t>
            </w:r>
          </w:p>
        </w:tc>
        <w:tc>
          <w:tcPr>
            <w:tcW w:type="dxa" w:w="6000"/>
            <w:tcMar>
              <w:top w:type="dxa" w:w="60"/>
              <w:left w:type="dxa" w:w="100"/>
              <w:bottom w:type="dxa" w:w="60"/>
              <w:right w:type="dxa" w:w="100"/>
            </w:tcMar>
          </w:tcPr>
          <w:p>
            <w:pPr>
              <w:spacing w:after="0" w:line="264"/>
            </w:pPr>
            <w:r>
              <w:rPr>
                <w:rFonts w:ascii="Calibri" w:cs="Calibri" w:eastAsia="Calibri" w:hAnsi="Calibri"/>
                <w:sz w:val="19"/>
                <w:szCs w:val="19"/>
              </w:rPr>
              <w:t xml:space="preserve">Optical transport (DWDM) + IP routing, log analytics, AI-based fault diagnosis</w:t>
            </w:r>
          </w:p>
        </w:tc>
      </w:tr>
      <w:tr>
        <w:tc>
          <w:tcPr>
            <w:tcW w:type="dxa" w:w="2700"/>
            <w:shd w:fill="EEF2F8"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Network topology</w:t>
            </w:r>
          </w:p>
        </w:tc>
        <w:tc>
          <w:tcPr>
            <w:tcW w:type="dxa" w:w="6000"/>
            <w:tcMar>
              <w:top w:type="dxa" w:w="60"/>
              <w:left w:type="dxa" w:w="100"/>
              <w:bottom w:type="dxa" w:w="60"/>
              <w:right w:type="dxa" w:w="100"/>
            </w:tcMar>
          </w:tcPr>
          <w:p>
            <w:pPr>
              <w:spacing w:after="0" w:line="264"/>
            </w:pPr>
            <w:r>
              <w:rPr>
                <w:rFonts w:ascii="Calibri" w:cs="Calibri" w:eastAsia="Calibri" w:hAnsi="Calibri"/>
                <w:sz w:val="19"/>
                <w:szCs w:val="19"/>
              </w:rPr>
              <w:t xml:space="preserve">Two routed endpoints linked over a DWDM optical path through intermediate amplifier / relay nodes</w:t>
            </w:r>
          </w:p>
        </w:tc>
      </w:tr>
      <w:tr>
        <w:tc>
          <w:tcPr>
            <w:tcW w:type="dxa" w:w="2700"/>
            <w:shd w:fill="EEF2F8"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Current phase</w:t>
            </w:r>
          </w:p>
        </w:tc>
        <w:tc>
          <w:tcPr>
            <w:tcW w:type="dxa" w:w="6000"/>
            <w:tcMar>
              <w:top w:type="dxa" w:w="60"/>
              <w:left w:type="dxa" w:w="100"/>
              <w:bottom w:type="dxa" w:w="60"/>
              <w:right w:type="dxa" w:w="100"/>
            </w:tcMar>
          </w:tcPr>
          <w:p>
            <w:pPr>
              <w:spacing w:after="0" w:line="264"/>
            </w:pPr>
            <w:r>
              <w:rPr>
                <w:rFonts w:ascii="Calibri" w:cs="Calibri" w:eastAsia="Calibri" w:hAnsi="Calibri"/>
                <w:sz w:val="19"/>
                <w:szCs w:val="19"/>
              </w:rPr>
              <w:t xml:space="preserve">Code translation, data preparation and exploratory data analysis (EDA)</w:t>
            </w:r>
          </w:p>
        </w:tc>
      </w:tr>
      <w:tr>
        <w:tc>
          <w:tcPr>
            <w:tcW w:type="dxa" w:w="2700"/>
            <w:shd w:fill="EEF2F8"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Document purpose</w:t>
            </w:r>
          </w:p>
        </w:tc>
        <w:tc>
          <w:tcPr>
            <w:tcW w:type="dxa" w:w="6000"/>
            <w:tcMar>
              <w:top w:type="dxa" w:w="60"/>
              <w:left w:type="dxa" w:w="100"/>
              <w:bottom w:type="dxa" w:w="60"/>
              <w:right w:type="dxa" w:w="100"/>
            </w:tcMar>
          </w:tcPr>
          <w:p>
            <w:pPr>
              <w:spacing w:after="0" w:line="264"/>
            </w:pPr>
            <w:r>
              <w:rPr>
                <w:rFonts w:ascii="Calibri" w:cs="Calibri" w:eastAsia="Calibri" w:hAnsi="Calibri"/>
                <w:sz w:val="19"/>
                <w:szCs w:val="19"/>
              </w:rPr>
              <w:t xml:space="preserve">A single, self-contained record of the architecture studied, the method established, the scripts written, and the work in progress</w:t>
            </w:r>
          </w:p>
        </w:tc>
      </w:tr>
    </w:tbl>
    <w:p>
      <w:r>
        <w:br w:type="page"/>
      </w:r>
    </w:p>
    <w:p>
      <w:pPr>
        <w:pStyle w:val="Heading1"/>
      </w:pPr>
      <w:r>
        <w:rPr>
          <w:rFonts w:ascii="Calibri" w:cs="Calibri" w:eastAsia="Calibri" w:hAnsi="Calibri"/>
          <w:b/>
          <w:bCs/>
          <w:color w:val="1F3864"/>
          <w:sz w:val="30"/>
          <w:szCs w:val="30"/>
        </w:rPr>
        <w:t xml:space="preserve">Contents</w:t>
      </w:r>
    </w:p>
    <w:p>
      <w:pPr>
        <w:tabs>
          <w:tab w:val="right" w:pos="9026" w:leader="dot"/>
        </w:tabs>
        <w:spacing w:after="90"/>
      </w:pPr>
      <w:r>
        <w:rPr>
          <w:rFonts w:ascii="Calibri" w:cs="Calibri" w:eastAsia="Calibri" w:hAnsi="Calibri"/>
          <w:color w:val="1F3864"/>
          <w:sz w:val="22"/>
          <w:szCs w:val="22"/>
        </w:rPr>
        <w:t xml:space="preserve">1.  Executive Summary</w:t>
      </w:r>
    </w:p>
    <w:p>
      <w:pPr>
        <w:tabs>
          <w:tab w:val="right" w:pos="9026" w:leader="dot"/>
        </w:tabs>
        <w:spacing w:after="90"/>
      </w:pPr>
      <w:r>
        <w:rPr>
          <w:rFonts w:ascii="Calibri" w:cs="Calibri" w:eastAsia="Calibri" w:hAnsi="Calibri"/>
          <w:color w:val="1F3864"/>
          <w:sz w:val="22"/>
          <w:szCs w:val="22"/>
        </w:rPr>
        <w:t xml:space="preserve">2.  What the System Must Do — the Two Tasks</w:t>
      </w:r>
    </w:p>
    <w:p>
      <w:pPr>
        <w:tabs>
          <w:tab w:val="right" w:pos="9026" w:leader="dot"/>
        </w:tabs>
        <w:spacing w:after="90"/>
      </w:pPr>
      <w:r>
        <w:rPr>
          <w:rFonts w:ascii="Calibri" w:cs="Calibri" w:eastAsia="Calibri" w:hAnsi="Calibri"/>
          <w:color w:val="1F3864"/>
          <w:sz w:val="22"/>
          <w:szCs w:val="22"/>
        </w:rPr>
        <w:t xml:space="preserve">3.  Architecture — the Network, Level by Level</w:t>
      </w:r>
    </w:p>
    <w:p>
      <w:pPr>
        <w:tabs>
          <w:tab w:val="right" w:pos="9026" w:leader="dot"/>
        </w:tabs>
        <w:spacing w:after="90"/>
      </w:pPr>
      <w:r>
        <w:rPr>
          <w:rFonts w:ascii="Calibri" w:cs="Calibri" w:eastAsia="Calibri" w:hAnsi="Calibri"/>
          <w:color w:val="1F3864"/>
          <w:sz w:val="22"/>
          <w:szCs w:val="22"/>
        </w:rPr>
        <w:t xml:space="preserve">4.  The Diagnostic Method</w:t>
      </w:r>
    </w:p>
    <w:p>
      <w:pPr>
        <w:tabs>
          <w:tab w:val="right" w:pos="9026" w:leader="dot"/>
        </w:tabs>
        <w:spacing w:after="90"/>
      </w:pPr>
      <w:r>
        <w:rPr>
          <w:rFonts w:ascii="Calibri" w:cs="Calibri" w:eastAsia="Calibri" w:hAnsi="Calibri"/>
          <w:color w:val="1F3864"/>
          <w:sz w:val="22"/>
          <w:szCs w:val="22"/>
        </w:rPr>
        <w:t xml:space="preserve">5.  Reference Material Compiled</w:t>
      </w:r>
    </w:p>
    <w:p>
      <w:pPr>
        <w:tabs>
          <w:tab w:val="right" w:pos="9026" w:leader="dot"/>
        </w:tabs>
        <w:spacing w:after="90"/>
      </w:pPr>
      <w:r>
        <w:rPr>
          <w:rFonts w:ascii="Calibri" w:cs="Calibri" w:eastAsia="Calibri" w:hAnsi="Calibri"/>
          <w:color w:val="1F3864"/>
          <w:sz w:val="22"/>
          <w:szCs w:val="22"/>
        </w:rPr>
        <w:t xml:space="preserve">6.  The Scripts We Built</w:t>
      </w:r>
    </w:p>
    <w:p>
      <w:pPr>
        <w:tabs>
          <w:tab w:val="right" w:pos="9026" w:leader="dot"/>
        </w:tabs>
        <w:spacing w:after="90"/>
      </w:pPr>
      <w:r>
        <w:rPr>
          <w:rFonts w:ascii="Calibri" w:cs="Calibri" w:eastAsia="Calibri" w:hAnsi="Calibri"/>
          <w:color w:val="1F3864"/>
          <w:sz w:val="22"/>
          <w:szCs w:val="22"/>
        </w:rPr>
        <w:t xml:space="preserve">7.  Data Preparation Currently in Progress</w:t>
      </w:r>
    </w:p>
    <w:p>
      <w:pPr>
        <w:tabs>
          <w:tab w:val="right" w:pos="9026" w:leader="dot"/>
        </w:tabs>
        <w:spacing w:after="90"/>
      </w:pPr>
      <w:r>
        <w:rPr>
          <w:rFonts w:ascii="Calibri" w:cs="Calibri" w:eastAsia="Calibri" w:hAnsi="Calibri"/>
          <w:color w:val="1F3864"/>
          <w:sz w:val="22"/>
          <w:szCs w:val="22"/>
        </w:rPr>
        <w:t xml:space="preserve">8.  Status Summary and Roadmap</w:t>
      </w:r>
    </w:p>
    <w:p>
      <w:r>
        <w:br w:type="page"/>
      </w:r>
    </w:p>
    <w:p>
      <w:pPr>
        <w:pStyle w:val="Heading1"/>
      </w:pPr>
      <w:r>
        <w:rPr>
          <w:rFonts w:ascii="Calibri" w:cs="Calibri" w:eastAsia="Calibri" w:hAnsi="Calibri"/>
          <w:b/>
          <w:bCs/>
          <w:color w:val="1F3864"/>
          <w:sz w:val="30"/>
          <w:szCs w:val="30"/>
        </w:rPr>
        <w:t xml:space="preserve">1.  Executive Summary</w:t>
      </w:r>
    </w:p>
    <w:p>
      <w:pPr>
        <w:spacing w:after="120" w:line="300"/>
      </w:pPr>
      <w:r>
        <w:rPr>
          <w:rFonts w:ascii="Calibri" w:cs="Calibri" w:eastAsia="Calibri" w:hAnsi="Calibri"/>
          <w:sz w:val="21"/>
          <w:szCs w:val="21"/>
        </w:rPr>
        <w:t xml:space="preserve">This document records, in one place, everything the AI for Adaptive Networks project has covered so far and everything currently under way. It is written so that a reader with no prior exposure to the project can follow it from start to finish and understand what has been done, why, and what remains.</w:t>
      </w:r>
    </w:p>
    <w:p>
      <w:pPr>
        <w:spacing w:after="120" w:line="300"/>
      </w:pPr>
      <w:r>
        <w:rPr>
          <w:rFonts w:ascii="Calibri" w:cs="Calibri" w:eastAsia="Calibri" w:hAnsi="Calibri"/>
          <w:sz w:val="21"/>
          <w:szCs w:val="21"/>
        </w:rPr>
        <w:t xml:space="preserve">No confidential network data, log content, or customer-specific mapping values are reproduced here. Where the actual data would normally appear, this document instead describes the structure, logic and method — so the work is fully explained without exposing anything sensitive.</w:t>
      </w:r>
    </w:p>
    <w:p>
      <w:pPr>
        <w:pStyle w:val="Heading3"/>
      </w:pPr>
      <w:r>
        <w:rPr>
          <w:rFonts w:ascii="Calibri" w:cs="Calibri" w:eastAsia="Calibri" w:hAnsi="Calibri"/>
          <w:b/>
          <w:bCs/>
          <w:color w:val="1F7A6D"/>
          <w:sz w:val="22"/>
          <w:szCs w:val="22"/>
        </w:rPr>
        <w:t xml:space="preserve">What the project is</w:t>
      </w:r>
    </w:p>
    <w:p>
      <w:pPr>
        <w:spacing w:after="120" w:line="300"/>
      </w:pPr>
      <w:r>
        <w:rPr>
          <w:rFonts w:ascii="Calibri" w:cs="Calibri" w:eastAsia="Calibri" w:hAnsi="Calibri"/>
          <w:sz w:val="21"/>
          <w:szCs w:val="21"/>
        </w:rPr>
        <w:t xml:space="preserve">AI for Adaptive Networks is a fault-diagnosis project built on top of a live long-haul transport network. Traffic travels between two routed endpoints across an optical (DWDM) path that passes through intermediate amplifier / relay nodes. Every layer of that path — the routers at each end, and the interface, LAG, port and DWDM layers beneath them — writes its own log. Those logs are the raw material of the project.</w:t>
      </w:r>
    </w:p>
    <w:p>
      <w:pPr>
        <w:pStyle w:val="Heading3"/>
      </w:pPr>
      <w:r>
        <w:rPr>
          <w:rFonts w:ascii="Calibri" w:cs="Calibri" w:eastAsia="Calibri" w:hAnsi="Calibri"/>
          <w:b/>
          <w:bCs/>
          <w:color w:val="1F7A6D"/>
          <w:sz w:val="22"/>
          <w:szCs w:val="22"/>
        </w:rPr>
        <w:t xml:space="preserve">The core idea</w:t>
      </w:r>
    </w:p>
    <w:p>
      <w:pPr>
        <w:spacing w:after="120" w:line="300"/>
      </w:pPr>
      <w:r>
        <w:rPr>
          <w:rFonts w:ascii="Calibri" w:cs="Calibri" w:eastAsia="Calibri" w:hAnsi="Calibri"/>
          <w:sz w:val="21"/>
          <w:szCs w:val="21"/>
        </w:rPr>
        <w:t xml:space="preserve">When something goes wrong on the network, many layers raise alarms at once, and the alarm a human sees first is usually not where the fault actually started. The aim of the project is to build an AI system that reads the logs from all layers together, aligns them on one timeline, and works out (a) where the fault truly originated and (b) what caused it — automatically, instead of by manual investigation.</w:t>
      </w:r>
    </w:p>
    <w:p>
      <w:pPr>
        <w:pStyle w:val="Heading3"/>
      </w:pPr>
      <w:r>
        <w:rPr>
          <w:rFonts w:ascii="Calibri" w:cs="Calibri" w:eastAsia="Calibri" w:hAnsi="Calibri"/>
          <w:b/>
          <w:bCs/>
          <w:color w:val="1F7A6D"/>
          <w:sz w:val="22"/>
          <w:szCs w:val="22"/>
        </w:rPr>
        <w:t xml:space="preserve">Where the project stands</w:t>
      </w:r>
    </w:p>
    <w:p>
      <w:pPr>
        <w:spacing w:after="120" w:line="300"/>
      </w:pPr>
      <w:r>
        <w:rPr>
          <w:rFonts w:ascii="Calibri" w:cs="Calibri" w:eastAsia="Calibri" w:hAnsi="Calibri"/>
          <w:sz w:val="21"/>
          <w:szCs w:val="21"/>
        </w:rPr>
        <w:t xml:space="preserve">The groundwork is largely complete. The full network architecture has been reconstructed and documented, the diagnostic method has been established and reasoned through, and the reference catalogues (alarm codes, fault scenarios, correlation rules) have been compiled. The translation scripts that convert the raw log codes into a usable form have been written and verified. The project is now in the </w:t>
      </w:r>
      <w:r>
        <w:rPr>
          <w:rFonts w:ascii="Calibri" w:cs="Calibri" w:eastAsia="Calibri" w:hAnsi="Calibri"/>
          <w:b/>
          <w:bCs/>
          <w:sz w:val="21"/>
          <w:szCs w:val="21"/>
        </w:rPr>
        <w:t xml:space="preserve">data preparation and EDA</w:t>
      </w:r>
      <w:r>
        <w:rPr>
          <w:rFonts w:ascii="Calibri" w:cs="Calibri" w:eastAsia="Calibri" w:hAnsi="Calibri"/>
          <w:sz w:val="21"/>
          <w:szCs w:val="21"/>
        </w:rPr>
        <w:t xml:space="preserve"> phase — applying those scripts across all log sheets, aligning everything on a common timeline, and validating which fault patterns actually occur in the real data before an automated model is built.</w:t>
      </w:r>
    </w:p>
    <w:p>
      <w:r>
        <w:br w:type="page"/>
      </w:r>
    </w:p>
    <w:p>
      <w:pPr>
        <w:pStyle w:val="Heading1"/>
      </w:pPr>
      <w:r>
        <w:rPr>
          <w:rFonts w:ascii="Calibri" w:cs="Calibri" w:eastAsia="Calibri" w:hAnsi="Calibri"/>
          <w:b/>
          <w:bCs/>
          <w:color w:val="1F3864"/>
          <w:sz w:val="30"/>
          <w:szCs w:val="30"/>
        </w:rPr>
        <w:t xml:space="preserve">2.  What the System Must Do — the Two Tasks</w:t>
      </w:r>
    </w:p>
    <w:p>
      <w:pPr>
        <w:spacing w:after="120" w:line="300"/>
      </w:pPr>
      <w:r>
        <w:rPr>
          <w:rFonts w:ascii="Calibri" w:cs="Calibri" w:eastAsia="Calibri" w:hAnsi="Calibri"/>
          <w:sz w:val="21"/>
          <w:szCs w:val="21"/>
        </w:rPr>
        <w:t xml:space="preserve">Everything in the project is organised around two questions the finished system must answer for any incident on the network:</w:t>
      </w:r>
    </w:p>
    <w:p>
      <w:pPr>
        <w:spacing w:after="40"/>
      </w:pPr>
      <w:r>
        <w:rPr>
          <w:rFonts w:ascii="Calibri" w:cs="Calibri" w:eastAsia="Calibri" w:hAnsi="Calibri"/>
          <w:sz w:val="21"/>
          <w:szCs w:val="21"/>
        </w:rPr>
        <w:t xml:space="preserve"/>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1500"/>
        <w:gridCol w:w="3200"/>
        <w:gridCol w:w="4660"/>
      </w:tblGrid>
      <w:tr>
        <w:trPr>
          <w:tblHeader/>
        </w:trPr>
        <w:tc>
          <w:tcPr>
            <w:tcW w:type="dxa" w:w="150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Task</w:t>
            </w:r>
          </w:p>
        </w:tc>
        <w:tc>
          <w:tcPr>
            <w:tcW w:type="dxa" w:w="320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Question</w:t>
            </w:r>
          </w:p>
        </w:tc>
        <w:tc>
          <w:tcPr>
            <w:tcW w:type="dxa" w:w="466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What it means</w:t>
            </w:r>
          </w:p>
        </w:tc>
      </w:tr>
      <w:tr>
        <w:tc>
          <w:tcPr>
            <w:tcW w:type="dxa" w:w="15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Task 1</w:t>
            </w:r>
          </w:p>
        </w:tc>
        <w:tc>
          <w:tcPr>
            <w:tcW w:type="dxa" w:w="32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WHERE did the fault originate?</w:t>
            </w:r>
          </w:p>
        </w:tc>
        <w:tc>
          <w:tcPr>
            <w:tcW w:type="dxa" w:w="466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The layer and location where the problem truly began — not simply where an alarm first became visible to an operator.</w:t>
            </w:r>
          </w:p>
        </w:tc>
      </w:tr>
      <w:tr>
        <w:tc>
          <w:tcPr>
            <w:tcW w:type="dxa" w:w="15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Task 2</w:t>
            </w:r>
          </w:p>
        </w:tc>
        <w:tc>
          <w:tcPr>
            <w:tcW w:type="dxa" w:w="32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WHY did it happen — the root cause?</w:t>
            </w:r>
          </w:p>
        </w:tc>
        <w:tc>
          <w:tcPr>
            <w:tcW w:type="dxa" w:w="466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The underlying reason: a fibre cut, an optical degradation, a router chassis fault, a power / environmental event, and so on.</w:t>
            </w:r>
          </w:p>
        </w:tc>
      </w:tr>
    </w:tbl>
    <w:p>
      <w:pPr>
        <w:spacing w:after="140"/>
      </w:pPr>
      <w:r>
        <w:rPr>
          <w:rFonts w:ascii="Calibri" w:cs="Calibri" w:eastAsia="Calibri" w:hAnsi="Calibri"/>
          <w:sz w:val="21"/>
          <w:szCs w:val="21"/>
        </w:rPr>
        <w:t xml:space="preserve"/>
      </w:r>
    </w:p>
    <w:tbl>
      <w:tblPr>
        <w:tblW w:type="dxa" w:w="9360"/>
        <w:tblBorders>
          <w:top w:val="single" w:color="1F7A6D" w:sz="4"/>
          <w:left w:val="single" w:color="1F7A6D" w:sz="18"/>
          <w:bottom w:val="single" w:color="1F7A6D" w:sz="4"/>
          <w:right w:val="single" w:color="1F7A6D" w:sz="4"/>
          <w:insideH w:val="none"/>
          <w:insideV w:val="single" w:color="auto" w:sz="4"/>
        </w:tblBorders>
      </w:tblPr>
      <w:tblGrid>
        <w:gridCol w:w="9360"/>
      </w:tblGrid>
      <w:tr>
        <w:tc>
          <w:tcPr>
            <w:tcW w:type="dxa" w:w="9360"/>
            <w:shd w:fill="F0F7F5" w:val="clear"/>
            <w:tcMar>
              <w:top w:type="dxa" w:w="120"/>
              <w:left w:type="dxa" w:w="200"/>
              <w:bottom w:type="dxa" w:w="120"/>
              <w:right w:type="dxa" w:w="160"/>
            </w:tcMar>
          </w:tcPr>
          <w:p>
            <w:pPr>
              <w:spacing w:after="60"/>
            </w:pPr>
            <w:r>
              <w:rPr>
                <w:rFonts w:ascii="Calibri" w:cs="Calibri" w:eastAsia="Calibri" w:hAnsi="Calibri"/>
                <w:b/>
                <w:bCs/>
                <w:color w:val="1F7A6D"/>
                <w:sz w:val="21"/>
                <w:szCs w:val="21"/>
              </w:rPr>
              <w:t xml:space="preserve">Why this is hard</w:t>
            </w:r>
          </w:p>
          <w:p>
            <w:pPr>
              <w:spacing w:after="40" w:line="288"/>
            </w:pPr>
            <w:r>
              <w:rPr>
                <w:rFonts w:ascii="Calibri" w:cs="Calibri" w:eastAsia="Calibri" w:hAnsi="Calibri"/>
                <w:sz w:val="20"/>
                <w:szCs w:val="20"/>
              </w:rPr>
              <w:t xml:space="preserve">A single fault triggers alarms across several layers almost simultaneously. The layer that shouts loudest, or first reaches a dashboard, is frequently a downstream symptom rather than the source. Distinguishing the origin from its echoes is the central technical challenge — and it is exactly what the diagnostic method in Section 4 is designed to solve.</w:t>
            </w:r>
          </w:p>
        </w:tc>
      </w:tr>
    </w:tbl>
    <w:p>
      <w:r>
        <w:br w:type="page"/>
      </w:r>
    </w:p>
    <w:p>
      <w:pPr>
        <w:pStyle w:val="Heading1"/>
      </w:pPr>
      <w:r>
        <w:rPr>
          <w:rFonts w:ascii="Calibri" w:cs="Calibri" w:eastAsia="Calibri" w:hAnsi="Calibri"/>
          <w:b/>
          <w:bCs/>
          <w:color w:val="1F3864"/>
          <w:sz w:val="30"/>
          <w:szCs w:val="30"/>
        </w:rPr>
        <w:t xml:space="preserve">3.  Architecture — the Network, Level by Level</w:t>
      </w:r>
    </w:p>
    <w:p>
      <w:pPr>
        <w:spacing w:after="120" w:line="300"/>
      </w:pPr>
      <w:r>
        <w:rPr>
          <w:rFonts w:ascii="Calibri" w:cs="Calibri" w:eastAsia="Calibri" w:hAnsi="Calibri"/>
          <w:sz w:val="21"/>
          <w:szCs w:val="21"/>
        </w:rPr>
        <w:t xml:space="preserve">The network is best understood as one system drawn at three zoom levels: the route (which nodes, in what order), the node (what sits inside one site), and the layer stack (how one router is built up internally). Understanding all three is what makes it possible to reason about where a fault sits.</w:t>
      </w:r>
    </w:p>
    <w:p>
      <w:pPr>
        <w:pStyle w:val="Heading2"/>
      </w:pPr>
      <w:r>
        <w:rPr>
          <w:rFonts w:ascii="Calibri" w:cs="Calibri" w:eastAsia="Calibri" w:hAnsi="Calibri"/>
          <w:b/>
          <w:bCs/>
          <w:color w:val="2E74B5"/>
          <w:sz w:val="25"/>
          <w:szCs w:val="25"/>
        </w:rPr>
        <w:t xml:space="preserve">3.1  The end-to-end physical path</w:t>
      </w:r>
    </w:p>
    <w:p>
      <w:pPr>
        <w:spacing w:after="120" w:line="300"/>
      </w:pPr>
      <w:r>
        <w:rPr>
          <w:rFonts w:ascii="Calibri" w:cs="Calibri" w:eastAsia="Calibri" w:hAnsi="Calibri"/>
          <w:sz w:val="21"/>
          <w:szCs w:val="21"/>
        </w:rPr>
        <w:t xml:space="preserve">Traffic leaves the router at one endpoint, descends through that router's internal stack, and is handed to the DWDM equipment, which converts it into light. That light travels along the fibre through the intermediate hop stations to the far endpoint, where it climbs back up the router stack. The intermediate hop stations are amplifier / relay sites — they strengthen and pass the optical signal along but do not route packets.</w:t>
      </w:r>
    </w:p>
    <w:tbl>
      <w:tblPr>
        <w:tblW w:type="dxa" w:w="9360"/>
        <w:tblBorders>
          <w:top w:val="single" w:color="1F7A6D" w:sz="4"/>
          <w:left w:val="single" w:color="1F7A6D" w:sz="18"/>
          <w:bottom w:val="single" w:color="1F7A6D" w:sz="4"/>
          <w:right w:val="single" w:color="1F7A6D" w:sz="4"/>
          <w:insideH w:val="none"/>
          <w:insideV w:val="single" w:color="auto" w:sz="4"/>
        </w:tblBorders>
      </w:tblPr>
      <w:tblGrid>
        <w:gridCol w:w="9360"/>
      </w:tblGrid>
      <w:tr>
        <w:tc>
          <w:tcPr>
            <w:tcW w:type="dxa" w:w="9360"/>
            <w:shd w:fill="F0F7F5" w:val="clear"/>
            <w:tcMar>
              <w:top w:type="dxa" w:w="120"/>
              <w:left w:type="dxa" w:w="200"/>
              <w:bottom w:type="dxa" w:w="120"/>
              <w:right w:type="dxa" w:w="160"/>
            </w:tcMar>
          </w:tcPr>
          <w:p>
            <w:pPr>
              <w:spacing w:after="60"/>
            </w:pPr>
            <w:r>
              <w:rPr>
                <w:rFonts w:ascii="Calibri" w:cs="Calibri" w:eastAsia="Calibri" w:hAnsi="Calibri"/>
                <w:b/>
                <w:bCs/>
                <w:color w:val="1F7A6D"/>
                <w:sz w:val="21"/>
                <w:szCs w:val="21"/>
              </w:rPr>
              <w:t xml:space="preserve">Why there are several separate log sheets</w:t>
            </w:r>
          </w:p>
          <w:p>
            <w:pPr>
              <w:spacing w:after="40" w:line="288"/>
            </w:pPr>
            <w:r>
              <w:rPr>
                <w:rFonts w:ascii="Calibri" w:cs="Calibri" w:eastAsia="Calibri" w:hAnsi="Calibri"/>
                <w:sz w:val="20"/>
                <w:szCs w:val="20"/>
              </w:rPr>
              <w:t xml:space="preserve">Each layer writes its own log. The two routers produce router logs; the DWDM equipment at each site produces DWDM logs; and inside each router the Port, LAG and Interface layers each produce their own sheet.</w:t>
            </w:r>
          </w:p>
          <w:p>
            <w:pPr>
              <w:spacing w:after="40" w:line="288"/>
            </w:pPr>
            <w:r>
              <w:rPr>
                <w:rFonts w:ascii="Calibri" w:cs="Calibri" w:eastAsia="Calibri" w:hAnsi="Calibri"/>
                <w:sz w:val="20"/>
                <w:szCs w:val="20"/>
              </w:rPr>
              <w:t xml:space="preserve">So the log sheets are not several views of the same thing — they are several different layers of the same path. That is precisely why aligning them on one timeline is the heart of the analysis.</w:t>
            </w:r>
          </w:p>
        </w:tc>
      </w:tr>
    </w:tbl>
    <w:p>
      <w:pPr>
        <w:pStyle w:val="Heading2"/>
      </w:pPr>
      <w:r>
        <w:rPr>
          <w:rFonts w:ascii="Calibri" w:cs="Calibri" w:eastAsia="Calibri" w:hAnsi="Calibri"/>
          <w:b/>
          <w:bCs/>
          <w:color w:val="2E74B5"/>
          <w:sz w:val="25"/>
          <w:szCs w:val="25"/>
        </w:rPr>
        <w:t xml:space="preserve">3.2  Inside one DWDM node</w:t>
      </w:r>
    </w:p>
    <w:p>
      <w:pPr>
        <w:spacing w:after="120" w:line="300"/>
      </w:pPr>
      <w:r>
        <w:rPr>
          <w:rFonts w:ascii="Calibri" w:cs="Calibri" w:eastAsia="Calibri" w:hAnsi="Calibri"/>
          <w:sz w:val="21"/>
          <w:szCs w:val="21"/>
        </w:rPr>
        <w:t xml:space="preserve">Each optical site repeats the same internal structure, with two directions of signal flow:</w:t>
      </w:r>
    </w:p>
    <w:p>
      <w:pPr>
        <w:pStyle w:val="ListParagraph"/>
        <w:numPr>
          <w:ilvl w:val="0"/>
          <w:numId w:val="2"/>
        </w:numPr>
        <w:spacing w:after="70" w:line="290"/>
      </w:pPr>
      <w:r>
        <w:rPr>
          <w:rFonts w:ascii="Calibri" w:cs="Calibri" w:eastAsia="Calibri" w:hAnsi="Calibri"/>
          <w:b/>
          <w:bCs/>
          <w:sz w:val="21"/>
          <w:szCs w:val="21"/>
        </w:rPr>
        <w:t xml:space="preserve">Receive path — </w:t>
      </w:r>
      <w:r>
        <w:rPr>
          <w:rFonts w:ascii="Calibri" w:cs="Calibri" w:eastAsia="Calibri" w:hAnsi="Calibri"/>
          <w:sz w:val="21"/>
          <w:szCs w:val="21"/>
        </w:rPr>
        <w:t xml:space="preserve">light is taken off the fibre, a pre-amplifier strengthens the weak incoming signal, a ROADM / WSS decides which wavelengths to drop at this site versus pass onward, and a channel demultiplexer splits them out toward the router.</w:t>
      </w:r>
    </w:p>
    <w:p>
      <w:pPr>
        <w:pStyle w:val="ListParagraph"/>
        <w:numPr>
          <w:ilvl w:val="0"/>
          <w:numId w:val="2"/>
        </w:numPr>
        <w:spacing w:after="70" w:line="290"/>
      </w:pPr>
      <w:r>
        <w:rPr>
          <w:rFonts w:ascii="Calibri" w:cs="Calibri" w:eastAsia="Calibri" w:hAnsi="Calibri"/>
          <w:b/>
          <w:bCs/>
          <w:sz w:val="21"/>
          <w:szCs w:val="21"/>
        </w:rPr>
        <w:t xml:space="preserve">Transmit path — </w:t>
      </w:r>
      <w:r>
        <w:rPr>
          <w:rFonts w:ascii="Calibri" w:cs="Calibri" w:eastAsia="Calibri" w:hAnsi="Calibri"/>
          <w:sz w:val="21"/>
          <w:szCs w:val="21"/>
        </w:rPr>
        <w:t xml:space="preserve">a channel multiplexer combines wavelengths, a dispersion module conditions the pulses, and a boost amplifier drives the light onto the next long fibre span.</w:t>
      </w:r>
    </w:p>
    <w:p>
      <w:pPr>
        <w:pStyle w:val="ListParagraph"/>
        <w:numPr>
          <w:ilvl w:val="0"/>
          <w:numId w:val="2"/>
        </w:numPr>
        <w:spacing w:after="70" w:line="290"/>
      </w:pPr>
      <w:r>
        <w:rPr>
          <w:rFonts w:ascii="Calibri" w:cs="Calibri" w:eastAsia="Calibri" w:hAnsi="Calibri"/>
          <w:b/>
          <w:bCs/>
          <w:sz w:val="21"/>
          <w:szCs w:val="21"/>
        </w:rPr>
        <w:t xml:space="preserve">Supervisory channel — </w:t>
      </w:r>
      <w:r>
        <w:rPr>
          <w:rFonts w:ascii="Calibri" w:cs="Calibri" w:eastAsia="Calibri" w:hAnsi="Calibri"/>
          <w:sz w:val="21"/>
          <w:szCs w:val="21"/>
        </w:rPr>
        <w:t xml:space="preserve">a separate optical supervisory channel carries each node's own status out to the management network, which is how the DWDM logs reach us.</w:t>
      </w:r>
    </w:p>
    <w:p>
      <w:pPr>
        <w:spacing w:after="120" w:line="300"/>
      </w:pPr>
      <w:r>
        <w:rPr>
          <w:rFonts w:ascii="Calibri" w:cs="Calibri" w:eastAsia="Calibri" w:hAnsi="Calibri"/>
          <w:sz w:val="21"/>
          <w:szCs w:val="21"/>
        </w:rPr>
        <w:t xml:space="preserve">Node sizes differ along the route — larger endpoint nodes carry many line cards and ports, while smaller intermediate node types carry progressively fewer. This inventory matters because the amount and type of equipment at a node bounds which faults can physically occur there.</w:t>
      </w:r>
    </w:p>
    <w:p>
      <w:pPr>
        <w:pStyle w:val="Heading2"/>
      </w:pPr>
      <w:r>
        <w:rPr>
          <w:rFonts w:ascii="Calibri" w:cs="Calibri" w:eastAsia="Calibri" w:hAnsi="Calibri"/>
          <w:b/>
          <w:bCs/>
          <w:color w:val="2E74B5"/>
          <w:sz w:val="25"/>
          <w:szCs w:val="25"/>
        </w:rPr>
        <w:t xml:space="preserve">3.3  The layer stack inside a router</w:t>
      </w:r>
    </w:p>
    <w:p>
      <w:pPr>
        <w:spacing w:after="120" w:line="300"/>
      </w:pPr>
      <w:r>
        <w:rPr>
          <w:rFonts w:ascii="Calibri" w:cs="Calibri" w:eastAsia="Calibri" w:hAnsi="Calibri"/>
          <w:sz w:val="21"/>
          <w:szCs w:val="21"/>
        </w:rPr>
        <w:t xml:space="preserve">Within each router endpoint, the data path is built up as a stack. From the application-facing top down toward the fibre, the relevant layers are:</w:t>
      </w:r>
    </w:p>
    <w:p>
      <w:pPr>
        <w:spacing w:after="30"/>
      </w:pPr>
      <w:r>
        <w:rPr>
          <w:rFonts w:ascii="Calibri" w:cs="Calibri" w:eastAsia="Calibri" w:hAnsi="Calibri"/>
          <w:sz w:val="21"/>
          <w:szCs w:val="21"/>
        </w:rPr>
        <w:t xml:space="preserve"/>
      </w:r>
    </w:p>
    <w:tbl>
      <w:tblPr>
        <w:tblW w:type="dxa" w:w="9160"/>
        <w:tblBorders>
          <w:top w:val="single" w:color="C9D3E0" w:sz="2"/>
          <w:left w:val="single" w:color="C9D3E0" w:sz="2"/>
          <w:bottom w:val="single" w:color="C9D3E0" w:sz="2"/>
          <w:right w:val="single" w:color="C9D3E0" w:sz="2"/>
          <w:insideH w:val="single" w:color="DCE3EC" w:sz="2"/>
          <w:insideV w:val="single" w:color="DCE3EC" w:sz="2"/>
        </w:tblBorders>
      </w:tblPr>
      <w:tblGrid>
        <w:gridCol w:w="1300"/>
        <w:gridCol w:w="2400"/>
        <w:gridCol w:w="5460"/>
      </w:tblGrid>
      <w:tr>
        <w:trPr>
          <w:tblHeader/>
        </w:trPr>
        <w:tc>
          <w:tcPr>
            <w:tcW w:type="dxa" w:w="130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Order</w:t>
            </w:r>
          </w:p>
        </w:tc>
        <w:tc>
          <w:tcPr>
            <w:tcW w:type="dxa" w:w="240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Layer</w:t>
            </w:r>
          </w:p>
        </w:tc>
        <w:tc>
          <w:tcPr>
            <w:tcW w:type="dxa" w:w="546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Role and its log</w:t>
            </w:r>
          </w:p>
        </w:tc>
      </w:tr>
      <w:tr>
        <w:tc>
          <w:tcPr>
            <w:tcW w:type="dxa" w:w="13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Top</w:t>
            </w:r>
          </w:p>
        </w:tc>
        <w:tc>
          <w:tcPr>
            <w:tcW w:type="dxa" w:w="24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Interface</w:t>
            </w:r>
          </w:p>
        </w:tc>
        <w:tc>
          <w:tcPr>
            <w:tcW w:type="dxa" w:w="546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The logical interface presented to traffic; the Interface sheet is its log source.</w:t>
            </w:r>
          </w:p>
        </w:tc>
      </w:tr>
      <w:tr>
        <w:tc>
          <w:tcPr>
            <w:tcW w:type="dxa" w:w="13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w:t>
            </w:r>
          </w:p>
        </w:tc>
        <w:tc>
          <w:tcPr>
            <w:tcW w:type="dxa" w:w="24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LAG</w:t>
            </w:r>
          </w:p>
        </w:tc>
        <w:tc>
          <w:tcPr>
            <w:tcW w:type="dxa" w:w="546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Link aggregation group bundling physical links together; the LAG sheet is its log source.</w:t>
            </w:r>
          </w:p>
        </w:tc>
      </w:tr>
      <w:tr>
        <w:tc>
          <w:tcPr>
            <w:tcW w:type="dxa" w:w="13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w:t>
            </w:r>
          </w:p>
        </w:tc>
        <w:tc>
          <w:tcPr>
            <w:tcW w:type="dxa" w:w="24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Port</w:t>
            </w:r>
          </w:p>
        </w:tc>
        <w:tc>
          <w:tcPr>
            <w:tcW w:type="dxa" w:w="546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The physical port facing the optical equipment; the Port sheet is its log source.</w:t>
            </w:r>
          </w:p>
        </w:tc>
      </w:tr>
      <w:tr>
        <w:tc>
          <w:tcPr>
            <w:tcW w:type="dxa" w:w="13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Bottom</w:t>
            </w:r>
          </w:p>
        </w:tc>
        <w:tc>
          <w:tcPr>
            <w:tcW w:type="dxa" w:w="24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DWDM</w:t>
            </w:r>
          </w:p>
        </w:tc>
        <w:tc>
          <w:tcPr>
            <w:tcW w:type="dxa" w:w="546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The optical transport layer carrying the signal as light across the span; the DWDM sheet is its log source.</w:t>
            </w:r>
          </w:p>
        </w:tc>
      </w:tr>
    </w:tbl>
    <w:p>
      <w:pPr>
        <w:spacing w:after="120"/>
      </w:pPr>
      <w:r>
        <w:rPr>
          <w:rFonts w:ascii="Calibri" w:cs="Calibri" w:eastAsia="Calibri" w:hAnsi="Calibri"/>
          <w:sz w:val="21"/>
          <w:szCs w:val="21"/>
        </w:rPr>
        <w:t xml:space="preserve"/>
      </w:r>
    </w:p>
    <w:tbl>
      <w:tblPr>
        <w:tblW w:type="dxa" w:w="9360"/>
        <w:tblBorders>
          <w:top w:val="single" w:color="1F7A6D" w:sz="4"/>
          <w:left w:val="single" w:color="1F7A6D" w:sz="18"/>
          <w:bottom w:val="single" w:color="1F7A6D" w:sz="4"/>
          <w:right w:val="single" w:color="1F7A6D" w:sz="4"/>
          <w:insideH w:val="none"/>
          <w:insideV w:val="single" w:color="auto" w:sz="4"/>
        </w:tblBorders>
      </w:tblPr>
      <w:tblGrid>
        <w:gridCol w:w="9360"/>
      </w:tblGrid>
      <w:tr>
        <w:tc>
          <w:tcPr>
            <w:tcW w:type="dxa" w:w="9360"/>
            <w:shd w:fill="F0F7F5" w:val="clear"/>
            <w:tcMar>
              <w:top w:type="dxa" w:w="120"/>
              <w:left w:type="dxa" w:w="200"/>
              <w:bottom w:type="dxa" w:w="120"/>
              <w:right w:type="dxa" w:w="160"/>
            </w:tcMar>
          </w:tcPr>
          <w:p>
            <w:pPr>
              <w:spacing w:after="60"/>
            </w:pPr>
            <w:r>
              <w:rPr>
                <w:rFonts w:ascii="Calibri" w:cs="Calibri" w:eastAsia="Calibri" w:hAnsi="Calibri"/>
                <w:b/>
                <w:bCs/>
                <w:color w:val="1F7A6D"/>
                <w:sz w:val="21"/>
                <w:szCs w:val="21"/>
              </w:rPr>
              <w:t xml:space="preserve">The single most important structural fact</w:t>
            </w:r>
          </w:p>
          <w:p>
            <w:pPr>
              <w:spacing w:after="40" w:line="288"/>
            </w:pPr>
            <w:r>
              <w:rPr>
                <w:rFonts w:ascii="Calibri" w:cs="Calibri" w:eastAsia="Calibri" w:hAnsi="Calibri"/>
                <w:sz w:val="20"/>
                <w:szCs w:val="20"/>
              </w:rPr>
              <w:t xml:space="preserve">Data flows DOWN the stack (interface → LAG → port → DWDM → fibre), but fault DETECTION propagates UP.</w:t>
            </w:r>
          </w:p>
          <w:p>
            <w:pPr>
              <w:spacing w:after="40" w:line="288"/>
            </w:pPr>
            <w:r>
              <w:rPr>
                <w:rFonts w:ascii="Calibri" w:cs="Calibri" w:eastAsia="Calibri" w:hAnsi="Calibri"/>
                <w:sz w:val="20"/>
                <w:szCs w:val="20"/>
              </w:rPr>
              <w:t xml:space="preserve">A problem that starts low (say, in the optics) is felt and alarmed by the layers above it as they lose what they depend on. This up/down asymmetry is the key that unlocks the whole diagnostic method in Section 4.</w:t>
            </w:r>
          </w:p>
        </w:tc>
      </w:tr>
    </w:tbl>
    <w:p>
      <w:r>
        <w:br w:type="page"/>
      </w:r>
    </w:p>
    <w:p>
      <w:pPr>
        <w:pStyle w:val="Heading1"/>
      </w:pPr>
      <w:r>
        <w:rPr>
          <w:rFonts w:ascii="Calibri" w:cs="Calibri" w:eastAsia="Calibri" w:hAnsi="Calibri"/>
          <w:b/>
          <w:bCs/>
          <w:color w:val="1F3864"/>
          <w:sz w:val="30"/>
          <w:szCs w:val="30"/>
        </w:rPr>
        <w:t xml:space="preserve">4.  The Diagnostic Method</w:t>
      </w:r>
    </w:p>
    <w:p>
      <w:pPr>
        <w:spacing w:after="120" w:line="300"/>
      </w:pPr>
      <w:r>
        <w:rPr>
          <w:rFonts w:ascii="Calibri" w:cs="Calibri" w:eastAsia="Calibri" w:hAnsi="Calibri"/>
          <w:sz w:val="21"/>
          <w:szCs w:val="21"/>
        </w:rPr>
        <w:t xml:space="preserve">The method for answering Task 1 and Task 2 rests on two principles that were established and reasoned through carefully. Together they turn a confusing burst of simultaneous alarms into a decision about origin and cause.</w:t>
      </w:r>
    </w:p>
    <w:p>
      <w:pPr>
        <w:pStyle w:val="Heading2"/>
      </w:pPr>
      <w:r>
        <w:rPr>
          <w:rFonts w:ascii="Calibri" w:cs="Calibri" w:eastAsia="Calibri" w:hAnsi="Calibri"/>
          <w:b/>
          <w:bCs/>
          <w:color w:val="2E74B5"/>
          <w:sz w:val="25"/>
          <w:szCs w:val="25"/>
        </w:rPr>
        <w:t xml:space="preserve">4.1  The bottom-up (earliest-and-lowest) principle</w:t>
      </w:r>
    </w:p>
    <w:p>
      <w:pPr>
        <w:spacing w:after="120" w:line="300"/>
      </w:pPr>
      <w:r>
        <w:rPr>
          <w:rFonts w:ascii="Calibri" w:cs="Calibri" w:eastAsia="Calibri" w:hAnsi="Calibri"/>
          <w:sz w:val="21"/>
          <w:szCs w:val="21"/>
        </w:rPr>
        <w:t xml:space="preserve">Because data flows down but detection propagates up, the layer that fires earliest in time and sits lowest in the stack is almost always the true origin of the fault. The higher layers that fire shortly after are reacting to the loss of what they depend on — they are symptoms surfacing, not the source.</w:t>
      </w:r>
    </w:p>
    <w:p>
      <w:pPr>
        <w:spacing w:after="120" w:line="300"/>
      </w:pPr>
      <w:r>
        <w:rPr>
          <w:rFonts w:ascii="Calibri" w:cs="Calibri" w:eastAsia="Calibri" w:hAnsi="Calibri"/>
          <w:sz w:val="21"/>
          <w:szCs w:val="21"/>
        </w:rPr>
        <w:t xml:space="preserve">In practice this means the analysis does not trust the loudest or most visible alarm. It orders all alarms across all layers on a common timeline and looks for the earliest, lowest firing — that is the candidate origin.</w:t>
      </w:r>
    </w:p>
    <w:p>
      <w:pPr>
        <w:pStyle w:val="Heading2"/>
      </w:pPr>
      <w:r>
        <w:rPr>
          <w:rFonts w:ascii="Calibri" w:cs="Calibri" w:eastAsia="Calibri" w:hAnsi="Calibri"/>
          <w:b/>
          <w:bCs/>
          <w:color w:val="2E74B5"/>
          <w:sz w:val="25"/>
          <w:szCs w:val="25"/>
        </w:rPr>
        <w:t xml:space="preserve">4.2  The silent-layer principle</w:t>
      </w:r>
    </w:p>
    <w:p>
      <w:pPr>
        <w:spacing w:after="120" w:line="300"/>
      </w:pPr>
      <w:r>
        <w:rPr>
          <w:rFonts w:ascii="Calibri" w:cs="Calibri" w:eastAsia="Calibri" w:hAnsi="Calibri"/>
          <w:sz w:val="21"/>
          <w:szCs w:val="21"/>
        </w:rPr>
        <w:t xml:space="preserve">A layer that stays silent is as informative as one that fires. Which layers are quiet during an incident narrows the origin down sharply:</w:t>
      </w:r>
    </w:p>
    <w:p>
      <w:pPr>
        <w:spacing w:after="30"/>
      </w:pPr>
      <w:r>
        <w:rPr>
          <w:rFonts w:ascii="Calibri" w:cs="Calibri" w:eastAsia="Calibri" w:hAnsi="Calibri"/>
          <w:sz w:val="21"/>
          <w:szCs w:val="21"/>
        </w:rPr>
        <w:t xml:space="preserve"/>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4200"/>
        <w:gridCol w:w="5160"/>
      </w:tblGrid>
      <w:tr>
        <w:trPr>
          <w:tblHeader/>
        </w:trPr>
        <w:tc>
          <w:tcPr>
            <w:tcW w:type="dxa" w:w="420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Observed pattern</w:t>
            </w:r>
          </w:p>
        </w:tc>
        <w:tc>
          <w:tcPr>
            <w:tcW w:type="dxa" w:w="516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What it tells you</w:t>
            </w:r>
          </w:p>
        </w:tc>
      </w:tr>
      <w:tr>
        <w:tc>
          <w:tcPr>
            <w:tcW w:type="dxa" w:w="42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DWDM silent + upper layer firing</w:t>
            </w:r>
          </w:p>
        </w:tc>
        <w:tc>
          <w:tcPr>
            <w:tcW w:type="dxa" w:w="516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The optical span is healthy; the fault lies in the router / chassis side, not the fibre.</w:t>
            </w:r>
          </w:p>
        </w:tc>
      </w:tr>
      <w:tr>
        <w:tc>
          <w:tcPr>
            <w:tcW w:type="dxa" w:w="42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DWDM firing alone</w:t>
            </w:r>
          </w:p>
        </w:tc>
        <w:tc>
          <w:tcPr>
            <w:tcW w:type="dxa" w:w="516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An optical-only problem, contained below the router — the packets' higher layers may be unaffected.</w:t>
            </w:r>
          </w:p>
        </w:tc>
      </w:tr>
      <w:tr>
        <w:tc>
          <w:tcPr>
            <w:tcW w:type="dxa" w:w="42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Lower layer firing before an upper layer</w:t>
            </w:r>
          </w:p>
        </w:tc>
        <w:tc>
          <w:tcPr>
            <w:tcW w:type="dxa" w:w="516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Consistent with a genuine bottom-origin fault propagating upward as expected.</w:t>
            </w:r>
          </w:p>
        </w:tc>
      </w:tr>
    </w:tbl>
    <w:p>
      <w:pPr>
        <w:spacing w:after="120"/>
      </w:pPr>
      <w:r>
        <w:rPr>
          <w:rFonts w:ascii="Calibri" w:cs="Calibri" w:eastAsia="Calibri" w:hAnsi="Calibri"/>
          <w:sz w:val="21"/>
          <w:szCs w:val="21"/>
        </w:rPr>
        <w:t xml:space="preserve"/>
      </w:r>
    </w:p>
    <w:p>
      <w:pPr>
        <w:spacing w:after="120" w:line="300"/>
      </w:pPr>
      <w:r>
        <w:rPr>
          <w:rFonts w:ascii="Calibri" w:cs="Calibri" w:eastAsia="Calibri" w:hAnsi="Calibri"/>
          <w:sz w:val="21"/>
          <w:szCs w:val="21"/>
        </w:rPr>
        <w:t xml:space="preserve">Combining the two principles gives a repeatable procedure: align all logs on one timeline, find the earliest-and-lowest firing, then read the pattern of which layers are silent to confirm the origin and point toward the cause. That procedure is the specification the eventual AI model must automate.</w:t>
      </w:r>
    </w:p>
    <w:p>
      <w:r>
        <w:br w:type="page"/>
      </w:r>
    </w:p>
    <w:p>
      <w:pPr>
        <w:pStyle w:val="Heading1"/>
      </w:pPr>
      <w:r>
        <w:rPr>
          <w:rFonts w:ascii="Calibri" w:cs="Calibri" w:eastAsia="Calibri" w:hAnsi="Calibri"/>
          <w:b/>
          <w:bCs/>
          <w:color w:val="1F3864"/>
          <w:sz w:val="30"/>
          <w:szCs w:val="30"/>
        </w:rPr>
        <w:t xml:space="preserve">5.  Reference Material Compiled</w:t>
      </w:r>
    </w:p>
    <w:p>
      <w:pPr>
        <w:spacing w:after="120" w:line="300"/>
      </w:pPr>
      <w:r>
        <w:rPr>
          <w:rFonts w:ascii="Calibri" w:cs="Calibri" w:eastAsia="Calibri" w:hAnsi="Calibri"/>
          <w:sz w:val="21"/>
          <w:szCs w:val="21"/>
        </w:rPr>
        <w:t xml:space="preserve">To turn the method into something a machine can apply, three reference catalogues were built. They act as the knowledge base against which real incidents are matched. (Only their structure and logic are described here; the specific catalogue contents are kept out of this document as project data.)</w:t>
      </w:r>
    </w:p>
    <w:p>
      <w:pPr>
        <w:pStyle w:val="Heading2"/>
      </w:pPr>
      <w:r>
        <w:rPr>
          <w:rFonts w:ascii="Calibri" w:cs="Calibri" w:eastAsia="Calibri" w:hAnsi="Calibri"/>
          <w:b/>
          <w:bCs/>
          <w:color w:val="2E74B5"/>
          <w:sz w:val="25"/>
          <w:szCs w:val="25"/>
        </w:rPr>
        <w:t xml:space="preserve">5.1  Alarm-code catalogue</w:t>
      </w:r>
    </w:p>
    <w:p>
      <w:pPr>
        <w:spacing w:after="120" w:line="300"/>
      </w:pPr>
      <w:r>
        <w:rPr>
          <w:rFonts w:ascii="Calibri" w:cs="Calibri" w:eastAsia="Calibri" w:hAnsi="Calibri"/>
          <w:sz w:val="21"/>
          <w:szCs w:val="21"/>
        </w:rPr>
        <w:t xml:space="preserve">Every alarm code a device can raise was catalogued and given a plain-language meaning, plus a note on which fault scenario(s) it points toward. Two device classes are covered:</w:t>
      </w:r>
    </w:p>
    <w:p>
      <w:pPr>
        <w:pStyle w:val="ListParagraph"/>
        <w:numPr>
          <w:ilvl w:val="0"/>
          <w:numId w:val="2"/>
        </w:numPr>
        <w:spacing w:after="70" w:line="290"/>
      </w:pPr>
      <w:r>
        <w:rPr>
          <w:rFonts w:ascii="Calibri" w:cs="Calibri" w:eastAsia="Calibri" w:hAnsi="Calibri"/>
          <w:b/>
          <w:bCs/>
          <w:sz w:val="21"/>
          <w:szCs w:val="21"/>
        </w:rPr>
        <w:t xml:space="preserve">DWDM node alarm codes — </w:t>
      </w:r>
      <w:r>
        <w:rPr>
          <w:rFonts w:ascii="Calibri" w:cs="Calibri" w:eastAsia="Calibri" w:hAnsi="Calibri"/>
          <w:sz w:val="21"/>
          <w:szCs w:val="21"/>
        </w:rPr>
        <w:t xml:space="preserve">the full set of optical-layer alarms, each explained (signal degraded, error-rate fail, alarm-indication-signal received from upstream, loss of contact, supporting-resource failures, and so on), with the scenarios each one implies.</w:t>
      </w:r>
    </w:p>
    <w:p>
      <w:pPr>
        <w:pStyle w:val="ListParagraph"/>
        <w:numPr>
          <w:ilvl w:val="0"/>
          <w:numId w:val="2"/>
        </w:numPr>
        <w:spacing w:after="70" w:line="290"/>
      </w:pPr>
      <w:r>
        <w:rPr>
          <w:rFonts w:ascii="Calibri" w:cs="Calibri" w:eastAsia="Calibri" w:hAnsi="Calibri"/>
          <w:b/>
          <w:bCs/>
          <w:sz w:val="21"/>
          <w:szCs w:val="21"/>
        </w:rPr>
        <w:t xml:space="preserve">Router alarm codes — </w:t>
      </w:r>
      <w:r>
        <w:rPr>
          <w:rFonts w:ascii="Calibri" w:cs="Calibri" w:eastAsia="Calibri" w:hAnsi="Calibri"/>
          <w:sz w:val="21"/>
          <w:szCs w:val="21"/>
        </w:rPr>
        <w:t xml:space="preserve">the router-side alarms, similarly explained and mapped to their likely scenarios.</w:t>
      </w:r>
    </w:p>
    <w:tbl>
      <w:tblPr>
        <w:tblW w:type="dxa" w:w="9360"/>
        <w:tblBorders>
          <w:top w:val="single" w:color="1F7A6D" w:sz="4"/>
          <w:left w:val="single" w:color="1F7A6D" w:sz="18"/>
          <w:bottom w:val="single" w:color="1F7A6D" w:sz="4"/>
          <w:right w:val="single" w:color="1F7A6D" w:sz="4"/>
          <w:insideH w:val="none"/>
          <w:insideV w:val="single" w:color="auto" w:sz="4"/>
        </w:tblBorders>
      </w:tblPr>
      <w:tblGrid>
        <w:gridCol w:w="9360"/>
      </w:tblGrid>
      <w:tr>
        <w:tc>
          <w:tcPr>
            <w:tcW w:type="dxa" w:w="9360"/>
            <w:shd w:fill="F0F7F5" w:val="clear"/>
            <w:tcMar>
              <w:top w:type="dxa" w:w="120"/>
              <w:left w:type="dxa" w:w="200"/>
              <w:bottom w:type="dxa" w:w="120"/>
              <w:right w:type="dxa" w:w="160"/>
            </w:tcMar>
          </w:tcPr>
          <w:p>
            <w:pPr>
              <w:spacing w:after="60"/>
            </w:pPr>
            <w:r>
              <w:rPr>
                <w:rFonts w:ascii="Calibri" w:cs="Calibri" w:eastAsia="Calibri" w:hAnsi="Calibri"/>
                <w:b/>
                <w:bCs/>
                <w:color w:val="1F7A6D"/>
                <w:sz w:val="21"/>
                <w:szCs w:val="21"/>
              </w:rPr>
              <w:t xml:space="preserve">A worked example of how one alarm is read</w:t>
            </w:r>
          </w:p>
          <w:p>
            <w:pPr>
              <w:spacing w:after="40" w:line="288"/>
            </w:pPr>
            <w:r>
              <w:rPr>
                <w:rFonts w:ascii="Calibri" w:cs="Calibri" w:eastAsia="Calibri" w:hAnsi="Calibri"/>
                <w:sz w:val="20"/>
                <w:szCs w:val="20"/>
              </w:rPr>
              <w:t xml:space="preserve">An “alarm indication signal (AIS)” received at a node means an UPSTREAM node has failed and is signalling “my output is invalid” downstream. So the presence of AIS at one node actively points the investigation upstream of where it is seen — a good illustration of why the catalogue records not just what an alarm means, but where it directs attention.</w:t>
            </w:r>
          </w:p>
        </w:tc>
      </w:tr>
    </w:tbl>
    <w:p>
      <w:pPr>
        <w:pStyle w:val="Heading2"/>
      </w:pPr>
      <w:r>
        <w:rPr>
          <w:rFonts w:ascii="Calibri" w:cs="Calibri" w:eastAsia="Calibri" w:hAnsi="Calibri"/>
          <w:b/>
          <w:bCs/>
          <w:color w:val="2E74B5"/>
          <w:sz w:val="25"/>
          <w:szCs w:val="25"/>
        </w:rPr>
        <w:t xml:space="preserve">5.2  Fault-scenario catalogue</w:t>
      </w:r>
    </w:p>
    <w:p>
      <w:pPr>
        <w:spacing w:after="120" w:line="300"/>
      </w:pPr>
      <w:r>
        <w:rPr>
          <w:rFonts w:ascii="Calibri" w:cs="Calibri" w:eastAsia="Calibri" w:hAnsi="Calibri"/>
          <w:sz w:val="21"/>
          <w:szCs w:val="21"/>
        </w:rPr>
        <w:t xml:space="preserve">The ways the network can fail were organised into a catalogue of scenarios, grouped by origin so that a matched scenario immediately implies an origin class:</w:t>
      </w:r>
    </w:p>
    <w:p>
      <w:pPr>
        <w:spacing w:after="30"/>
      </w:pPr>
      <w:r>
        <w:rPr>
          <w:rFonts w:ascii="Calibri" w:cs="Calibri" w:eastAsia="Calibri" w:hAnsi="Calibri"/>
          <w:sz w:val="21"/>
          <w:szCs w:val="21"/>
        </w:rPr>
        <w:t xml:space="preserve"/>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2000"/>
        <w:gridCol w:w="2600"/>
        <w:gridCol w:w="4760"/>
      </w:tblGrid>
      <w:tr>
        <w:trPr>
          <w:tblHeader/>
        </w:trPr>
        <w:tc>
          <w:tcPr>
            <w:tcW w:type="dxa" w:w="200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Group</w:t>
            </w:r>
          </w:p>
        </w:tc>
        <w:tc>
          <w:tcPr>
            <w:tcW w:type="dxa" w:w="260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Theme</w:t>
            </w:r>
          </w:p>
        </w:tc>
        <w:tc>
          <w:tcPr>
            <w:tcW w:type="dxa" w:w="476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Nature of the scenarios</w:t>
            </w:r>
          </w:p>
        </w:tc>
      </w:tr>
      <w:tr>
        <w:tc>
          <w:tcPr>
            <w:tcW w:type="dxa" w:w="20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Group A</w:t>
            </w:r>
          </w:p>
        </w:tc>
        <w:tc>
          <w:tcPr>
            <w:tcW w:type="dxa" w:w="26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Optical origin</w:t>
            </w:r>
          </w:p>
        </w:tc>
        <w:tc>
          <w:tcPr>
            <w:tcW w:type="dxa" w:w="476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Faults that begin in the DWDM / fibre layer — cuts, degradations, optical failures.</w:t>
            </w:r>
          </w:p>
        </w:tc>
      </w:tr>
      <w:tr>
        <w:tc>
          <w:tcPr>
            <w:tcW w:type="dxa" w:w="20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Group B</w:t>
            </w:r>
          </w:p>
        </w:tc>
        <w:tc>
          <w:tcPr>
            <w:tcW w:type="dxa" w:w="26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IP / router origin</w:t>
            </w:r>
          </w:p>
        </w:tc>
        <w:tc>
          <w:tcPr>
            <w:tcW w:type="dxa" w:w="476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Faults that begin in the router / IP side — chassis, port, interface, configuration.</w:t>
            </w:r>
          </w:p>
        </w:tc>
      </w:tr>
      <w:tr>
        <w:tc>
          <w:tcPr>
            <w:tcW w:type="dxa" w:w="20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Group C</w:t>
            </w:r>
          </w:p>
        </w:tc>
        <w:tc>
          <w:tcPr>
            <w:tcW w:type="dxa" w:w="26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Compound / environmental</w:t>
            </w:r>
          </w:p>
        </w:tc>
        <w:tc>
          <w:tcPr>
            <w:tcW w:type="dxa" w:w="476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Combined or environmental causes — power events, cooling, multi-factor failures.</w:t>
            </w:r>
          </w:p>
        </w:tc>
      </w:tr>
      <w:tr>
        <w:tc>
          <w:tcPr>
            <w:tcW w:type="dxa" w:w="20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Group D</w:t>
            </w:r>
          </w:p>
        </w:tc>
        <w:tc>
          <w:tcPr>
            <w:tcW w:type="dxa" w:w="26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Partial propagation</w:t>
            </w:r>
          </w:p>
        </w:tc>
        <w:tc>
          <w:tcPr>
            <w:tcW w:type="dxa" w:w="476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Cases where a fault propagates only part-way up the stack, producing a partial alarm signature.</w:t>
            </w:r>
          </w:p>
        </w:tc>
      </w:tr>
    </w:tbl>
    <w:p>
      <w:pPr>
        <w:spacing w:after="120"/>
      </w:pPr>
      <w:r>
        <w:rPr>
          <w:rFonts w:ascii="Calibri" w:cs="Calibri" w:eastAsia="Calibri" w:hAnsi="Calibri"/>
          <w:sz w:val="21"/>
          <w:szCs w:val="21"/>
        </w:rPr>
        <w:t xml:space="preserve"/>
      </w:r>
    </w:p>
    <w:p>
      <w:pPr>
        <w:spacing w:after="120" w:line="300"/>
      </w:pPr>
      <w:r>
        <w:rPr>
          <w:rFonts w:ascii="Calibri" w:cs="Calibri" w:eastAsia="Calibri" w:hAnsi="Calibri"/>
          <w:sz w:val="21"/>
          <w:szCs w:val="21"/>
        </w:rPr>
        <w:t xml:space="preserve">Each scenario is treated as a hypothesis to be tested against the real logs, not as confirmed ground truth — the EDA phase exists precisely to confirm which of these scenarios genuinely occur in practice.</w:t>
      </w:r>
    </w:p>
    <w:p>
      <w:pPr>
        <w:pStyle w:val="Heading2"/>
      </w:pPr>
      <w:r>
        <w:rPr>
          <w:rFonts w:ascii="Calibri" w:cs="Calibri" w:eastAsia="Calibri" w:hAnsi="Calibri"/>
          <w:b/>
          <w:bCs/>
          <w:color w:val="2E74B5"/>
          <w:sz w:val="25"/>
          <w:szCs w:val="25"/>
        </w:rPr>
        <w:t xml:space="preserve">5.3  Correlation-rules reference</w:t>
      </w:r>
    </w:p>
    <w:p>
      <w:pPr>
        <w:spacing w:after="120" w:line="300"/>
      </w:pPr>
      <w:r>
        <w:rPr>
          <w:rFonts w:ascii="Calibri" w:cs="Calibri" w:eastAsia="Calibri" w:hAnsi="Calibri"/>
          <w:sz w:val="21"/>
          <w:szCs w:val="21"/>
        </w:rPr>
        <w:t xml:space="preserve">Finally, the alarm catalogue and the scenario catalogue were joined by a set of correlation rules. Each rule maps an observed pattern of which layers fired, in what order, with which silent — directly onto a scenario, an origin, and a recommended action. This correlation table is effectively the human-readable version of the classifier the project ultimately intends to automate.</w:t>
      </w:r>
    </w:p>
    <w:p>
      <w:r>
        <w:br w:type="page"/>
      </w:r>
    </w:p>
    <w:p>
      <w:pPr>
        <w:pStyle w:val="Heading1"/>
      </w:pPr>
      <w:r>
        <w:rPr>
          <w:rFonts w:ascii="Calibri" w:cs="Calibri" w:eastAsia="Calibri" w:hAnsi="Calibri"/>
          <w:b/>
          <w:bCs/>
          <w:color w:val="1F3864"/>
          <w:sz w:val="30"/>
          <w:szCs w:val="30"/>
        </w:rPr>
        <w:t xml:space="preserve">6.  The Scripts We Built</w:t>
      </w:r>
    </w:p>
    <w:p>
      <w:pPr>
        <w:spacing w:after="120" w:line="300"/>
      </w:pPr>
      <w:r>
        <w:rPr>
          <w:rFonts w:ascii="Calibri" w:cs="Calibri" w:eastAsia="Calibri" w:hAnsi="Calibri"/>
          <w:sz w:val="21"/>
          <w:szCs w:val="21"/>
        </w:rPr>
        <w:t xml:space="preserve">The raw log sheets arrive with device and site identifiers written in one code convention (the source “Army” code format); the project operates in a different convention (the “Navyug” code format). Before any of the log sheets can be joined onto a common timeline, every code in every relevant column has to be translated. A set of Python scripts was written to do this automatically. This section documents each script — its purpose, its logic, and the safety behaviours built into it.</w:t>
      </w:r>
    </w:p>
    <w:p>
      <w:pPr>
        <w:pStyle w:val="Heading2"/>
      </w:pPr>
      <w:r>
        <w:rPr>
          <w:rFonts w:ascii="Calibri" w:cs="Calibri" w:eastAsia="Calibri" w:hAnsi="Calibri"/>
          <w:b/>
          <w:bCs/>
          <w:color w:val="2E74B5"/>
          <w:sz w:val="25"/>
          <w:szCs w:val="25"/>
        </w:rPr>
        <w:t xml:space="preserve">6.1  The translation source</w:t>
      </w:r>
    </w:p>
    <w:p>
      <w:pPr>
        <w:spacing w:after="120" w:line="300"/>
      </w:pPr>
      <w:r>
        <w:rPr>
          <w:rFonts w:ascii="Calibri" w:cs="Calibri" w:eastAsia="Calibri" w:hAnsi="Calibri"/>
          <w:sz w:val="21"/>
          <w:szCs w:val="21"/>
        </w:rPr>
        <w:t xml:space="preserve">All mapping rules live in a single workbook (referred to as the translation-codes workbook), which contains several sub-sheets. Every sub-sheet has the same simple two-column shape — a source-code column and a target-code column — so translation is fundamentally a lookup. Which sub-sheet to look in, and whether the code must first be split into parts, depends on the specific column being processed. The scripts load every sub-sheet up front into in-memory lookup dictionaries, with sheet names matched case-insensitively and whitespace-stripped so minor naming differences do not break the run.</w:t>
      </w:r>
    </w:p>
    <w:p>
      <w:pPr>
        <w:pStyle w:val="Heading2"/>
      </w:pPr>
      <w:r>
        <w:rPr>
          <w:rFonts w:ascii="Calibri" w:cs="Calibri" w:eastAsia="Calibri" w:hAnsi="Calibri"/>
          <w:b/>
          <w:bCs/>
          <w:color w:val="2E74B5"/>
          <w:sz w:val="25"/>
          <w:szCs w:val="25"/>
        </w:rPr>
        <w:t xml:space="preserve">6.2  Script 1 — the router / site mapping script</w:t>
      </w:r>
    </w:p>
    <w:p>
      <w:pPr>
        <w:spacing w:after="120" w:line="300"/>
      </w:pPr>
      <w:r>
        <w:rPr>
          <w:rFonts w:ascii="Calibri" w:cs="Calibri" w:eastAsia="Calibri" w:hAnsi="Calibri"/>
          <w:sz w:val="21"/>
          <w:szCs w:val="21"/>
        </w:rPr>
        <w:t xml:space="preserve">This script handles the router-side sheets. It processes three different columns, each with its own lookup style:</w:t>
      </w:r>
    </w:p>
    <w:p>
      <w:pPr>
        <w:spacing w:after="30"/>
      </w:pPr>
      <w:r>
        <w:rPr>
          <w:rFonts w:ascii="Calibri" w:cs="Calibri" w:eastAsia="Calibri" w:hAnsi="Calibri"/>
          <w:sz w:val="21"/>
          <w:szCs w:val="21"/>
        </w:rPr>
        <w:t xml:space="preserve"/>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2000"/>
        <w:gridCol w:w="2400"/>
        <w:gridCol w:w="4960"/>
      </w:tblGrid>
      <w:tr>
        <w:trPr>
          <w:tblHeader/>
        </w:trPr>
        <w:tc>
          <w:tcPr>
            <w:tcW w:type="dxa" w:w="200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Column</w:t>
            </w:r>
          </w:p>
        </w:tc>
        <w:tc>
          <w:tcPr>
            <w:tcW w:type="dxa" w:w="240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Lookup type</w:t>
            </w:r>
          </w:p>
        </w:tc>
        <w:tc>
          <w:tcPr>
            <w:tcW w:type="dxa" w:w="496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How it is handled</w:t>
            </w:r>
          </w:p>
        </w:tc>
      </w:tr>
      <w:tr>
        <w:tc>
          <w:tcPr>
            <w:tcW w:type="dxa" w:w="20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Site Name</w:t>
            </w:r>
          </w:p>
        </w:tc>
        <w:tc>
          <w:tcPr>
            <w:tcW w:type="dxa" w:w="24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Four-part splice</w:t>
            </w:r>
          </w:p>
        </w:tc>
        <w:tc>
          <w:tcPr>
            <w:tcW w:type="dxa" w:w="496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The code is split into its component parts — a command part, a station part, a router-code part and a router-type part — each looked up in its own sub-sheet. The trailing number is preserved unchanged.</w:t>
            </w:r>
          </w:p>
        </w:tc>
      </w:tr>
      <w:tr>
        <w:tc>
          <w:tcPr>
            <w:tcW w:type="dxa" w:w="20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Object Name</w:t>
            </w:r>
          </w:p>
        </w:tc>
        <w:tc>
          <w:tcPr>
            <w:tcW w:type="dxa" w:w="24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Whole-cell lookup</w:t>
            </w:r>
          </w:p>
        </w:tc>
        <w:tc>
          <w:tcPr>
            <w:tcW w:type="dxa" w:w="496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The entire cell value is looked up once in the Object-Name sub-sheet.</w:t>
            </w:r>
          </w:p>
        </w:tc>
      </w:tr>
      <w:tr>
        <w:tc>
          <w:tcPr>
            <w:tcW w:type="dxa" w:w="20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Site Id</w:t>
            </w:r>
          </w:p>
        </w:tc>
        <w:tc>
          <w:tcPr>
            <w:tcW w:type="dxa" w:w="24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Whole-cell lookup</w:t>
            </w:r>
          </w:p>
        </w:tc>
        <w:tc>
          <w:tcPr>
            <w:tcW w:type="dxa" w:w="496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The entire cell value is looked up once in the Site-Id sub-sheet.</w:t>
            </w:r>
          </w:p>
        </w:tc>
      </w:tr>
    </w:tbl>
    <w:p>
      <w:pPr>
        <w:spacing w:after="120"/>
      </w:pPr>
      <w:r>
        <w:rPr>
          <w:rFonts w:ascii="Calibri" w:cs="Calibri" w:eastAsia="Calibri" w:hAnsi="Calibri"/>
          <w:sz w:val="21"/>
          <w:szCs w:val="21"/>
        </w:rPr>
        <w:t xml:space="preserve"/>
      </w:r>
    </w:p>
    <w:p>
      <w:pPr>
        <w:pStyle w:val="Heading3"/>
      </w:pPr>
      <w:r>
        <w:rPr>
          <w:rFonts w:ascii="Calibri" w:cs="Calibri" w:eastAsia="Calibri" w:hAnsi="Calibri"/>
          <w:b/>
          <w:bCs/>
          <w:color w:val="1F7A6D"/>
          <w:sz w:val="22"/>
          <w:szCs w:val="22"/>
        </w:rPr>
        <w:t xml:space="preserve">The Site Name splice — how the four-part split works</w:t>
      </w:r>
    </w:p>
    <w:p>
      <w:pPr>
        <w:spacing w:after="120" w:line="300"/>
      </w:pPr>
      <w:r>
        <w:rPr>
          <w:rFonts w:ascii="Calibri" w:cs="Calibri" w:eastAsia="Calibri" w:hAnsi="Calibri"/>
          <w:sz w:val="21"/>
          <w:szCs w:val="21"/>
        </w:rPr>
        <w:t xml:space="preserve">A site-name code is a run of letters followed by a trailing number. It decomposes positionally into: a command part, then a station part, then a router-code part, and then a router-type part, with the number kept untouched at the end. The key design point recorded here is that the router-type part is variable in length — some router types are three letters, others are two.</w:t>
      </w:r>
    </w:p>
    <w:p>
      <w:pPr>
        <w:spacing w:after="120" w:line="300"/>
      </w:pPr>
      <w:r>
        <w:rPr>
          <w:rFonts w:ascii="Calibri" w:cs="Calibri" w:eastAsia="Calibri" w:hAnsi="Calibri"/>
          <w:sz w:val="21"/>
          <w:szCs w:val="21"/>
        </w:rPr>
        <w:t xml:space="preserve">Rather than hard-coding a fixed length (which would mis-split the shorter types), the script uses a regular expression to peel the trailing digits off first, then treats whatever letters remain after the known fixed-width parts as the router type. This makes every router-type variant split correctly; all variants were verified against real examples.</w:t>
      </w:r>
    </w:p>
    <w:p>
      <w:pPr>
        <w:pStyle w:val="Heading3"/>
      </w:pPr>
      <w:r>
        <w:rPr>
          <w:rFonts w:ascii="Calibri" w:cs="Calibri" w:eastAsia="Calibri" w:hAnsi="Calibri"/>
          <w:b/>
          <w:bCs/>
          <w:color w:val="1F7A6D"/>
          <w:sz w:val="22"/>
          <w:szCs w:val="22"/>
        </w:rPr>
        <w:t xml:space="preserve">Safety behaviours built into the script</w:t>
      </w:r>
    </w:p>
    <w:p>
      <w:pPr>
        <w:pStyle w:val="ListParagraph"/>
        <w:numPr>
          <w:ilvl w:val="0"/>
          <w:numId w:val="2"/>
        </w:numPr>
        <w:spacing w:after="70" w:line="290"/>
      </w:pPr>
      <w:r>
        <w:rPr>
          <w:rFonts w:ascii="Calibri" w:cs="Calibri" w:eastAsia="Calibri" w:hAnsi="Calibri"/>
          <w:sz w:val="21"/>
          <w:szCs w:val="21"/>
        </w:rPr>
        <w:t xml:space="preserve">A code that does not fit the expected letters-plus-digits pattern is left unchanged rather than mangled.</w:t>
      </w:r>
    </w:p>
    <w:p>
      <w:pPr>
        <w:pStyle w:val="ListParagraph"/>
        <w:numPr>
          <w:ilvl w:val="0"/>
          <w:numId w:val="2"/>
        </w:numPr>
        <w:spacing w:after="70" w:line="290"/>
      </w:pPr>
      <w:r>
        <w:rPr>
          <w:rFonts w:ascii="Calibri" w:cs="Calibri" w:eastAsia="Calibri" w:hAnsi="Calibri"/>
          <w:sz w:val="21"/>
          <w:szCs w:val="21"/>
        </w:rPr>
        <w:t xml:space="preserve">Any individual part not found in its sub-sheet keeps its original code, so missing mappings appear visibly in the output instead of silently becoming blanks.</w:t>
      </w:r>
    </w:p>
    <w:p>
      <w:pPr>
        <w:pStyle w:val="ListParagraph"/>
        <w:numPr>
          <w:ilvl w:val="0"/>
          <w:numId w:val="2"/>
        </w:numPr>
        <w:spacing w:after="70" w:line="290"/>
      </w:pPr>
      <w:r>
        <w:rPr>
          <w:rFonts w:ascii="Calibri" w:cs="Calibri" w:eastAsia="Calibri" w:hAnsi="Calibri"/>
          <w:sz w:val="21"/>
          <w:szCs w:val="21"/>
        </w:rPr>
        <w:t xml:space="preserve">If a configured column does not exist in the input file, it is skipped with a notice rather than raising an error and stopping the run.</w:t>
      </w:r>
    </w:p>
    <w:p>
      <w:pPr>
        <w:pStyle w:val="ListParagraph"/>
        <w:numPr>
          <w:ilvl w:val="0"/>
          <w:numId w:val="2"/>
        </w:numPr>
        <w:spacing w:after="70" w:line="290"/>
      </w:pPr>
      <w:r>
        <w:rPr>
          <w:rFonts w:ascii="Calibri" w:cs="Calibri" w:eastAsia="Calibri" w:hAnsi="Calibri"/>
          <w:sz w:val="21"/>
          <w:szCs w:val="21"/>
        </w:rPr>
        <w:t xml:space="preserve">Sheet names are matched case-insensitively and with surrounding whitespace stripped, so small naming inconsistencies are tolerated.</w:t>
      </w:r>
    </w:p>
    <w:p>
      <w:pPr>
        <w:pStyle w:val="Heading2"/>
      </w:pPr>
      <w:r>
        <w:rPr>
          <w:rFonts w:ascii="Calibri" w:cs="Calibri" w:eastAsia="Calibri" w:hAnsi="Calibri"/>
          <w:b/>
          <w:bCs/>
          <w:color w:val="2E74B5"/>
          <w:sz w:val="25"/>
          <w:szCs w:val="25"/>
        </w:rPr>
        <w:t xml:space="preserve">6.3  Script 2 — the DWDM mapping script</w:t>
      </w:r>
    </w:p>
    <w:p>
      <w:pPr>
        <w:spacing w:after="120" w:line="300"/>
      </w:pPr>
      <w:r>
        <w:rPr>
          <w:rFonts w:ascii="Calibri" w:cs="Calibri" w:eastAsia="Calibri" w:hAnsi="Calibri"/>
          <w:sz w:val="21"/>
          <w:szCs w:val="21"/>
        </w:rPr>
        <w:t xml:space="preserve">The DWDM sheet uses a single primary identifier column (the System-Name column) plus two additional simple columns. The System-Name code follows a fixed-width structure: a two-letter command part, then three-letter station, legend and hardware parts, then a trailing number that is left unchanged.</w:t>
      </w:r>
    </w:p>
    <w:p>
      <w:pPr>
        <w:spacing w:after="120" w:line="300"/>
      </w:pPr>
      <w:r>
        <w:rPr>
          <w:rFonts w:ascii="Calibri" w:cs="Calibri" w:eastAsia="Calibri" w:hAnsi="Calibri"/>
          <w:sz w:val="21"/>
          <w:szCs w:val="21"/>
        </w:rPr>
        <w:t xml:space="preserve">So for a system-name code the script splices out four fixed-width parts and looks each up in its own sub-sheet (command, station, legend, hardware), then re-joins the translated parts with the original number appended. The regular-expression pattern used to validate and split the code is, in structural terms:</w:t>
      </w:r>
    </w:p>
    <w:p>
      <w:pPr>
        <w:spacing w:after="20"/>
      </w:pPr>
      <w:r>
        <w:rPr>
          <w:rFonts w:ascii="Calibri" w:cs="Calibri" w:eastAsia="Calibri" w:hAnsi="Calibri"/>
          <w:sz w:val="21"/>
          <w:szCs w:val="21"/>
        </w:rPr>
        <w:t xml:space="preserve"/>
      </w:r>
    </w:p>
    <w:p>
      <w:pPr>
        <w:shd w:fill="F4F6F8" w:val="clear"/>
        <w:spacing w:after="0" w:line="264"/>
        <w:ind w:left="240" w:right="240"/>
      </w:pPr>
      <w:r>
        <w:rPr>
          <w:rFonts w:ascii="Consolas" w:cs="Consolas" w:eastAsia="Consolas" w:hAnsi="Consolas"/>
          <w:color w:val="24292F"/>
          <w:sz w:val="18"/>
          <w:szCs w:val="18"/>
        </w:rPr>
        <w:t xml:space="preserve"># System Name layout:  WC | DEL | TXN | CNA | &lt;number&gt;</w:t>
      </w:r>
    </w:p>
    <w:p>
      <w:pPr>
        <w:shd w:fill="F4F6F8" w:val="clear"/>
        <w:spacing w:after="0" w:line="264"/>
        <w:ind w:left="240" w:right="240"/>
      </w:pPr>
      <w:r>
        <w:rPr>
          <w:rFonts w:ascii="Consolas" w:cs="Consolas" w:eastAsia="Consolas" w:hAnsi="Consolas"/>
          <w:color w:val="24292F"/>
          <w:sz w:val="18"/>
          <w:szCs w:val="18"/>
        </w:rPr>
        <w:t xml:space="preserve">#                       2     3     3     3     digits</w:t>
      </w:r>
    </w:p>
    <w:p>
      <w:pPr>
        <w:shd w:fill="F4F6F8" w:val="clear"/>
        <w:spacing w:after="0" w:line="264"/>
        <w:ind w:left="240" w:right="240"/>
      </w:pPr>
      <w:r>
        <w:rPr>
          <w:rFonts w:ascii="Consolas" w:cs="Consolas" w:eastAsia="Consolas" w:hAnsi="Consolas"/>
          <w:color w:val="24292F"/>
          <w:sz w:val="18"/>
          <w:szCs w:val="18"/>
        </w:rPr>
        <w:t xml:space="preserve">#   command | station | legend | hardware | number(kept as-is)</w:t>
      </w:r>
    </w:p>
    <w:p>
      <w:pPr>
        <w:shd w:fill="F4F6F8" w:val="clear"/>
        <w:spacing w:after="0" w:line="264"/>
        <w:ind w:left="240" w:right="240"/>
      </w:pPr>
      <w:r>
        <w:rPr>
          <w:rFonts w:ascii="Consolas" w:cs="Consolas" w:eastAsia="Consolas" w:hAnsi="Consolas"/>
          <w:color w:val="24292F"/>
          <w:sz w:val="18"/>
          <w:szCs w:val="18"/>
        </w:rPr>
        <w:t xml:space="preserve"> </w:t>
      </w:r>
    </w:p>
    <w:p>
      <w:pPr>
        <w:shd w:fill="F4F6F8" w:val="clear"/>
        <w:spacing w:after="0" w:line="264"/>
        <w:ind w:left="240" w:right="240"/>
      </w:pPr>
      <w:r>
        <w:rPr>
          <w:rFonts w:ascii="Consolas" w:cs="Consolas" w:eastAsia="Consolas" w:hAnsi="Consolas"/>
          <w:color w:val="24292F"/>
          <w:sz w:val="18"/>
          <w:szCs w:val="18"/>
        </w:rPr>
        <w:t xml:space="preserve">m = re.match(r'^([A-Z]{2})([A-Z]{3})([A-Z]{3})([A-Z]{3})(\d+)$', code)</w:t>
      </w:r>
    </w:p>
    <w:p>
      <w:pPr>
        <w:shd w:fill="F4F6F8" w:val="clear"/>
        <w:spacing w:after="0" w:line="264"/>
        <w:ind w:left="240" w:right="240"/>
      </w:pPr>
      <w:r>
        <w:rPr>
          <w:rFonts w:ascii="Consolas" w:cs="Consolas" w:eastAsia="Consolas" w:hAnsi="Consolas"/>
          <w:color w:val="24292F"/>
          <w:sz w:val="18"/>
          <w:szCs w:val="18"/>
        </w:rPr>
        <w:t xml:space="preserve">if not m:</w:t>
      </w:r>
    </w:p>
    <w:p>
      <w:pPr>
        <w:shd w:fill="F4F6F8" w:val="clear"/>
        <w:spacing w:after="0" w:line="264"/>
        <w:ind w:left="240" w:right="240"/>
      </w:pPr>
      <w:r>
        <w:rPr>
          <w:rFonts w:ascii="Consolas" w:cs="Consolas" w:eastAsia="Consolas" w:hAnsi="Consolas"/>
          <w:color w:val="24292F"/>
          <w:sz w:val="18"/>
          <w:szCs w:val="18"/>
        </w:rPr>
        <w:t xml:space="preserve">    return code            # doesn't fit the pattern -&gt; leave unchanged</w:t>
      </w:r>
    </w:p>
    <w:p>
      <w:pPr>
        <w:shd w:fill="F4F6F8" w:val="clear"/>
        <w:spacing w:after="0" w:line="264"/>
        <w:ind w:left="240" w:right="240"/>
      </w:pPr>
      <w:r>
        <w:rPr>
          <w:rFonts w:ascii="Consolas" w:cs="Consolas" w:eastAsia="Consolas" w:hAnsi="Consolas"/>
          <w:color w:val="24292F"/>
          <w:sz w:val="18"/>
          <w:szCs w:val="18"/>
        </w:rPr>
        <w:t xml:space="preserve"> </w:t>
      </w:r>
    </w:p>
    <w:p>
      <w:pPr>
        <w:shd w:fill="F4F6F8" w:val="clear"/>
        <w:spacing w:after="0" w:line="264"/>
        <w:ind w:left="240" w:right="240"/>
      </w:pPr>
      <w:r>
        <w:rPr>
          <w:rFonts w:ascii="Consolas" w:cs="Consolas" w:eastAsia="Consolas" w:hAnsi="Consolas"/>
          <w:color w:val="24292F"/>
          <w:sz w:val="18"/>
          <w:szCs w:val="18"/>
        </w:rPr>
        <w:t xml:space="preserve">command  = command_map.get(g1, g1)   # each part looked up in its sub-sheet;</w:t>
      </w:r>
    </w:p>
    <w:p>
      <w:pPr>
        <w:shd w:fill="F4F6F8" w:val="clear"/>
        <w:spacing w:after="0" w:line="264"/>
        <w:ind w:left="240" w:right="240"/>
      </w:pPr>
      <w:r>
        <w:rPr>
          <w:rFonts w:ascii="Consolas" w:cs="Consolas" w:eastAsia="Consolas" w:hAnsi="Consolas"/>
          <w:color w:val="24292F"/>
          <w:sz w:val="18"/>
          <w:szCs w:val="18"/>
        </w:rPr>
        <w:t xml:space="preserve">station  = station_map.get(g2, g2)   # if a part is missing from the sheet,</w:t>
      </w:r>
    </w:p>
    <w:p>
      <w:pPr>
        <w:shd w:fill="F4F6F8" w:val="clear"/>
        <w:spacing w:after="0" w:line="264"/>
        <w:ind w:left="240" w:right="240"/>
      </w:pPr>
      <w:r>
        <w:rPr>
          <w:rFonts w:ascii="Consolas" w:cs="Consolas" w:eastAsia="Consolas" w:hAnsi="Consolas"/>
          <w:color w:val="24292F"/>
          <w:sz w:val="18"/>
          <w:szCs w:val="18"/>
        </w:rPr>
        <w:t xml:space="preserve">legend   = legend_map.get(g3, g3)    # the original code is kept so the gap</w:t>
      </w:r>
    </w:p>
    <w:p>
      <w:pPr>
        <w:shd w:fill="F4F6F8" w:val="clear"/>
        <w:spacing w:after="0" w:line="264"/>
        <w:ind w:left="240" w:right="240"/>
      </w:pPr>
      <w:r>
        <w:rPr>
          <w:rFonts w:ascii="Consolas" w:cs="Consolas" w:eastAsia="Consolas" w:hAnsi="Consolas"/>
          <w:color w:val="24292F"/>
          <w:sz w:val="18"/>
          <w:szCs w:val="18"/>
        </w:rPr>
        <w:t xml:space="preserve">hardware = hardware_map.get(g4, g4)  # is visible in the output</w:t>
      </w:r>
    </w:p>
    <w:p>
      <w:pPr>
        <w:shd w:fill="F4F6F8" w:val="clear"/>
        <w:spacing w:after="0" w:line="264"/>
        <w:ind w:left="240" w:right="240"/>
      </w:pPr>
      <w:r>
        <w:rPr>
          <w:rFonts w:ascii="Consolas" w:cs="Consolas" w:eastAsia="Consolas" w:hAnsi="Consolas"/>
          <w:color w:val="24292F"/>
          <w:sz w:val="18"/>
          <w:szCs w:val="18"/>
        </w:rPr>
        <w:t xml:space="preserve">return f'{command}_{station}_{legend}_{hardware}_{number}'</w:t>
      </w:r>
    </w:p>
    <w:p>
      <w:pPr>
        <w:spacing w:after="60"/>
      </w:pPr>
      <w:r>
        <w:rPr>
          <w:rFonts w:ascii="Calibri" w:cs="Calibri" w:eastAsia="Calibri" w:hAnsi="Calibri"/>
          <w:sz w:val="21"/>
          <w:szCs w:val="21"/>
        </w:rPr>
        <w:t xml:space="preserve"/>
      </w:r>
    </w:p>
    <w:p>
      <w:pPr>
        <w:spacing w:after="120" w:line="300"/>
      </w:pPr>
      <w:r>
        <w:rPr>
          <w:rFonts w:ascii="Calibri" w:cs="Calibri" w:eastAsia="Calibri" w:hAnsi="Calibri"/>
          <w:sz w:val="21"/>
          <w:szCs w:val="21"/>
        </w:rPr>
        <w:t xml:space="preserve">The two additional DWDM columns are handled as straightforward one-to-one lookups:</w:t>
      </w:r>
    </w:p>
    <w:p>
      <w:pPr>
        <w:pStyle w:val="ListParagraph"/>
        <w:numPr>
          <w:ilvl w:val="0"/>
          <w:numId w:val="2"/>
        </w:numPr>
        <w:spacing w:after="70" w:line="290"/>
      </w:pPr>
      <w:r>
        <w:rPr>
          <w:rFonts w:ascii="Calibri" w:cs="Calibri" w:eastAsia="Calibri" w:hAnsi="Calibri"/>
          <w:b/>
          <w:bCs/>
          <w:sz w:val="21"/>
          <w:szCs w:val="21"/>
        </w:rPr>
        <w:t xml:space="preserve">CLFI — </w:t>
      </w:r>
      <w:r>
        <w:rPr>
          <w:rFonts w:ascii="Calibri" w:cs="Calibri" w:eastAsia="Calibri" w:hAnsi="Calibri"/>
          <w:sz w:val="21"/>
          <w:szCs w:val="21"/>
        </w:rPr>
        <w:t xml:space="preserve">the whole value is looked up directly in the CLFI sub-sheet and replaced with its translated equivalent.</w:t>
      </w:r>
    </w:p>
    <w:p>
      <w:pPr>
        <w:pStyle w:val="ListParagraph"/>
        <w:numPr>
          <w:ilvl w:val="0"/>
          <w:numId w:val="2"/>
        </w:numPr>
        <w:spacing w:after="70" w:line="290"/>
      </w:pPr>
      <w:r>
        <w:rPr>
          <w:rFonts w:ascii="Calibri" w:cs="Calibri" w:eastAsia="Calibri" w:hAnsi="Calibri"/>
          <w:b/>
          <w:bCs/>
          <w:sz w:val="21"/>
          <w:szCs w:val="21"/>
        </w:rPr>
        <w:t xml:space="preserve">Component — </w:t>
      </w:r>
      <w:r>
        <w:rPr>
          <w:rFonts w:ascii="Calibri" w:cs="Calibri" w:eastAsia="Calibri" w:hAnsi="Calibri"/>
          <w:sz w:val="21"/>
          <w:szCs w:val="21"/>
        </w:rPr>
        <w:t xml:space="preserve">the whole value is looked up directly in the Component sub-sheet and replaced.</w:t>
      </w:r>
    </w:p>
    <w:p>
      <w:pPr>
        <w:spacing w:after="120" w:line="300"/>
      </w:pPr>
      <w:r>
        <w:rPr>
          <w:rFonts w:ascii="Calibri" w:cs="Calibri" w:eastAsia="Calibri" w:hAnsi="Calibri"/>
          <w:sz w:val="21"/>
          <w:szCs w:val="21"/>
        </w:rPr>
        <w:t xml:space="preserve">The CLFI and Component mapping logic was developed and then merged into the DWDM script so that a single pass over the sheet translates the system name, the CLFI and the component together. The same safety behaviours as the router script apply — unmatched codes are preserved, missing columns are skipped with a notice, and the output is written to a fresh translated workbook so the raw input is never overwritten.</w:t>
      </w:r>
    </w:p>
    <w:p>
      <w:pPr>
        <w:pStyle w:val="Heading2"/>
      </w:pPr>
      <w:r>
        <w:rPr>
          <w:rFonts w:ascii="Calibri" w:cs="Calibri" w:eastAsia="Calibri" w:hAnsi="Calibri"/>
          <w:b/>
          <w:bCs/>
          <w:color w:val="2E74B5"/>
          <w:sz w:val="25"/>
          <w:szCs w:val="25"/>
        </w:rPr>
        <w:t xml:space="preserve">6.4  What the scripts collectively produce</w:t>
      </w:r>
    </w:p>
    <w:p>
      <w:pPr>
        <w:spacing w:after="120" w:line="300"/>
      </w:pPr>
      <w:r>
        <w:rPr>
          <w:rFonts w:ascii="Calibri" w:cs="Calibri" w:eastAsia="Calibri" w:hAnsi="Calibri"/>
          <w:sz w:val="21"/>
          <w:szCs w:val="21"/>
        </w:rPr>
        <w:t xml:space="preserve">Between them, the two scripts translate every identifier column across the router-side sheets and the DWDM sheet from the source convention into the working convention. The result is a set of translated sheets in which sites, objects, system names, CLFIs and components all read in the project's own vocabulary — the necessary precondition for joining the sheets together and aligning optical and IP logs on one timeline.</w:t>
      </w:r>
    </w:p>
    <w:p>
      <w:r>
        <w:br w:type="page"/>
      </w:r>
    </w:p>
    <w:p>
      <w:pPr>
        <w:pStyle w:val="Heading1"/>
      </w:pPr>
      <w:r>
        <w:rPr>
          <w:rFonts w:ascii="Calibri" w:cs="Calibri" w:eastAsia="Calibri" w:hAnsi="Calibri"/>
          <w:b/>
          <w:bCs/>
          <w:color w:val="1F3864"/>
          <w:sz w:val="30"/>
          <w:szCs w:val="30"/>
        </w:rPr>
        <w:t xml:space="preserve">7.  Data Preparation Currently in Progress</w:t>
      </w:r>
    </w:p>
    <w:p>
      <w:pPr>
        <w:spacing w:after="120" w:line="300"/>
      </w:pPr>
      <w:r>
        <w:rPr>
          <w:rFonts w:ascii="Calibri" w:cs="Calibri" w:eastAsia="Calibri" w:hAnsi="Calibri"/>
          <w:sz w:val="21"/>
          <w:szCs w:val="21"/>
        </w:rPr>
        <w:t xml:space="preserve">With translation in hand, the project is now assembling the unified dataset the analysis needs. The current work items are:</w:t>
      </w:r>
    </w:p>
    <w:p>
      <w:pPr>
        <w:spacing w:after="20"/>
      </w:pPr>
      <w:r>
        <w:rPr>
          <w:rFonts w:ascii="Calibri" w:cs="Calibri" w:eastAsia="Calibri" w:hAnsi="Calibri"/>
          <w:sz w:val="21"/>
          <w:szCs w:val="21"/>
        </w:rPr>
        <w:t xml:space="preserve"/>
      </w:r>
    </w:p>
    <w:p>
      <w:pPr>
        <w:pStyle w:val="ListParagraph"/>
        <w:numPr>
          <w:ilvl w:val="0"/>
          <w:numId w:val="3"/>
        </w:numPr>
        <w:spacing w:after="70" w:line="290"/>
      </w:pPr>
      <w:r>
        <w:rPr>
          <w:rFonts w:ascii="Calibri" w:cs="Calibri" w:eastAsia="Calibri" w:hAnsi="Calibri"/>
          <w:b/>
          <w:bCs/>
          <w:sz w:val="21"/>
          <w:szCs w:val="21"/>
        </w:rPr>
        <w:t xml:space="preserve">Apply the translation scripts across all raw log sheets </w:t>
      </w:r>
      <w:r>
        <w:rPr>
          <w:rFonts w:ascii="Calibri" w:cs="Calibri" w:eastAsia="Calibri" w:hAnsi="Calibri"/>
          <w:sz w:val="21"/>
          <w:szCs w:val="21"/>
        </w:rPr>
        <w:t xml:space="preserve">so every sheet is expressed in the working code convention.</w:t>
      </w:r>
    </w:p>
    <w:p>
      <w:pPr>
        <w:pStyle w:val="ListParagraph"/>
        <w:numPr>
          <w:ilvl w:val="0"/>
          <w:numId w:val="3"/>
        </w:numPr>
        <w:spacing w:after="70" w:line="290"/>
      </w:pPr>
      <w:r>
        <w:rPr>
          <w:rFonts w:ascii="Calibri" w:cs="Calibri" w:eastAsia="Calibri" w:hAnsi="Calibri"/>
          <w:b/>
          <w:bCs/>
          <w:sz w:val="21"/>
          <w:szCs w:val="21"/>
        </w:rPr>
        <w:t xml:space="preserve">Add a clean, common timestamp to every sheet </w:t>
      </w:r>
      <w:r>
        <w:rPr>
          <w:rFonts w:ascii="Calibri" w:cs="Calibri" w:eastAsia="Calibri" w:hAnsi="Calibri"/>
          <w:sz w:val="21"/>
          <w:szCs w:val="21"/>
        </w:rPr>
        <w:t xml:space="preserve">— a UTC, millisecond-resolution time column — so alarms from optical and IP layers can be ordered against each other precisely. This is the priority data-prep step, because the bottom-up method depends entirely on being able to say which alarm fired first.</w:t>
      </w:r>
    </w:p>
    <w:p>
      <w:pPr>
        <w:pStyle w:val="ListParagraph"/>
        <w:numPr>
          <w:ilvl w:val="0"/>
          <w:numId w:val="3"/>
        </w:numPr>
        <w:spacing w:after="70" w:line="290"/>
      </w:pPr>
      <w:r>
        <w:rPr>
          <w:rFonts w:ascii="Calibri" w:cs="Calibri" w:eastAsia="Calibri" w:hAnsi="Calibri"/>
          <w:b/>
          <w:bCs/>
          <w:sz w:val="21"/>
          <w:szCs w:val="21"/>
        </w:rPr>
        <w:t xml:space="preserve">Add a shared node / span key to every sheet </w:t>
      </w:r>
      <w:r>
        <w:rPr>
          <w:rFonts w:ascii="Calibri" w:cs="Calibri" w:eastAsia="Calibri" w:hAnsi="Calibri"/>
          <w:sz w:val="21"/>
          <w:szCs w:val="21"/>
        </w:rPr>
        <w:t xml:space="preserve">— the “topology bridge map” — so a given physical span or node can be matched across the optical and IP sheets and the layers can be lined up not just in time but in place.</w:t>
      </w:r>
    </w:p>
    <w:p>
      <w:pPr>
        <w:pStyle w:val="ListParagraph"/>
        <w:numPr>
          <w:ilvl w:val="0"/>
          <w:numId w:val="3"/>
        </w:numPr>
        <w:spacing w:after="70" w:line="290"/>
      </w:pPr>
      <w:r>
        <w:rPr>
          <w:rFonts w:ascii="Calibri" w:cs="Calibri" w:eastAsia="Calibri" w:hAnsi="Calibri"/>
          <w:b/>
          <w:bCs/>
          <w:sz w:val="21"/>
          <w:szCs w:val="21"/>
        </w:rPr>
        <w:t xml:space="preserve">Run exploratory data analysis on the unified timeline </w:t>
      </w:r>
      <w:r>
        <w:rPr>
          <w:rFonts w:ascii="Calibri" w:cs="Calibri" w:eastAsia="Calibri" w:hAnsi="Calibri"/>
          <w:sz w:val="21"/>
          <w:szCs w:val="21"/>
        </w:rPr>
        <w:t xml:space="preserve">to see the real shape of the logs, and to discover which of the catalogued fault scenarios actually occur in practice.</w:t>
      </w:r>
    </w:p>
    <w:p>
      <w:pPr>
        <w:spacing w:after="80"/>
      </w:pPr>
      <w:r>
        <w:rPr>
          <w:rFonts w:ascii="Calibri" w:cs="Calibri" w:eastAsia="Calibri" w:hAnsi="Calibri"/>
          <w:sz w:val="21"/>
          <w:szCs w:val="21"/>
        </w:rPr>
        <w:t xml:space="preserve"/>
      </w:r>
    </w:p>
    <w:tbl>
      <w:tblPr>
        <w:tblW w:type="dxa" w:w="9360"/>
        <w:tblBorders>
          <w:top w:val="single" w:color="1F7A6D" w:sz="4"/>
          <w:left w:val="single" w:color="1F7A6D" w:sz="18"/>
          <w:bottom w:val="single" w:color="1F7A6D" w:sz="4"/>
          <w:right w:val="single" w:color="1F7A6D" w:sz="4"/>
          <w:insideH w:val="none"/>
          <w:insideV w:val="single" w:color="auto" w:sz="4"/>
        </w:tblBorders>
      </w:tblPr>
      <w:tblGrid>
        <w:gridCol w:w="9360"/>
      </w:tblGrid>
      <w:tr>
        <w:tc>
          <w:tcPr>
            <w:tcW w:type="dxa" w:w="9360"/>
            <w:shd w:fill="F0F7F5" w:val="clear"/>
            <w:tcMar>
              <w:top w:type="dxa" w:w="120"/>
              <w:left w:type="dxa" w:w="200"/>
              <w:bottom w:type="dxa" w:w="120"/>
              <w:right w:type="dxa" w:w="160"/>
            </w:tcMar>
          </w:tcPr>
          <w:p>
            <w:pPr>
              <w:spacing w:after="60"/>
            </w:pPr>
            <w:r>
              <w:rPr>
                <w:rFonts w:ascii="Calibri" w:cs="Calibri" w:eastAsia="Calibri" w:hAnsi="Calibri"/>
                <w:b/>
                <w:bCs/>
                <w:color w:val="1F7A6D"/>
                <w:sz w:val="21"/>
                <w:szCs w:val="21"/>
              </w:rPr>
              <w:t xml:space="preserve">Guiding assumption for this phase</w:t>
            </w:r>
          </w:p>
          <w:p>
            <w:pPr>
              <w:spacing w:after="40" w:line="288"/>
            </w:pPr>
            <w:r>
              <w:rPr>
                <w:rFonts w:ascii="Calibri" w:cs="Calibri" w:eastAsia="Calibri" w:hAnsi="Calibri"/>
                <w:sz w:val="20"/>
                <w:szCs w:val="20"/>
              </w:rPr>
              <w:t xml:space="preserve">The scenario catalogue and correlation rules are treated as hypotheses to be confirmed against real logs, not as settled ground truth. The EDA exists to validate the framework before any of it is hard-wired into an automated model.</w:t>
            </w:r>
          </w:p>
          <w:p>
            <w:pPr>
              <w:spacing w:after="40" w:line="288"/>
            </w:pPr>
            <w:r>
              <w:rPr>
                <w:rFonts w:ascii="Calibri" w:cs="Calibri" w:eastAsia="Calibri" w:hAnsi="Calibri"/>
                <w:sz w:val="20"/>
                <w:szCs w:val="20"/>
              </w:rPr>
              <w:t xml:space="preserve">Two practical checks are also on the list: confirming that the sub-sheet names configured in the scripts match the workbook exactly, and confirming that clock synchronisation across devices is reliable before the earliest-fired ordering is fully trusted.</w:t>
            </w:r>
          </w:p>
        </w:tc>
      </w:tr>
    </w:tbl>
    <w:p>
      <w:r>
        <w:br w:type="page"/>
      </w:r>
    </w:p>
    <w:p>
      <w:pPr>
        <w:pStyle w:val="Heading1"/>
      </w:pPr>
      <w:r>
        <w:rPr>
          <w:rFonts w:ascii="Calibri" w:cs="Calibri" w:eastAsia="Calibri" w:hAnsi="Calibri"/>
          <w:b/>
          <w:bCs/>
          <w:color w:val="1F3864"/>
          <w:sz w:val="30"/>
          <w:szCs w:val="30"/>
        </w:rPr>
        <w:t xml:space="preserve">8.  Status Summary and Roadmap</w:t>
      </w:r>
    </w:p>
    <w:p>
      <w:pPr>
        <w:pStyle w:val="Heading2"/>
      </w:pPr>
      <w:r>
        <w:rPr>
          <w:rFonts w:ascii="Calibri" w:cs="Calibri" w:eastAsia="Calibri" w:hAnsi="Calibri"/>
          <w:b/>
          <w:bCs/>
          <w:color w:val="2E74B5"/>
          <w:sz w:val="25"/>
          <w:szCs w:val="25"/>
        </w:rPr>
        <w:t xml:space="preserve">8.1  Status at a glance</w:t>
      </w:r>
    </w:p>
    <w:tbl>
      <w:tblPr>
        <w:tblW w:type="dxa" w:w="9360"/>
        <w:tblBorders>
          <w:top w:val="single" w:color="C9D3E0" w:sz="2"/>
          <w:left w:val="single" w:color="C9D3E0" w:sz="2"/>
          <w:bottom w:val="single" w:color="C9D3E0" w:sz="2"/>
          <w:right w:val="single" w:color="C9D3E0" w:sz="2"/>
          <w:insideH w:val="single" w:color="DCE3EC" w:sz="2"/>
          <w:insideV w:val="single" w:color="DCE3EC" w:sz="2"/>
        </w:tblBorders>
      </w:tblPr>
      <w:tblGrid>
        <w:gridCol w:w="4500"/>
        <w:gridCol w:w="1500"/>
        <w:gridCol w:w="3360"/>
      </w:tblGrid>
      <w:tr>
        <w:trPr>
          <w:tblHeader/>
        </w:trPr>
        <w:tc>
          <w:tcPr>
            <w:tcW w:type="dxa" w:w="450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Work item</w:t>
            </w:r>
          </w:p>
        </w:tc>
        <w:tc>
          <w:tcPr>
            <w:tcW w:type="dxa" w:w="150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Status</w:t>
            </w:r>
          </w:p>
        </w:tc>
        <w:tc>
          <w:tcPr>
            <w:tcW w:type="dxa" w:w="3360"/>
            <w:shd w:fill="1F3864" w:val="clear"/>
            <w:tcMar>
              <w:top w:type="dxa" w:w="60"/>
              <w:left w:type="dxa" w:w="100"/>
              <w:bottom w:type="dxa" w:w="60"/>
              <w:right w:type="dxa" w:w="100"/>
            </w:tcMar>
          </w:tcPr>
          <w:p>
            <w:pPr>
              <w:spacing w:after="0" w:line="264"/>
            </w:pPr>
            <w:r>
              <w:rPr>
                <w:rFonts w:ascii="Calibri" w:cs="Calibri" w:eastAsia="Calibri" w:hAnsi="Calibri"/>
                <w:b/>
                <w:bCs/>
                <w:color w:val="FFFFFF"/>
                <w:sz w:val="19"/>
                <w:szCs w:val="19"/>
              </w:rPr>
              <w:t xml:space="preserve">Output</w:t>
            </w:r>
          </w:p>
        </w:tc>
      </w:tr>
      <w:tr>
        <w:tc>
          <w:tcPr>
            <w:tcW w:type="dxa" w:w="45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Understand the network domain and terminology</w:t>
            </w:r>
          </w:p>
        </w:tc>
        <w:tc>
          <w:tcPr>
            <w:tcW w:type="dxa" w:w="15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Complete</w:t>
            </w:r>
          </w:p>
        </w:tc>
        <w:tc>
          <w:tcPr>
            <w:tcW w:type="dxa" w:w="336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Briefing / glossary</w:t>
            </w:r>
          </w:p>
        </w:tc>
      </w:tr>
      <w:tr>
        <w:tc>
          <w:tcPr>
            <w:tcW w:type="dxa" w:w="45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Reconstruct the full end-to-end architecture</w:t>
            </w:r>
          </w:p>
        </w:tc>
        <w:tc>
          <w:tcPr>
            <w:tcW w:type="dxa" w:w="15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Complete</w:t>
            </w:r>
          </w:p>
        </w:tc>
        <w:tc>
          <w:tcPr>
            <w:tcW w:type="dxa" w:w="336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Architecture description + diagrams</w:t>
            </w:r>
          </w:p>
        </w:tc>
      </w:tr>
      <w:tr>
        <w:tc>
          <w:tcPr>
            <w:tcW w:type="dxa" w:w="45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Document the layer stack and the log sources</w:t>
            </w:r>
          </w:p>
        </w:tc>
        <w:tc>
          <w:tcPr>
            <w:tcW w:type="dxa" w:w="15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Complete</w:t>
            </w:r>
          </w:p>
        </w:tc>
        <w:tc>
          <w:tcPr>
            <w:tcW w:type="dxa" w:w="336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Reference document</w:t>
            </w:r>
          </w:p>
        </w:tc>
      </w:tr>
      <w:tr>
        <w:tc>
          <w:tcPr>
            <w:tcW w:type="dxa" w:w="45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Compile device alarm codes (DWDM + router)</w:t>
            </w:r>
          </w:p>
        </w:tc>
        <w:tc>
          <w:tcPr>
            <w:tcW w:type="dxa" w:w="15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Complete</w:t>
            </w:r>
          </w:p>
        </w:tc>
        <w:tc>
          <w:tcPr>
            <w:tcW w:type="dxa" w:w="336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Alarm-code catalogue</w:t>
            </w:r>
          </w:p>
        </w:tc>
      </w:tr>
      <w:tr>
        <w:tc>
          <w:tcPr>
            <w:tcW w:type="dxa" w:w="45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Build the fault-scenario catalogue (Groups A–D)</w:t>
            </w:r>
          </w:p>
        </w:tc>
        <w:tc>
          <w:tcPr>
            <w:tcW w:type="dxa" w:w="15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Complete</w:t>
            </w:r>
          </w:p>
        </w:tc>
        <w:tc>
          <w:tcPr>
            <w:tcW w:type="dxa" w:w="336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Scenario reference</w:t>
            </w:r>
          </w:p>
        </w:tc>
      </w:tr>
      <w:tr>
        <w:tc>
          <w:tcPr>
            <w:tcW w:type="dxa" w:w="45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Establish the diagnostic method (bottom-up + silent-layer)</w:t>
            </w:r>
          </w:p>
        </w:tc>
        <w:tc>
          <w:tcPr>
            <w:tcW w:type="dxa" w:w="15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Complete</w:t>
            </w:r>
          </w:p>
        </w:tc>
        <w:tc>
          <w:tcPr>
            <w:tcW w:type="dxa" w:w="336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Correlation-rules reference</w:t>
            </w:r>
          </w:p>
        </w:tc>
      </w:tr>
      <w:tr>
        <w:tc>
          <w:tcPr>
            <w:tcW w:type="dxa" w:w="45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Router / site translation script (Site Name, Object Name, Site Id)</w:t>
            </w:r>
          </w:p>
        </w:tc>
        <w:tc>
          <w:tcPr>
            <w:tcW w:type="dxa" w:w="15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Complete</w:t>
            </w:r>
          </w:p>
        </w:tc>
        <w:tc>
          <w:tcPr>
            <w:tcW w:type="dxa" w:w="336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Router mapping script</w:t>
            </w:r>
          </w:p>
        </w:tc>
      </w:tr>
      <w:tr>
        <w:tc>
          <w:tcPr>
            <w:tcW w:type="dxa" w:w="45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DWDM translation script (System Name, CLFI, Component)</w:t>
            </w:r>
          </w:p>
        </w:tc>
        <w:tc>
          <w:tcPr>
            <w:tcW w:type="dxa" w:w="15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Complete</w:t>
            </w:r>
          </w:p>
        </w:tc>
        <w:tc>
          <w:tcPr>
            <w:tcW w:type="dxa" w:w="336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DWDM mapping script</w:t>
            </w:r>
          </w:p>
        </w:tc>
      </w:tr>
      <w:tr>
        <w:tc>
          <w:tcPr>
            <w:tcW w:type="dxa" w:w="45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Apply translation across all raw log sheets</w:t>
            </w:r>
          </w:p>
        </w:tc>
        <w:tc>
          <w:tcPr>
            <w:tcW w:type="dxa" w:w="15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In progress</w:t>
            </w:r>
          </w:p>
        </w:tc>
        <w:tc>
          <w:tcPr>
            <w:tcW w:type="dxa" w:w="336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Translated sheets</w:t>
            </w:r>
          </w:p>
        </w:tc>
      </w:tr>
      <w:tr>
        <w:tc>
          <w:tcPr>
            <w:tcW w:type="dxa" w:w="45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Add UTC-ms timestamp + shared span key to every sheet</w:t>
            </w:r>
          </w:p>
        </w:tc>
        <w:tc>
          <w:tcPr>
            <w:tcW w:type="dxa" w:w="15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In progress</w:t>
            </w:r>
          </w:p>
        </w:tc>
        <w:tc>
          <w:tcPr>
            <w:tcW w:type="dxa" w:w="336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Joined dataset</w:t>
            </w:r>
          </w:p>
        </w:tc>
      </w:tr>
      <w:tr>
        <w:tc>
          <w:tcPr>
            <w:tcW w:type="dxa" w:w="45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Exploratory data analysis on the unified timeline</w:t>
            </w:r>
          </w:p>
        </w:tc>
        <w:tc>
          <w:tcPr>
            <w:tcW w:type="dxa" w:w="15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In progress</w:t>
            </w:r>
          </w:p>
        </w:tc>
        <w:tc>
          <w:tcPr>
            <w:tcW w:type="dxa" w:w="336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EDA findings</w:t>
            </w:r>
          </w:p>
        </w:tc>
      </w:tr>
      <w:tr>
        <w:tc>
          <w:tcPr>
            <w:tcW w:type="dxa" w:w="45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Validate which scenarios occur in the real data</w:t>
            </w:r>
          </w:p>
        </w:tc>
        <w:tc>
          <w:tcPr>
            <w:tcW w:type="dxa" w:w="150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Planned</w:t>
            </w:r>
          </w:p>
        </w:tc>
        <w:tc>
          <w:tcPr>
            <w:tcW w:type="dxa" w:w="3360"/>
            <w:shd w:fill="EEF2F8" w:val="clear"/>
            <w:tcMar>
              <w:top w:type="dxa" w:w="60"/>
              <w:left w:type="dxa" w:w="100"/>
              <w:bottom w:type="dxa" w:w="60"/>
              <w:right w:type="dxa" w:w="100"/>
            </w:tcMar>
          </w:tcPr>
          <w:p>
            <w:pPr>
              <w:spacing w:after="0" w:line="264"/>
            </w:pPr>
            <w:r>
              <w:rPr>
                <w:rFonts w:ascii="Calibri" w:cs="Calibri" w:eastAsia="Calibri" w:hAnsi="Calibri"/>
                <w:sz w:val="19"/>
                <w:szCs w:val="19"/>
              </w:rPr>
              <w:t xml:space="preserve">Validated catalogue</w:t>
            </w:r>
          </w:p>
        </w:tc>
      </w:tr>
      <w:tr>
        <w:tc>
          <w:tcPr>
            <w:tcW w:type="dxa" w:w="45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Automated fault-localisation + root-cause model</w:t>
            </w:r>
          </w:p>
        </w:tc>
        <w:tc>
          <w:tcPr>
            <w:tcW w:type="dxa" w:w="150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Planned</w:t>
            </w:r>
          </w:p>
        </w:tc>
        <w:tc>
          <w:tcPr>
            <w:tcW w:type="dxa" w:w="3360"/>
            <w:shd w:fill="FFFFFF" w:val="clear"/>
            <w:tcMar>
              <w:top w:type="dxa" w:w="60"/>
              <w:left w:type="dxa" w:w="100"/>
              <w:bottom w:type="dxa" w:w="60"/>
              <w:right w:type="dxa" w:w="100"/>
            </w:tcMar>
          </w:tcPr>
          <w:p>
            <w:pPr>
              <w:spacing w:after="0" w:line="264"/>
            </w:pPr>
            <w:r>
              <w:rPr>
                <w:rFonts w:ascii="Calibri" w:cs="Calibri" w:eastAsia="Calibri" w:hAnsi="Calibri"/>
                <w:sz w:val="19"/>
                <w:szCs w:val="19"/>
              </w:rPr>
              <w:t xml:space="preserve">AI model</w:t>
            </w:r>
          </w:p>
        </w:tc>
      </w:tr>
    </w:tbl>
    <w:p>
      <w:pPr>
        <w:spacing w:after="160"/>
      </w:pPr>
      <w:r>
        <w:rPr>
          <w:rFonts w:ascii="Calibri" w:cs="Calibri" w:eastAsia="Calibri" w:hAnsi="Calibri"/>
          <w:sz w:val="21"/>
          <w:szCs w:val="21"/>
        </w:rPr>
        <w:t xml:space="preserve"/>
      </w:r>
    </w:p>
    <w:p>
      <w:pPr>
        <w:pStyle w:val="Heading2"/>
      </w:pPr>
      <w:r>
        <w:rPr>
          <w:rFonts w:ascii="Calibri" w:cs="Calibri" w:eastAsia="Calibri" w:hAnsi="Calibri"/>
          <w:b/>
          <w:bCs/>
          <w:color w:val="2E74B5"/>
          <w:sz w:val="25"/>
          <w:szCs w:val="25"/>
        </w:rPr>
        <w:t xml:space="preserve">8.2  The path from here to the goal</w:t>
      </w:r>
    </w:p>
    <w:p>
      <w:pPr>
        <w:spacing w:after="120" w:line="300"/>
      </w:pPr>
      <w:r>
        <w:rPr>
          <w:rFonts w:ascii="Calibri" w:cs="Calibri" w:eastAsia="Calibri" w:hAnsi="Calibri"/>
          <w:sz w:val="21"/>
          <w:szCs w:val="21"/>
        </w:rPr>
        <w:t xml:space="preserve">The logical sequence from here is straightforward: translate the codes so the sheets share a common identifier scheme (done), align them on a common timestamp and topology key (in progress), run EDA to discover which fault signatures genuinely occur (in progress), then encode the validated correlation rules as an automated classifier that reads an incident and returns its origin and its reason.</w:t>
      </w:r>
    </w:p>
    <w:p>
      <w:pPr>
        <w:spacing w:after="120" w:line="300"/>
      </w:pPr>
      <w:r>
        <w:rPr>
          <w:rFonts w:ascii="Calibri" w:cs="Calibri" w:eastAsia="Calibri" w:hAnsi="Calibri"/>
          <w:sz w:val="21"/>
          <w:szCs w:val="21"/>
        </w:rPr>
        <w:t xml:space="preserve">The scenario catalogue and correlation rules already built are the specification for that classifier. Expressed as a lookup, the mapping from an observed layer-firing signature to a fault origin and a likely reason is precisely the two tasks the project set out to solve. The remaining work is to confirm that specification against the real data and then automate it.</w:t>
      </w:r>
    </w:p>
    <w:p>
      <w:pPr>
        <w:spacing w:after="500"/>
      </w:pPr>
      <w:r>
        <w:rPr>
          <w:rFonts w:ascii="Calibri" w:cs="Calibri" w:eastAsia="Calibri" w:hAnsi="Calibri"/>
          <w:sz w:val="21"/>
          <w:szCs w:val="21"/>
        </w:rPr>
        <w:t xml:space="preserve"/>
      </w:r>
    </w:p>
    <w:p>
      <w:pPr>
        <w:pBdr>
          <w:top w:val="single" w:color="CCCCCC" w:sz="4" w:space="8"/>
        </w:pBdr>
        <w:spacing w:before="240"/>
        <w:jc w:val="center"/>
      </w:pPr>
      <w:r>
        <w:rPr>
          <w:rFonts w:ascii="Calibri" w:cs="Calibri" w:eastAsia="Calibri" w:hAnsi="Calibri"/>
          <w:i/>
          <w:iCs/>
          <w:color w:val="888888"/>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jc w:val="right"/>
    </w:pPr>
    <w:r>
      <w:rPr>
        <w:rFonts w:ascii="Calibri" w:cs="Calibri" w:eastAsia="Calibri" w:hAnsi="Calibri"/>
        <w:color w:val="999999"/>
        <w:sz w:val="16"/>
        <w:szCs w:val="16"/>
      </w:rPr>
      <w:t xml:space="preserve">AI for Adaptive Networks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6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2E74B5"/>
      <w:sz w:val="25"/>
      <w:szCs w:val="25"/>
    </w:rPr>
  </w:style>
  <w:style w:type="paragraph" w:styleId="Heading3">
    <w:name w:val="Heading 3"/>
    <w:basedOn w:val="Normal"/>
    <w:next w:val="Normal"/>
    <w:qFormat/>
    <w:pPr>
      <w:spacing w:after="80" w:before="170"/>
      <w:outlineLvl w:val="2"/>
    </w:pPr>
    <w:rPr>
      <w:rFonts w:ascii="Calibri" w:cs="Calibri" w:eastAsia="Calibri" w:hAnsi="Calibri"/>
      <w:b/>
      <w:bCs/>
      <w:color w:val="1F7A6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Adaptive Networks — Project Documentation</dc:title>
  <dc:creator>AI for Adaptive Networks</dc:creator>
  <cp:lastModifiedBy>Un-named</cp:lastModifiedBy>
  <cp:revision>1</cp:revision>
  <dcterms:created xsi:type="dcterms:W3CDTF">2026-09-07T18:44:57.161Z</dcterms:created>
  <dcterms:modified xsi:type="dcterms:W3CDTF">2026-09-07T18:44:57.173Z</dcterms:modified>
</cp:coreProperties>
</file>

<file path=docProps/custom.xml><?xml version="1.0" encoding="utf-8"?>
<Properties xmlns="http://schemas.openxmlformats.org/officeDocument/2006/custom-properties" xmlns:vt="http://schemas.openxmlformats.org/officeDocument/2006/docPropsVTypes"/>
</file>