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the Database looks like: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show tables;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Tables_in_inventory_db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product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supplier  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users   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describe product;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+-------------+---------------+------+-----+---------+-------+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Field       | Type          | Null | Key | Default | Extra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+-------------+---------------+------+-----+---------+-------+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ProductID   | int           | NO   | PRI | NULL    |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ProductName | varchar(100)  | YES  |     | NULL    |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Description | varchar(255)  | NO   | PRI | NULL    |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Price       | decimal(10,2) | YES  |     | NULL    |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Quantity    | int           | YES  |     | NULL    |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Status      | char(1)       | YES  |     | NULL    |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SupplierID  | int           | NO   | PRI | NULL    |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+-------------+---------------+------+-----+---------+-------+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select * from product;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+-----------+-------------+--------------------+---------+----------+--------+------------+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ProductID | ProductName | Description        | Price   | Quantity | Status | SupplierID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+-----------+-------------+--------------------+---------+----------+--------+------------+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1234 | TV          | Plate TV           | 1499.99 |        5 | A      |       7671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   1234 | TV          | Plate TV           |  599.30 |        5 | B      |       8672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   1234 | TV          | Plate TV           |  799.90 |       20 | C      |       9144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1516 | Mouse       | Wireless Mouse     |   69.90 |       25 | C      |       2345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    1516 | Mouse       | Wireless Mouse     |   99.50 |       30 | A      |       3579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   1516 | Mouse       | Wireless Mouse     |   69.50 |       20 | A      |       7807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   1516 | Mouse       | Wireless Mouse     |   49.40 |       50 | B      |       9794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 2591 | Camera      | Camera             |  799.90 |       50 | B      |       7890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    2591 | Camera      | Digital Camera     |  449.40 |       50 | A      |       3592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    2591 | Camera      | Digital Camera     |  499.90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10 | B      |       9512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     2591 | Camera      | Instant Camera     |  179.50 |       30 | C      |       8642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   3034 | Telephone   | Cordless Phone     |  299.99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40 | A      |       3456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3034 | Telephone   | Home Telephone     |   59.50 |       20 | A      |       8655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3034 | Telephone   | Home Telephone     |  169.99 |       15 | A      |       8692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3034 | Telephone   | Home telephone     |   99.90 |       25 | A      |       8765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   3374 | Laptop      | Laptop             | 1399.20 |       10 | B      |       1357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3374 | Laptop      | Laptop             | 1369.90 |       15 | A      |       4567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  3374 | Laptop      | MacBook Pro        | 1799.90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30 | A      |       9876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  3374 | Laptop      | Refurbished Laptop | 1099.10 |       20 | A      |       6954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+-----------+-------------+--------------------+---------+----------+--------+------------+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describe supplier;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+--------------+--------------+------+-----+---------+-------+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Field        | Type         | Null | Key | Default | Extra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+--------------+--------------+------+-----+---------+-------+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SupplierID   | int          | NO   | PRI | NULL    |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SupplierName | varchar(100) | YES  |     | NULL    |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Address      | varchar(255) | YES  |     | NULL    |   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Phone        | varchar(20)  | YES  |     | NULL    |   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Email        | varchar(100) | YES  |     | NULL    |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+--------------+--------------+------+-----+---------+-------+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select * from supplier;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+------------+------------------+---------------------------+----------------+-------------------------+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SupplierID | SupplierName     | Address                   | Phone          | Email          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+------------+------------------+---------------------------+----------------+-------------------------+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    1357 | Sharp            | 123 Tokyo St              | 80-4745-3107   | support@sharp.co.jp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    2345 | MSI              | 789 Mofan St              | 943-299-465    | support@msi.tw     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     3456 | Panasonic        | 246 Osaka St              | 443-887-9967   | support@panasonic.co.jp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     3579 | RedPark Ltd.     | 789 Park Ave              | 604-683-2555   | info@redpark.ca    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     3592 | IBM              | 456 New York St           | 201-335-9423   | support@ibm.com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4567 | Qualcomm         | 456 San Diego St          | 44-7700-087231 | info@qualcomm.co.uk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6954 | Apple            | 246 Cupertino St          | 202-918-2132   | support@apple.com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7084 | Acer             | 135 Taipei St             | 905-926-031    | support@acer.tw  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    7671 | LG Electronics   | 789 Busan St              | 668-286-5378   | support@lge.kr      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  7807 | Intel            | 2200 Mission College Blvd | 408-646-7611   | support@intel.com 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7890 | Samsung          | 456 Seoul St              | 909-763-4442   | support@samsung.com    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    8642 | Xerox Inc.       | 456 High St               | 505-398-8414   | info@xrx.com          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  8655 | Dell             | 246 Austin St             | 505-351-3181   | support@dell.com   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 8672 | AMD              | 246 Santa Clara St        | 312-866-2043   | support@amd.com    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 8692 | Microsoft        | 123 Redmond St            | 505-549-0420   | support@microsoft.com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 8765 | Philips          | 789 Amsterdam St          | 61-483-898-670 | support@philips.au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 9144 | Fujitsu          | 456 Tokyo St              | 03-3556-7890   | support@fujitsu.co.jp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 9512 | Acme Corporation | 123 Main St               | 205-288-8591   | info@acme-corp.com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 9794 | Amazon           | 246 Seattle St            | 555-343-8950   | support@amazon.com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 9876 | Toshiba          | 246 Osaka St              | 90-6378-0835   | support@toshiba.co.jp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+------------+------------------+---------------------------+----------------+-------------------------+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