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p>
    <w:p>
      <w:pPr>
        <w:spacing w:before="200" w:after="0"/>
        <w:jc w:val="center"/>
      </w:pPr>
      <w:r>
        <w:rPr>
          <w:rFonts w:ascii="Calibri" w:hAnsi="Calibri"/>
          <w:b/>
          <w:color w:val="475569"/>
          <w:sz w:val="24"/>
        </w:rPr>
        <w:t>[ RAMDEOBABA UNIVERSITY ]</w:t>
        <w:br/>
        <w:t>Department of Computer Science &amp; Engineering</w:t>
      </w:r>
    </w:p>
    <w:p>
      <w:pPr>
        <w:spacing w:before="900" w:after="160"/>
        <w:jc w:val="center"/>
      </w:pPr>
      <w:r>
        <w:rPr>
          <w:rFonts w:ascii="Calibri" w:hAnsi="Calibri"/>
          <w:b/>
          <w:color w:val="0F172A"/>
          <w:sz w:val="44"/>
        </w:rPr>
        <w:t>BANK MARKETING SUBSCRIPTION</w:t>
        <w:br/>
        <w:t>PREDICTION SYSTEM</w:t>
        <w:br/>
        <w:t>(BankerEye)</w:t>
      </w:r>
    </w:p>
    <w:p>
      <w:pPr>
        <w:spacing w:before="80" w:after="720"/>
        <w:jc w:val="center"/>
      </w:pPr>
      <w:r>
        <w:rPr>
          <w:rFonts w:ascii="Calibri" w:hAnsi="Calibri"/>
          <w:color w:val="2563EB"/>
          <w:sz w:val="22"/>
        </w:rPr>
        <w:t>A Machine Learning &amp; Telemarketing Conversion Intelligence Platform</w:t>
      </w:r>
    </w:p>
    <w:p>
      <w:pPr>
        <w:spacing w:before="500" w:after="120"/>
        <w:jc w:val="center"/>
      </w:pPr>
      <w:r>
        <w:rPr>
          <w:rFonts w:ascii="Calibri" w:hAnsi="Calibri"/>
          <w:b/>
          <w:color w:val="0F172A"/>
          <w:sz w:val="22"/>
        </w:rPr>
        <w:t>Submitted By:</w:t>
      </w:r>
    </w:p>
    <w:p>
      <w:pPr>
        <w:spacing w:before="40" w:after="80"/>
        <w:jc w:val="center"/>
      </w:pPr>
      <w:r>
        <w:rPr>
          <w:rFonts w:ascii="Calibri" w:hAnsi="Calibri"/>
          <w:b/>
          <w:color w:val="0F172A"/>
          <w:sz w:val="21"/>
        </w:rPr>
        <w:t>[Sanskar Edhate]  |  Roll No: [37]</w:t>
      </w:r>
    </w:p>
    <w:p>
      <w:pPr>
        <w:spacing w:before="40" w:after="80"/>
        <w:jc w:val="center"/>
      </w:pPr>
      <w:r>
        <w:rPr>
          <w:rFonts w:ascii="Calibri" w:hAnsi="Calibri"/>
          <w:b/>
          <w:color w:val="0F172A"/>
          <w:sz w:val="21"/>
        </w:rPr>
        <w:t>[Gaurav Mansingkha]  |  Roll No: [34]</w:t>
      </w:r>
    </w:p>
    <w:p>
      <w:pPr>
        <w:spacing w:before="40" w:after="80"/>
        <w:jc w:val="center"/>
      </w:pPr>
      <w:r>
        <w:rPr>
          <w:rFonts w:ascii="Calibri" w:hAnsi="Calibri"/>
          <w:b/>
          <w:color w:val="0F172A"/>
          <w:sz w:val="21"/>
        </w:rPr>
        <w:t>[Yash Rai]  |  Roll No: [46]</w:t>
      </w:r>
    </w:p>
    <w:p>
      <w:pPr>
        <w:spacing w:before="600" w:after="0"/>
        <w:jc w:val="center"/>
      </w:pPr>
      <w:r>
        <w:rPr>
          <w:rFonts w:ascii="Calibri" w:hAnsi="Calibri"/>
          <w:b/>
          <w:color w:val="0F172A"/>
          <w:sz w:val="22"/>
        </w:rPr>
        <w:t>ACADEMIC YEAR: 2026 – 2027</w:t>
      </w:r>
    </w:p>
    <w:p>
      <w:r>
        <w:br w:type="page"/>
      </w:r>
    </w:p>
    <w:p>
      <w:pPr>
        <w:keepNext/>
        <w:spacing w:before="180" w:after="60"/>
      </w:pPr>
      <w:r>
        <w:rPr>
          <w:rFonts w:ascii="Calibri" w:hAnsi="Calibri"/>
          <w:b/>
          <w:color w:val="1E3A8A"/>
          <w:sz w:val="27"/>
        </w:rPr>
        <w:t>1. Introduction</w:t>
      </w:r>
    </w:p>
    <w:p>
      <w:pPr>
        <w:keepNext/>
        <w:spacing w:before="100" w:after="40"/>
      </w:pPr>
      <w:r>
        <w:rPr>
          <w:rFonts w:ascii="Calibri" w:hAnsi="Calibri"/>
          <w:b/>
          <w:color w:val="0F172A"/>
          <w:sz w:val="21"/>
        </w:rPr>
        <w:t>1.1 Project Background</w:t>
      </w:r>
    </w:p>
    <w:p>
      <w:pPr>
        <w:spacing w:before="0" w:after="60" w:line="264" w:lineRule="auto"/>
        <w:jc w:val="left"/>
      </w:pPr>
      <w:r>
        <w:rPr>
          <w:rFonts w:ascii="Calibri" w:hAnsi="Calibri"/>
          <w:color w:val="0F172A"/>
          <w:sz w:val="19"/>
        </w:rPr>
        <w:t>Direct telemarketing campaigns for term deposit subscriptions are a fundamental mechanism in retail banking for raising stable capital reserves. Despite their critical importance, indiscriminate customer outreach suffers from historically low conversion rates of approximately 11–12%, resulting in significant wasted operational expenditure, telemarketer fatigue, and reduced customer satisfaction. The Bank Marketing Subscription Prediction System (BankerEye) addresses this systemic inefficiency by developing an end-to-end, anti-leakage machine learning platform that predicts client subscription propensities prior to telemarketing contact, allowing financial institutions to prioritize prospective subscribers and allocate outreach budgets with empirical precision.</w:t>
      </w:r>
    </w:p>
    <w:p>
      <w:pPr>
        <w:keepNext/>
        <w:spacing w:before="100" w:after="40"/>
      </w:pPr>
      <w:r>
        <w:rPr>
          <w:rFonts w:ascii="Calibri" w:hAnsi="Calibri"/>
          <w:b/>
          <w:color w:val="0F172A"/>
          <w:sz w:val="21"/>
        </w:rPr>
        <w:t>1.2 Problem Statement</w:t>
      </w:r>
    </w:p>
    <w:p>
      <w:pPr>
        <w:spacing w:before="0" w:after="60" w:line="264" w:lineRule="auto"/>
        <w:jc w:val="left"/>
      </w:pPr>
      <w:r>
        <w:rPr>
          <w:rFonts w:ascii="Calibri" w:hAnsi="Calibri"/>
          <w:color w:val="0F172A"/>
          <w:sz w:val="19"/>
        </w:rPr>
        <w:t>Given a comprehensive historical repository of customer banking attributes, demographic profiles, and past campaign interactions, the primary objective is to formulate a robust supervised binary classification system that identifies high-probability term deposit subscribers. To ensure rigorous operational validity, the platform strictly enforces an anti-leakage protocol by omitting the call duration attribute (duration), which is only observable during or after a telemarketing engagement. The system must navigate severe class imbalance (11.7% positive class), generate well-calibrated posterior probabilities, optimize decision thresholds for actionable conversion utility, and provide an intuitive web interface for non-technical banking professionals.</w:t>
      </w:r>
    </w:p>
    <w:p>
      <w:pPr>
        <w:keepNext/>
        <w:spacing w:before="100" w:after="40"/>
      </w:pPr>
      <w:r>
        <w:rPr>
          <w:rFonts w:ascii="Calibri" w:hAnsi="Calibri"/>
          <w:b/>
          <w:color w:val="0F172A"/>
          <w:sz w:val="21"/>
        </w:rPr>
        <w:t>1.3 Objectives</w:t>
      </w:r>
    </w:p>
    <w:p>
      <w:pPr>
        <w:spacing w:before="0" w:after="60" w:line="264" w:lineRule="auto"/>
        <w:jc w:val="left"/>
      </w:pPr>
      <w:r>
        <w:rPr>
          <w:rFonts w:ascii="Calibri" w:hAnsi="Calibri"/>
          <w:color w:val="0F172A"/>
          <w:sz w:val="19"/>
        </w:rPr>
        <w:t>• Benchmark four supervised ML classifiers (Logistic Regression, Decision Tree, K-Nearest Neighbours, and Random Forest) using standardized preprocessing and probability calibration pipelines.</w:t>
        <w:br/>
        <w:t>• Enforce a strict anti-leakage protocol by completely excluding call duration from all predictive training and inference pipelines.</w:t>
        <w:br/>
        <w:t>• Address extreme class imbalance using inverse class weighting (class_weight='balanced') and validation-tuned decision thresholds.</w:t>
        <w:br/>
        <w:t>• Implement isotonic probability calibration (CalibratedClassifierCV) to output reliable risk estimates alongside binary decisions.</w:t>
        <w:br/>
        <w:t>• Quantify statistical significance across competing models using 1,000-iteration bootstrap confidence intervals for F1 and ROC-AUC.</w:t>
        <w:br/>
        <w:t>• Deploy a responsive multi-page web application featuring asynchronous model retraining, single inference, batch scoring, and reporting.</w:t>
      </w:r>
    </w:p>
    <w:p>
      <w:pPr>
        <w:keepNext/>
        <w:spacing w:before="100" w:after="40"/>
      </w:pPr>
      <w:r>
        <w:rPr>
          <w:rFonts w:ascii="Calibri" w:hAnsi="Calibri"/>
          <w:b/>
          <w:color w:val="0F172A"/>
          <w:sz w:val="21"/>
        </w:rPr>
        <w:t>1.4 Technology Stack</w:t>
      </w:r>
    </w:p>
    <w:p>
      <w:pPr>
        <w:spacing w:before="0" w:after="60" w:line="264" w:lineRule="auto"/>
        <w:jc w:val="left"/>
      </w:pPr>
      <w:r>
        <w:rPr>
          <w:rFonts w:ascii="Calibri" w:hAnsi="Calibri"/>
          <w:color w:val="0F172A"/>
          <w:sz w:val="19"/>
        </w:rPr>
        <w:t>BankerEye is built entirely in Python 3.x, leveraging Scikit-learn for machine learning pipelines and probability calibration, Flask for the RESTful API microservice, Waitress as the multi-threaded WSGI production server, Streamlit for the multi-page analytics dashboard, Pandas and NumPy for vectorized feature manipulation, and Joblib for robust model serialization.</w:t>
      </w:r>
    </w:p>
    <w:p>
      <w:pPr>
        <w:keepNext/>
        <w:spacing w:before="100" w:after="40"/>
      </w:pPr>
      <w:r>
        <w:rPr>
          <w:rFonts w:ascii="Calibri" w:hAnsi="Calibri"/>
          <w:b/>
          <w:color w:val="0F172A"/>
          <w:sz w:val="21"/>
        </w:rPr>
        <w:t>1.5 Scope and Applications</w:t>
      </w:r>
    </w:p>
    <w:p>
      <w:pPr>
        <w:spacing w:before="0" w:after="60" w:line="264" w:lineRule="auto"/>
        <w:jc w:val="left"/>
      </w:pPr>
      <w:r>
        <w:rPr>
          <w:rFonts w:ascii="Calibri" w:hAnsi="Calibri"/>
          <w:color w:val="0F172A"/>
          <w:sz w:val="19"/>
        </w:rPr>
        <w:t>The platform is designed for commercial retail banking teams, marketing analysts, and call center dispatchers. Its capabilities include real-time single-customer subscription probability estimation, multi-model consensus predictions, high-throughput bulk CSV scoring for campaign outreach lists, interactive model performance auditing across confusion matrices and ROC curves, and dynamic report generation.</w:t>
      </w:r>
    </w:p>
    <w:p>
      <w:pPr>
        <w:keepNext/>
        <w:spacing w:before="180" w:after="60"/>
      </w:pPr>
      <w:r>
        <w:rPr>
          <w:rFonts w:ascii="Calibri" w:hAnsi="Calibri"/>
          <w:b/>
          <w:color w:val="1E3A8A"/>
          <w:sz w:val="27"/>
        </w:rPr>
        <w:t>2. Literature Review</w:t>
      </w:r>
    </w:p>
    <w:p>
      <w:pPr>
        <w:spacing w:before="0" w:after="60" w:line="264" w:lineRule="auto"/>
        <w:jc w:val="left"/>
      </w:pPr>
      <w:r>
        <w:rPr>
          <w:rFonts w:ascii="Calibri" w:hAnsi="Calibri"/>
          <w:color w:val="0F172A"/>
          <w:sz w:val="19"/>
        </w:rPr>
        <w:t>Telemarketing subscription prediction has been widely explored in financial analytics literature. Table 2.1 presents a structured synthesis of core benchmark studies, their evaluated model architectures, empirical findings, and literature verification statuses.</w:t>
      </w:r>
    </w:p>
    <w:p>
      <w:pPr>
        <w:keepNext/>
        <w:spacing w:before="70" w:after="30"/>
      </w:pPr>
      <w:r>
        <w:rPr>
          <w:rFonts w:ascii="Calibri" w:hAnsi="Calibri"/>
          <w:b/>
          <w:color w:val="475569"/>
          <w:sz w:val="16"/>
        </w:rPr>
        <w:t>Table 2.1: Empirical Summary of Prior Research Studies on Bank Marketing Subscription Prediction</w:t>
      </w:r>
    </w:p>
    <w:tbl>
      <w:tblPr>
        <w:tblW w:type="auto" w:w="0"/>
        <w:jc w:val="center"/>
        <w:tblLayout w:type="fixed"/>
        <w:tblLook w:firstColumn="1" w:firstRow="1" w:lastColumn="0" w:lastRow="0" w:noHBand="0" w:noVBand="1" w:val="04A0"/>
        <w:tblLayout w:type="fixed"/>
      </w:tblPr>
      <w:tblGrid>
        <w:gridCol w:w="1884"/>
        <w:gridCol w:w="1884"/>
        <w:gridCol w:w="1884"/>
        <w:gridCol w:w="1884"/>
        <w:gridCol w:w="1884"/>
      </w:tblGrid>
      <w:tr>
        <w:trPr>
          <w:tblHeader/>
        </w:trPr>
        <w:tc>
          <w:tcPr>
            <w:tcW w:type="dxa" w:w="1728"/>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left"/>
            </w:pPr>
            <w:r>
              <w:rPr>
                <w:rFonts w:ascii="Calibri" w:hAnsi="Calibri"/>
                <w:b/>
                <w:color w:val="FFFFFF"/>
                <w:sz w:val="15"/>
              </w:rPr>
              <w:t>Study &amp; Year</w:t>
            </w:r>
          </w:p>
        </w:tc>
        <w:tc>
          <w:tcPr>
            <w:tcW w:type="dxa" w:w="1296"/>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left"/>
            </w:pPr>
            <w:r>
              <w:rPr>
                <w:rFonts w:ascii="Calibri" w:hAnsi="Calibri"/>
                <w:b/>
                <w:color w:val="FFFFFF"/>
                <w:sz w:val="15"/>
              </w:rPr>
              <w:t>Venue &amp; Scope</w:t>
            </w:r>
          </w:p>
        </w:tc>
        <w:tc>
          <w:tcPr>
            <w:tcW w:type="dxa" w:w="1872"/>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left"/>
            </w:pPr>
            <w:r>
              <w:rPr>
                <w:rFonts w:ascii="Calibri" w:hAnsi="Calibri"/>
                <w:b/>
                <w:color w:val="FFFFFF"/>
                <w:sz w:val="15"/>
              </w:rPr>
              <w:t>Methodology / Models</w:t>
            </w:r>
          </w:p>
        </w:tc>
        <w:tc>
          <w:tcPr>
            <w:tcW w:type="dxa" w:w="2880"/>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left"/>
            </w:pPr>
            <w:r>
              <w:rPr>
                <w:rFonts w:ascii="Calibri" w:hAnsi="Calibri"/>
                <w:b/>
                <w:color w:val="FFFFFF"/>
                <w:sz w:val="15"/>
              </w:rPr>
              <w:t>Key Findings</w:t>
            </w:r>
          </w:p>
        </w:tc>
        <w:tc>
          <w:tcPr>
            <w:tcW w:type="dxa" w:w="1584"/>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center"/>
            </w:pPr>
            <w:r>
              <w:rPr>
                <w:rFonts w:ascii="Calibri" w:hAnsi="Calibri"/>
                <w:b/>
                <w:color w:val="FFFFFF"/>
                <w:sz w:val="15"/>
              </w:rPr>
              <w:t>Verification Status</w:t>
            </w:r>
          </w:p>
        </w:tc>
      </w:tr>
      <w:tr>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Alessa et al. (2023)</w:t>
            </w:r>
            <w:r>
              <w:t xml:space="preserve"> </w:t>
            </w:r>
            <w:hyperlink r:id="rId9">
              <w:r>
                <w:rPr>
                  <w:color w:val="2563EB"/>
                  <w:u w:val="single"/>
                  <w:rFonts w:ascii="Calibri" w:hAnsi="Calibri"/>
                  <w:sz w:val="15"/>
                  <w:b/>
                </w:rPr>
                <w:t xml:space="preserve">[Link]</w:t>
              </w:r>
            </w:hyperlink>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IEEE ICCMA</w:t>
            </w:r>
          </w:p>
        </w:tc>
        <w:tc>
          <w:tcPr>
            <w:tcW w:type="dxa" w:w="187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Logistic Regression, Decision Tree, KNN, Random Forest, SVM + PySpark</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Ensemble bagging models (Random Forest) consistently surpassed individual linear classifiers in complex demographic interactions, especially when integrated with big data processing.</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Unverified, check before citing</w:t>
            </w:r>
          </w:p>
        </w:tc>
      </w:tr>
      <w:tr>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Singh et al. (2024)</w:t>
            </w:r>
            <w:r>
              <w:t xml:space="preserve"> </w:t>
            </w:r>
            <w:hyperlink r:id="rId10">
              <w:r>
                <w:rPr>
                  <w:color w:val="2563EB"/>
                  <w:u w:val="single"/>
                  <w:rFonts w:ascii="Calibri" w:hAnsi="Calibri"/>
                  <w:sz w:val="15"/>
                  <w:b/>
                </w:rPr>
                <w:t xml:space="preserve">[Link]</w:t>
              </w:r>
            </w:hyperlink>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IEEE TIACOMP</w:t>
            </w:r>
          </w:p>
        </w:tc>
        <w:tc>
          <w:tcPr>
            <w:tcW w:type="dxa" w:w="187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Random Forest, Decision Tree, Logistic Regression with SMOTE</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Addressing severe class imbalance significantly boosted subscription recall from ~30% to over 70%, preventing minority class starvation.</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Unverified, check before citing</w:t>
            </w:r>
          </w:p>
        </w:tc>
      </w:tr>
      <w:tr>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Dixit &amp; Kokila (2024)</w:t>
            </w:r>
            <w:r>
              <w:t xml:space="preserve"> </w:t>
            </w:r>
            <w:hyperlink r:id="rId11">
              <w:r>
                <w:rPr>
                  <w:color w:val="2563EB"/>
                  <w:u w:val="single"/>
                  <w:rFonts w:ascii="Calibri" w:hAnsi="Calibri"/>
                  <w:sz w:val="15"/>
                  <w:b/>
                </w:rPr>
                <w:t xml:space="preserve">[Link]</w:t>
              </w:r>
            </w:hyperlink>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IEEE ICONAT</w:t>
            </w:r>
          </w:p>
        </w:tc>
        <w:tc>
          <w:tcPr>
            <w:tcW w:type="dxa" w:w="187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KNN, Logistic Regression, Gaussian NB, Decision Tree, Random Forest, XGBoost, Stacking</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Achieved peak prediction accuracy through rigorous preprocessing, feature scaling, and ensemble stacking over standalone classifiers.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Unverified, check before citing</w:t>
            </w:r>
          </w:p>
        </w:tc>
      </w:tr>
      <w:tr>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Tanvir et al. (2024)</w:t>
            </w:r>
            <w:r>
              <w:t xml:space="preserve"> </w:t>
            </w:r>
            <w:hyperlink r:id="rId12">
              <w:r>
                <w:rPr>
                  <w:color w:val="2563EB"/>
                  <w:u w:val="single"/>
                  <w:rFonts w:ascii="Calibri" w:hAnsi="Calibri"/>
                  <w:sz w:val="15"/>
                  <w:b/>
                </w:rPr>
                <w:t xml:space="preserve">[Link]</w:t>
              </w:r>
            </w:hyperlink>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arXiv / IEEE DASA</w:t>
            </w:r>
          </w:p>
        </w:tc>
        <w:tc>
          <w:tcPr>
            <w:tcW w:type="dxa" w:w="187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Bayesian Logistic Regression, Probit Regression, Logit</w:t>
            </w:r>
          </w:p>
        </w:tc>
        <w:tc>
          <w:tcPr>
            <w:tcW w:type="dxa" w:w="2880"/>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Probabilistic models generate calibrated uncertainty intervals that prevent overconfident misallocation of calls.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Verified</w:t>
            </w:r>
          </w:p>
        </w:tc>
      </w:tr>
      <w:tr>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Khan et al. (2021)</w:t>
            </w:r>
            <w:r>
              <w:t xml:space="preserve"> </w:t>
            </w:r>
            <w:hyperlink r:id="rId13">
              <w:r>
                <w:rPr>
                  <w:color w:val="2563EB"/>
                  <w:u w:val="single"/>
                  <w:rFonts w:ascii="Calibri" w:hAnsi="Calibri"/>
                  <w:sz w:val="15"/>
                  <w:b/>
                </w:rPr>
                <w:t xml:space="preserve">[Link]</w:t>
              </w:r>
            </w:hyperlink>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Springer LNCS</w:t>
            </w:r>
          </w:p>
        </w:tc>
        <w:tc>
          <w:tcPr>
            <w:tcW w:type="dxa" w:w="187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Random Forest, Decision Tree, Logistic Regression, Explainable AI (SHAP)</w:t>
            </w:r>
          </w:p>
        </w:tc>
        <w:tc>
          <w:tcPr>
            <w:tcW w:type="dxa" w:w="2880"/>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Financial health attributes (balance) and contact history dominate conversion; interpretability is vital for banking.</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Unverified, check before citing</w:t>
            </w:r>
          </w:p>
        </w:tc>
      </w:tr>
    </w:tbl>
    <w:p>
      <w:pPr>
        <w:keepNext/>
        <w:spacing w:before="100" w:after="40"/>
      </w:pPr>
      <w:r>
        <w:rPr>
          <w:rFonts w:ascii="Calibri" w:hAnsi="Calibri"/>
          <w:b/>
          <w:color w:val="0F172A"/>
          <w:sz w:val="21"/>
        </w:rPr>
        <w:t>Research Gap</w:t>
      </w:r>
    </w:p>
    <w:p>
      <w:pPr>
        <w:spacing w:before="0" w:after="60" w:line="264" w:lineRule="auto"/>
        <w:jc w:val="left"/>
      </w:pPr>
      <w:r>
        <w:rPr>
          <w:rFonts w:ascii="Calibri" w:hAnsi="Calibri"/>
          <w:color w:val="0F172A"/>
          <w:sz w:val="19"/>
        </w:rPr>
        <w:t>While existing literature investigates various machine learning models on bank telemarketing data, several pervasive limitations persist: (1) Many benchmark studies naively incorporate the call duration attribute, achieving artificially inflated accuracies (&gt;95%) that fail entirely in pre-campaign operational deployment where call duration is unknown. (2) Prior studies predominantly rely on uncalibrated default 0.50 decision thresholds, causing severe minority class starvation under the 88:12 imbalance. (3) Few studies validate probabilistic reliability using Brier scoring or establish whether performance differences are statistically significant via bootstrap confidence intervals. (4) Prior works remain theoretical notebook experiments lacking an integrated, synchronized production architecture with REST API microservices and interactive user dashboards. BankerEye systematically bridges these research gaps.</w:t>
      </w:r>
    </w:p>
    <w:p>
      <w:pPr>
        <w:keepNext/>
        <w:spacing w:before="180" w:after="60"/>
      </w:pPr>
      <w:r>
        <w:rPr>
          <w:rFonts w:ascii="Calibri" w:hAnsi="Calibri"/>
          <w:b/>
          <w:color w:val="1E3A8A"/>
          <w:sz w:val="27"/>
        </w:rPr>
        <w:t>3. Methodology</w:t>
      </w:r>
    </w:p>
    <w:p>
      <w:pPr>
        <w:keepNext/>
        <w:spacing w:before="100" w:after="40"/>
      </w:pPr>
      <w:r>
        <w:rPr>
          <w:rFonts w:ascii="Calibri" w:hAnsi="Calibri"/>
          <w:b/>
          <w:color w:val="0F172A"/>
          <w:sz w:val="21"/>
        </w:rPr>
        <w:t>3.1 System Architecture</w:t>
      </w:r>
    </w:p>
    <w:p>
      <w:pPr>
        <w:spacing w:before="0" w:after="60" w:line="264" w:lineRule="auto"/>
        <w:jc w:val="left"/>
      </w:pPr>
      <w:r>
        <w:rPr>
          <w:rFonts w:ascii="Calibri" w:hAnsi="Calibri"/>
          <w:color w:val="0F172A"/>
          <w:sz w:val="19"/>
        </w:rPr>
        <w:t>BankerEye employs a decoupled multi-tier architecture. The backend is a Python Flask RESTful API served via the multi-threaded Waitress WSGI server (port 5000), exposing endpoints for data loading, preprocessing, model training, evaluation, single-customer prediction, batch scoring, and report generation. The frontend is a Streamlit multi-page application (port 8501) providing interactive dashboards for data exploration, model comparison, and prediction interfaces. Models are trained using Scikit-learn pipelines that encapsulate feature transformation (StandardScaler for numerical features, OneHotEncoder for categorical features) and classifier fitting into single serializable Joblib artifacts.</w:t>
      </w:r>
    </w:p>
    <w:p>
      <w:pPr>
        <w:keepNext/>
        <w:spacing w:before="30" w:after="30"/>
        <w:jc w:val="center"/>
      </w:pPr>
      <w:r>
        <w:drawing>
          <wp:inline xmlns:a="http://schemas.openxmlformats.org/drawingml/2006/main" xmlns:pic="http://schemas.openxmlformats.org/drawingml/2006/picture">
            <wp:extent cx="4114800" cy="2036618"/>
            <wp:docPr id="1" name="Picture 1"/>
            <wp:cNvGraphicFramePr>
              <a:graphicFrameLocks noChangeAspect="1"/>
            </wp:cNvGraphicFramePr>
            <a:graphic>
              <a:graphicData uri="http://schemas.openxmlformats.org/drawingml/2006/picture">
                <pic:pic>
                  <pic:nvPicPr>
                    <pic:cNvPr id="0" name="fig_3_1_system_architecture.png"/>
                    <pic:cNvPicPr/>
                  </pic:nvPicPr>
                  <pic:blipFill>
                    <a:blip r:embed="rId14"/>
                    <a:stretch>
                      <a:fillRect/>
                    </a:stretch>
                  </pic:blipFill>
                  <pic:spPr>
                    <a:xfrm>
                      <a:off x="0" y="0"/>
                      <a:ext cx="4114800" cy="2036618"/>
                    </a:xfrm>
                    <a:prstGeom prst="rect"/>
                  </pic:spPr>
                </pic:pic>
              </a:graphicData>
            </a:graphic>
          </wp:inline>
        </w:drawing>
      </w:r>
    </w:p>
    <w:p>
      <w:pPr>
        <w:keepNext/>
        <w:spacing w:before="30" w:after="70"/>
        <w:jc w:val="center"/>
      </w:pPr>
      <w:r>
        <w:rPr>
          <w:rFonts w:ascii="Calibri" w:hAnsi="Calibri"/>
          <w:b/>
          <w:color w:val="475569"/>
          <w:sz w:val="16"/>
        </w:rPr>
        <w:t>Figure 3.1: System Architecture of BankerEye ML Platform</w:t>
      </w:r>
    </w:p>
    <w:p>
      <w:pPr>
        <w:keepNext/>
        <w:spacing w:before="100" w:after="40"/>
      </w:pPr>
      <w:r>
        <w:rPr>
          <w:rFonts w:ascii="Calibri" w:hAnsi="Calibri"/>
          <w:b/>
          <w:color w:val="0F172A"/>
          <w:sz w:val="21"/>
        </w:rPr>
        <w:t>3.2 Machine Learning Workflow</w:t>
      </w:r>
    </w:p>
    <w:p>
      <w:pPr>
        <w:spacing w:before="0" w:after="60" w:line="264" w:lineRule="auto"/>
        <w:jc w:val="left"/>
      </w:pPr>
      <w:r>
        <w:rPr>
          <w:rFonts w:ascii="Calibri" w:hAnsi="Calibri"/>
          <w:color w:val="0F172A"/>
          <w:sz w:val="19"/>
        </w:rPr>
        <w:t>The end-to-end ML pipeline follows these sequential stages: (1) Ingestion with automated delimiter sniffing, (2) Strict anti-leakage exclusion of duration, (3) Feature engineering via PdaysFeatureEngineer, which flags never-contacted clients (pdays == -1) with a binary indicator never_contacted=1 and resets pdays to 0 for continuous scaling, (4) Stratified 80:20 train/test split preserving class distribution, (5) ColumnTransformer-based feature engineering with StandardScaler and OneHotEncoder, (6) 5-fold cross-validated grid search optimizing F1-score, (7) Balanced class weighting on LR, DT, and RF (KNN has no class weighting), (8) Probability calibration via CalibratedClassifierCV(method='isotonic', cv=3), (9) Validation-tuned optimal decision thresholds, (10) 1,000-sample bootstrap confidence intervals (95% CI) for F1 and ROC-AUC, and (11) Joblib model persistence.</w:t>
      </w:r>
    </w:p>
    <w:p>
      <w:pPr>
        <w:keepNext/>
        <w:spacing w:before="100" w:after="40"/>
      </w:pPr>
      <w:r>
        <w:rPr>
          <w:rFonts w:ascii="Calibri" w:hAnsi="Calibri"/>
          <w:b/>
          <w:color w:val="0F172A"/>
          <w:sz w:val="21"/>
        </w:rPr>
        <w:t>3.3 Evaluation Metrics</w:t>
      </w:r>
    </w:p>
    <w:p>
      <w:pPr>
        <w:spacing w:before="0" w:after="60" w:line="264" w:lineRule="auto"/>
        <w:jc w:val="left"/>
      </w:pPr>
      <w:r>
        <w:rPr>
          <w:rFonts w:ascii="Calibri" w:hAnsi="Calibri"/>
          <w:color w:val="0F172A"/>
          <w:sz w:val="19"/>
        </w:rPr>
        <w:t>Model performance is assessed using six quantitative metrics: Accuracy (overall correctness), Precision (positive predictive value), Recall (sensitivity / true positive rate), F1-Score (harmonic mean of precision and recall), ROC-AUC (area under receiver operating characteristic curve), and Brier Score (mean squared error of calibrated probability estimates, where values near zero represent superior probability calibration).</w:t>
      </w:r>
    </w:p>
    <w:p>
      <w:pPr>
        <w:keepNext/>
        <w:spacing w:before="180" w:after="60"/>
      </w:pPr>
      <w:r>
        <w:rPr>
          <w:rFonts w:ascii="Calibri" w:hAnsi="Calibri"/>
          <w:b/>
          <w:color w:val="1E3A8A"/>
          <w:sz w:val="27"/>
        </w:rPr>
        <w:t>4. Data Cleaning and Preprocessing</w:t>
      </w:r>
    </w:p>
    <w:p>
      <w:pPr>
        <w:keepNext/>
        <w:spacing w:before="100" w:after="40"/>
      </w:pPr>
      <w:r>
        <w:rPr>
          <w:rFonts w:ascii="Calibri" w:hAnsi="Calibri"/>
          <w:b/>
          <w:color w:val="0F172A"/>
          <w:sz w:val="21"/>
        </w:rPr>
        <w:t>4.1 Dataset Description</w:t>
      </w:r>
    </w:p>
    <w:p>
      <w:pPr>
        <w:spacing w:before="0" w:after="60" w:line="264" w:lineRule="auto"/>
        <w:jc w:val="left"/>
      </w:pPr>
      <w:r>
        <w:rPr>
          <w:rFonts w:ascii="Calibri" w:hAnsi="Calibri"/>
          <w:color w:val="0F172A"/>
          <w:sz w:val="19"/>
        </w:rPr>
        <w:t>This study utilizes the benchmark UCI Bank Marketing dataset (Moro et al., 2014), comprising 45,211 records and 17 attributes from direct telemarketing campaigns of a Portuguese retail bank. The binary target y indicates whether the client subscribed to a term deposit (yes/no). The dataset exhibits severe class imbalance: 39,922 negative samples (88.3%) versus 5,289 positive samples (11.7%). The stratified 80:20 train/test split partitions the data into 36,168 training records (4,231 subscribers) and 9,043 independent test records (1,058 subscribers), preserving the identical 11.7% subscription ratio across both subsets.</w:t>
      </w:r>
    </w:p>
    <w:p>
      <w:pPr>
        <w:keepNext/>
        <w:spacing w:before="100" w:after="40"/>
      </w:pPr>
      <w:r>
        <w:rPr>
          <w:rFonts w:ascii="Calibri" w:hAnsi="Calibri"/>
          <w:b/>
          <w:color w:val="0F172A"/>
          <w:sz w:val="21"/>
        </w:rPr>
        <w:t>4.2 Feature Description</w:t>
      </w:r>
    </w:p>
    <w:p>
      <w:pPr>
        <w:keepNext/>
        <w:spacing w:before="70" w:after="30"/>
      </w:pPr>
      <w:r>
        <w:rPr>
          <w:rFonts w:ascii="Calibri" w:hAnsi="Calibri"/>
          <w:b/>
          <w:color w:val="475569"/>
          <w:sz w:val="16"/>
        </w:rPr>
        <w:t>Table 4.1: Feature Attribute Dictionary of Bank Marketing Dataset</w:t>
      </w:r>
    </w:p>
    <w:tbl>
      <w:tblPr>
        <w:tblW w:type="auto" w:w="0"/>
        <w:jc w:val="center"/>
        <w:tblLayout w:type="fixed"/>
        <w:tblLook w:firstColumn="1" w:firstRow="1" w:lastColumn="0" w:lastRow="0" w:noHBand="0" w:noVBand="1" w:val="04A0"/>
        <w:tblLayout w:type="fixed"/>
      </w:tblPr>
      <w:tblGrid>
        <w:gridCol w:w="2354"/>
        <w:gridCol w:w="2354"/>
        <w:gridCol w:w="2354"/>
        <w:gridCol w:w="2354"/>
      </w:tblGrid>
      <w:tr>
        <w:trPr>
          <w:tblHeader/>
        </w:trPr>
        <w:tc>
          <w:tcPr>
            <w:tcW w:type="dxa" w:w="1728"/>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left"/>
            </w:pPr>
            <w:r>
              <w:rPr>
                <w:rFonts w:ascii="Calibri" w:hAnsi="Calibri"/>
                <w:b/>
                <w:color w:val="FFFFFF"/>
                <w:sz w:val="15"/>
              </w:rPr>
              <w:t>Feature</w:t>
            </w:r>
          </w:p>
        </w:tc>
        <w:tc>
          <w:tcPr>
            <w:tcW w:type="dxa" w:w="1296"/>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left"/>
            </w:pPr>
            <w:r>
              <w:rPr>
                <w:rFonts w:ascii="Calibri" w:hAnsi="Calibri"/>
                <w:b/>
                <w:color w:val="FFFFFF"/>
                <w:sz w:val="15"/>
              </w:rPr>
              <w:t>Type</w:t>
            </w:r>
          </w:p>
        </w:tc>
        <w:tc>
          <w:tcPr>
            <w:tcW w:type="dxa" w:w="4032"/>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left"/>
            </w:pPr>
            <w:r>
              <w:rPr>
                <w:rFonts w:ascii="Calibri" w:hAnsi="Calibri"/>
                <w:b/>
                <w:color w:val="FFFFFF"/>
                <w:sz w:val="15"/>
              </w:rPr>
              <w:t>Description / Value Range</w:t>
            </w:r>
          </w:p>
        </w:tc>
        <w:tc>
          <w:tcPr>
            <w:tcW w:type="dxa" w:w="2304"/>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left"/>
            </w:pPr>
            <w:r>
              <w:rPr>
                <w:rFonts w:ascii="Calibri" w:hAnsi="Calibri"/>
                <w:b/>
                <w:color w:val="FFFFFF"/>
                <w:sz w:val="15"/>
              </w:rPr>
              <w:t>Engineered Role</w:t>
            </w:r>
          </w:p>
        </w:tc>
      </w:tr>
      <w:tr>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age</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Numeric</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Client age in years (18 – 95)</w:t>
            </w:r>
          </w:p>
        </w:tc>
        <w:tc>
          <w:tcPr>
            <w:tcW w:type="dxa" w:w="230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Standardized (StandardScaler)</w:t>
            </w:r>
          </w:p>
        </w:tc>
      </w:tr>
      <w:tr>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job</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Categorical</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Type of job (12 distinct categories)</w:t>
            </w:r>
          </w:p>
        </w:tc>
        <w:tc>
          <w:tcPr>
            <w:tcW w:type="dxa" w:w="230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One-Hot Encoded (12 binary columns)</w:t>
            </w:r>
          </w:p>
        </w:tc>
      </w:tr>
      <w:tr>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marital</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Categorical</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Marital status (married, single, divorced)</w:t>
            </w:r>
          </w:p>
        </w:tc>
        <w:tc>
          <w:tcPr>
            <w:tcW w:type="dxa" w:w="230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One-Hot Encoded (3 binary columns)</w:t>
            </w:r>
          </w:p>
        </w:tc>
      </w:tr>
      <w:tr>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education</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Categorical</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Education level (primary, secondary, tertiary, unknown)</w:t>
            </w:r>
          </w:p>
        </w:tc>
        <w:tc>
          <w:tcPr>
            <w:tcW w:type="dxa" w:w="230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One-Hot Encoded (4 binary columns)</w:t>
            </w:r>
          </w:p>
        </w:tc>
      </w:tr>
      <w:tr>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default</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Binary</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Credit in default status (yes / no)</w:t>
            </w:r>
          </w:p>
        </w:tc>
        <w:tc>
          <w:tcPr>
            <w:tcW w:type="dxa" w:w="230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One-Hot Encoded (2 binary columns)</w:t>
            </w:r>
          </w:p>
        </w:tc>
      </w:tr>
      <w:tr>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balance</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Numeric</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Average yearly account balance in EUR (-8,019 to 102,127)</w:t>
            </w:r>
          </w:p>
        </w:tc>
        <w:tc>
          <w:tcPr>
            <w:tcW w:type="dxa" w:w="230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Standardized (StandardScaler)</w:t>
            </w:r>
          </w:p>
        </w:tc>
      </w:tr>
      <w:tr>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housing</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Binary</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Housing loan status (yes / no)</w:t>
            </w:r>
          </w:p>
        </w:tc>
        <w:tc>
          <w:tcPr>
            <w:tcW w:type="dxa" w:w="230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One-Hot Encoded (2 binary columns)</w:t>
            </w:r>
          </w:p>
        </w:tc>
      </w:tr>
      <w:tr>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loan</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Binary</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Personal loan status (yes / no)</w:t>
            </w:r>
          </w:p>
        </w:tc>
        <w:tc>
          <w:tcPr>
            <w:tcW w:type="dxa" w:w="230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One-Hot Encoded (2 binary columns)</w:t>
            </w:r>
          </w:p>
        </w:tc>
      </w:tr>
      <w:tr>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contact</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Categorical</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Communication channel (cellular, telephone, unknown)</w:t>
            </w:r>
          </w:p>
        </w:tc>
        <w:tc>
          <w:tcPr>
            <w:tcW w:type="dxa" w:w="230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One-Hot Encoded (3 binary columns)</w:t>
            </w:r>
          </w:p>
        </w:tc>
      </w:tr>
      <w:tr>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day</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Numeric</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Last contact calendar day of month (1 – 31)</w:t>
            </w:r>
          </w:p>
        </w:tc>
        <w:tc>
          <w:tcPr>
            <w:tcW w:type="dxa" w:w="230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Standardized (StandardScaler)</w:t>
            </w:r>
          </w:p>
        </w:tc>
      </w:tr>
      <w:tr>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month</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Categorical</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Last contact calendar month (jan – dec)</w:t>
            </w:r>
          </w:p>
        </w:tc>
        <w:tc>
          <w:tcPr>
            <w:tcW w:type="dxa" w:w="230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One-Hot Encoded (12 binary columns)</w:t>
            </w:r>
          </w:p>
        </w:tc>
      </w:tr>
      <w:tr>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campaign</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Numeric</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Number of contacts during current campaign (1 – 63)</w:t>
            </w:r>
          </w:p>
        </w:tc>
        <w:tc>
          <w:tcPr>
            <w:tcW w:type="dxa" w:w="230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Standardized (StandardScaler)</w:t>
            </w:r>
          </w:p>
        </w:tc>
      </w:tr>
      <w:tr>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pdays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Numeric</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Days passed after client was last contacted (-1 to 871)</w:t>
            </w:r>
          </w:p>
        </w:tc>
        <w:tc>
          <w:tcPr>
            <w:tcW w:type="dxa" w:w="230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PdaysFeatureEngineer (pdays=0 if -1)</w:t>
            </w:r>
          </w:p>
        </w:tc>
      </w:tr>
      <w:tr>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never_contacted</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Binary</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Client has never been contacted in prior campaigns (1 / 0)</w:t>
            </w:r>
          </w:p>
        </w:tc>
        <w:tc>
          <w:tcPr>
            <w:tcW w:type="dxa" w:w="230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Engineered binary indicator</w:t>
            </w:r>
          </w:p>
        </w:tc>
      </w:tr>
      <w:tr>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previous</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Numeric</w:t>
            </w:r>
          </w:p>
        </w:tc>
        <w:tc>
          <w:tcPr>
            <w:tcW w:type="dxa" w:w="403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Number of contacts performed before this campaign (0 – 275)</w:t>
            </w:r>
          </w:p>
        </w:tc>
        <w:tc>
          <w:tcPr>
            <w:tcW w:type="dxa" w:w="230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Standardized (StandardScaler)</w:t>
            </w:r>
          </w:p>
        </w:tc>
      </w:tr>
      <w:tr>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poutcome</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Categorical</w:t>
            </w:r>
          </w:p>
        </w:tc>
        <w:tc>
          <w:tcPr>
            <w:tcW w:type="dxa" w:w="403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Outcome of previous marketing campaign (4 categories)</w:t>
            </w:r>
          </w:p>
        </w:tc>
        <w:tc>
          <w:tcPr>
            <w:tcW w:type="dxa" w:w="230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One-Hot Encoded (4 binary columns)</w:t>
            </w:r>
          </w:p>
        </w:tc>
      </w:tr>
    </w:tbl>
    <w:p>
      <w:pPr>
        <w:keepNext/>
        <w:spacing w:before="100" w:after="40"/>
      </w:pPr>
      <w:r>
        <w:rPr>
          <w:rFonts w:ascii="Calibri" w:hAnsi="Calibri"/>
          <w:b/>
          <w:color w:val="0F172A"/>
          <w:sz w:val="21"/>
        </w:rPr>
        <w:t>4.3 Preprocessing Pipeline</w:t>
      </w:r>
    </w:p>
    <w:p>
      <w:pPr>
        <w:spacing w:before="0" w:after="60" w:line="264" w:lineRule="auto"/>
        <w:jc w:val="left"/>
      </w:pPr>
      <w:r>
        <w:rPr>
          <w:rFonts w:ascii="Calibri" w:hAnsi="Calibri"/>
          <w:color w:val="0F172A"/>
          <w:sz w:val="19"/>
        </w:rPr>
        <w:t>The preprocessing pipeline implements the following systematic stages: (i) Automatic CSV delimiter detection via csv.Sniffer, (ii) Strict anti-leakage exclusion of the call duration feature, (iii) PdaysFeatureEngineer transformation mapping never-contacted status (-1) to a separate indicator and zeroing pdays, (iv) Binary target encoding (yes→1, no→0), (v) Construction of a ColumnTransformer pipeline applying StandardScaler to numerical features and OneHotEncoder(handle_unknown='ignore') to categorical features (expanding to 50 processed dimensions), and (vi) Stratified 80:20 partitioning preserving the 11.7% class balance.</w:t>
      </w:r>
    </w:p>
    <w:p>
      <w:pPr>
        <w:keepNext/>
        <w:spacing w:before="30" w:after="30"/>
        <w:jc w:val="center"/>
      </w:pPr>
      <w:r>
        <w:drawing>
          <wp:inline xmlns:a="http://schemas.openxmlformats.org/drawingml/2006/main" xmlns:pic="http://schemas.openxmlformats.org/drawingml/2006/picture">
            <wp:extent cx="3291840" cy="1441358"/>
            <wp:docPr id="2" name="Picture 2"/>
            <wp:cNvGraphicFramePr>
              <a:graphicFrameLocks noChangeAspect="1"/>
            </wp:cNvGraphicFramePr>
            <a:graphic>
              <a:graphicData uri="http://schemas.openxmlformats.org/drawingml/2006/picture">
                <pic:pic>
                  <pic:nvPicPr>
                    <pic:cNvPr id="0" name="fig_4_1_target_distribution.png"/>
                    <pic:cNvPicPr/>
                  </pic:nvPicPr>
                  <pic:blipFill>
                    <a:blip r:embed="rId15"/>
                    <a:stretch>
                      <a:fillRect/>
                    </a:stretch>
                  </pic:blipFill>
                  <pic:spPr>
                    <a:xfrm>
                      <a:off x="0" y="0"/>
                      <a:ext cx="3291840" cy="1441358"/>
                    </a:xfrm>
                    <a:prstGeom prst="rect"/>
                  </pic:spPr>
                </pic:pic>
              </a:graphicData>
            </a:graphic>
          </wp:inline>
        </w:drawing>
      </w:r>
    </w:p>
    <w:p>
      <w:pPr>
        <w:keepNext/>
        <w:spacing w:before="30" w:after="70"/>
        <w:jc w:val="center"/>
      </w:pPr>
      <w:r>
        <w:rPr>
          <w:rFonts w:ascii="Calibri" w:hAnsi="Calibri"/>
          <w:b/>
          <w:color w:val="475569"/>
          <w:sz w:val="16"/>
        </w:rPr>
        <w:t>Figure 4.1: Target Variable Class Distribution (88.3% No vs. 11.7% Yes)</w:t>
      </w:r>
    </w:p>
    <w:p>
      <w:pPr>
        <w:keepNext/>
        <w:spacing w:before="180" w:after="60"/>
      </w:pPr>
      <w:r>
        <w:rPr>
          <w:rFonts w:ascii="Calibri" w:hAnsi="Calibri"/>
          <w:b/>
          <w:color w:val="1E3A8A"/>
          <w:sz w:val="27"/>
        </w:rPr>
        <w:t>5. Results and Discussion</w:t>
      </w:r>
    </w:p>
    <w:p>
      <w:pPr>
        <w:keepNext/>
        <w:spacing w:before="100" w:after="40"/>
      </w:pPr>
      <w:r>
        <w:rPr>
          <w:rFonts w:ascii="Calibri" w:hAnsi="Calibri"/>
          <w:b/>
          <w:color w:val="0F172A"/>
          <w:sz w:val="21"/>
        </w:rPr>
        <w:t>5.1 Experimental Setup</w:t>
      </w:r>
    </w:p>
    <w:p>
      <w:pPr>
        <w:spacing w:before="0" w:after="60" w:line="264" w:lineRule="auto"/>
        <w:jc w:val="left"/>
      </w:pPr>
      <w:r>
        <w:rPr>
          <w:rFonts w:ascii="Calibri" w:hAnsi="Calibri"/>
          <w:color w:val="0F172A"/>
          <w:sz w:val="19"/>
        </w:rPr>
        <w:t>All four models were trained on 36,168 samples and evaluated on 9,043 held-out test samples under identical preprocessing and random_state=42. Hyperparameters were optimized via 5-fold cross-validated grid search scoring on F1. Probabilities were calibrated using isotonic regression with 3-fold cross-validation, and decision thresholds were tuned on validation folds to maximize F1-score under severe class imbalance.</w:t>
      </w:r>
    </w:p>
    <w:p>
      <w:pPr>
        <w:keepNext/>
        <w:spacing w:before="100" w:after="40"/>
      </w:pPr>
      <w:r>
        <w:rPr>
          <w:rFonts w:ascii="Calibri" w:hAnsi="Calibri"/>
          <w:b/>
          <w:color w:val="0F172A"/>
          <w:sz w:val="21"/>
        </w:rPr>
        <w:t>5.2 Classification Performance Summary</w:t>
      </w:r>
    </w:p>
    <w:p>
      <w:pPr>
        <w:keepNext/>
        <w:spacing w:before="70" w:after="30"/>
      </w:pPr>
      <w:r>
        <w:rPr>
          <w:rFonts w:ascii="Calibri" w:hAnsi="Calibri"/>
          <w:b/>
          <w:color w:val="475569"/>
          <w:sz w:val="16"/>
        </w:rPr>
        <w:t>Table 5.1: Consolidated Classification Performance on Held-Out Test Set (9,043 samples)</w:t>
      </w:r>
    </w:p>
    <w:tbl>
      <w:tblPr>
        <w:tblW w:type="auto" w:w="0"/>
        <w:jc w:val="center"/>
        <w:tblLayout w:type="fixed"/>
        <w:tblLook w:firstColumn="1" w:firstRow="1" w:lastColumn="0" w:lastRow="0" w:noHBand="0" w:noVBand="1" w:val="04A0"/>
        <w:tblLayout w:type="fixed"/>
      </w:tblPr>
      <w:tblGrid>
        <w:gridCol w:w="1177"/>
        <w:gridCol w:w="1177"/>
        <w:gridCol w:w="1177"/>
        <w:gridCol w:w="1177"/>
        <w:gridCol w:w="1177"/>
        <w:gridCol w:w="1177"/>
        <w:gridCol w:w="1177"/>
        <w:gridCol w:w="1177"/>
      </w:tblGrid>
      <w:tr>
        <w:trPr>
          <w:tblHeader/>
        </w:trPr>
        <w:tc>
          <w:tcPr>
            <w:tcW w:type="dxa" w:w="2160"/>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left"/>
            </w:pPr>
            <w:r>
              <w:rPr>
                <w:rFonts w:ascii="Calibri" w:hAnsi="Calibri"/>
                <w:b/>
                <w:color w:val="FFFFFF"/>
                <w:sz w:val="15"/>
              </w:rPr>
              <w:t>Model</w:t>
            </w:r>
          </w:p>
        </w:tc>
        <w:tc>
          <w:tcPr>
            <w:tcW w:type="dxa" w:w="1008"/>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right"/>
            </w:pPr>
            <w:r>
              <w:rPr>
                <w:rFonts w:ascii="Calibri" w:hAnsi="Calibri"/>
                <w:b/>
                <w:color w:val="FFFFFF"/>
                <w:sz w:val="15"/>
              </w:rPr>
              <w:t>Accuracy</w:t>
            </w:r>
          </w:p>
        </w:tc>
        <w:tc>
          <w:tcPr>
            <w:tcW w:type="dxa" w:w="1008"/>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right"/>
            </w:pPr>
            <w:r>
              <w:rPr>
                <w:rFonts w:ascii="Calibri" w:hAnsi="Calibri"/>
                <w:b/>
                <w:color w:val="FFFFFF"/>
                <w:sz w:val="15"/>
              </w:rPr>
              <w:t>Precision</w:t>
            </w:r>
          </w:p>
        </w:tc>
        <w:tc>
          <w:tcPr>
            <w:tcW w:type="dxa" w:w="1008"/>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right"/>
            </w:pPr>
            <w:r>
              <w:rPr>
                <w:rFonts w:ascii="Calibri" w:hAnsi="Calibri"/>
                <w:b/>
                <w:color w:val="FFFFFF"/>
                <w:sz w:val="15"/>
              </w:rPr>
              <w:t>Recall</w:t>
            </w:r>
          </w:p>
        </w:tc>
        <w:tc>
          <w:tcPr>
            <w:tcW w:type="dxa" w:w="1728"/>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center"/>
            </w:pPr>
            <w:r>
              <w:rPr>
                <w:rFonts w:ascii="Calibri" w:hAnsi="Calibri"/>
                <w:b/>
                <w:color w:val="FFFFFF"/>
                <w:sz w:val="15"/>
              </w:rPr>
              <w:t>F1-Score (95% CI)</w:t>
            </w:r>
          </w:p>
        </w:tc>
        <w:tc>
          <w:tcPr>
            <w:tcW w:type="dxa" w:w="1728"/>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center"/>
            </w:pPr>
            <w:r>
              <w:rPr>
                <w:rFonts w:ascii="Calibri" w:hAnsi="Calibri"/>
                <w:b/>
                <w:color w:val="FFFFFF"/>
                <w:sz w:val="15"/>
              </w:rPr>
              <w:t>ROC-AUC (95% CI)</w:t>
            </w:r>
          </w:p>
        </w:tc>
        <w:tc>
          <w:tcPr>
            <w:tcW w:type="dxa" w:w="720"/>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right"/>
            </w:pPr>
            <w:r>
              <w:rPr>
                <w:rFonts w:ascii="Calibri" w:hAnsi="Calibri"/>
                <w:b/>
                <w:color w:val="FFFFFF"/>
                <w:sz w:val="15"/>
              </w:rPr>
              <w:t>Brier</w:t>
            </w:r>
          </w:p>
        </w:tc>
        <w:tc>
          <w:tcPr>
            <w:tcW w:type="dxa" w:w="720"/>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right"/>
            </w:pPr>
            <w:r>
              <w:rPr>
                <w:rFonts w:ascii="Calibri" w:hAnsi="Calibri"/>
                <w:b/>
                <w:color w:val="FFFFFF"/>
                <w:sz w:val="15"/>
              </w:rPr>
              <w:t>Thresh</w:t>
            </w:r>
          </w:p>
        </w:tc>
      </w:tr>
      <w:t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Logistic Regression</w:t>
            </w:r>
          </w:p>
        </w:tc>
        <w:tc>
          <w:tcPr>
            <w:tcW w:type="dxa" w:w="100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87.84%</w:t>
            </w:r>
          </w:p>
        </w:tc>
        <w:tc>
          <w:tcPr>
            <w:tcW w:type="dxa" w:w="100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47.76%</w:t>
            </w:r>
          </w:p>
        </w:tc>
        <w:tc>
          <w:tcPr>
            <w:tcW w:type="dxa" w:w="100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42.34%</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0.4489 [0.4217, 0.4732]</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0.7720 [0.7578, 0.7889]</w:t>
            </w:r>
          </w:p>
        </w:tc>
        <w:tc>
          <w:tcPr>
            <w:tcW w:type="dxa" w:w="720"/>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0.0850</w:t>
            </w:r>
          </w:p>
        </w:tc>
        <w:tc>
          <w:tcPr>
            <w:tcW w:type="dxa" w:w="720"/>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0.25</w:t>
            </w:r>
          </w:p>
        </w:tc>
      </w:tr>
      <w:t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Decision Tree Classifier</w:t>
            </w:r>
          </w:p>
        </w:tc>
        <w:tc>
          <w:tcPr>
            <w:tcW w:type="dxa" w:w="100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88.00%</w:t>
            </w:r>
          </w:p>
        </w:tc>
        <w:tc>
          <w:tcPr>
            <w:tcW w:type="dxa" w:w="100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48.66%</w:t>
            </w:r>
          </w:p>
        </w:tc>
        <w:tc>
          <w:tcPr>
            <w:tcW w:type="dxa" w:w="100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46.41%</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0.4751 [0.4468, 0.5011]</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0.7776 [0.7611, 0.7947]</w:t>
            </w:r>
          </w:p>
        </w:tc>
        <w:tc>
          <w:tcPr>
            <w:tcW w:type="dxa" w:w="720"/>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0.0834</w:t>
            </w:r>
          </w:p>
        </w:tc>
        <w:tc>
          <w:tcPr>
            <w:tcW w:type="dxa" w:w="720"/>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0.27</w:t>
            </w:r>
          </w:p>
        </w:tc>
      </w:tr>
      <w:tr>
        <w:tc>
          <w:tcPr>
            <w:tcW w:type="dxa" w:w="2160"/>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K-Nearest Neighbours (KNN)</w:t>
            </w:r>
          </w:p>
        </w:tc>
        <w:tc>
          <w:tcPr>
            <w:tcW w:type="dxa" w:w="100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86.42%</w:t>
            </w:r>
          </w:p>
        </w:tc>
        <w:tc>
          <w:tcPr>
            <w:tcW w:type="dxa" w:w="100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41.13%</w:t>
            </w:r>
          </w:p>
        </w:tc>
        <w:tc>
          <w:tcPr>
            <w:tcW w:type="dxa" w:w="100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37.24%</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0.3909 [0.3649, 0.4179]</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0.7233 [0.7056, 0.7416]</w:t>
            </w:r>
          </w:p>
        </w:tc>
        <w:tc>
          <w:tcPr>
            <w:tcW w:type="dxa" w:w="720"/>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0.0897</w:t>
            </w:r>
          </w:p>
        </w:tc>
        <w:tc>
          <w:tcPr>
            <w:tcW w:type="dxa" w:w="720"/>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0.21</w:t>
            </w:r>
          </w:p>
        </w:tc>
      </w:tr>
      <w:tr>
        <w:tc>
          <w:tcPr>
            <w:tcW w:type="dxa" w:w="2160"/>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5"/>
              </w:rPr>
              <w:t>Random Forest Classifier</w:t>
            </w:r>
          </w:p>
        </w:tc>
        <w:tc>
          <w:tcPr>
            <w:tcW w:type="dxa" w:w="100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86.97%</w:t>
            </w:r>
          </w:p>
        </w:tc>
        <w:tc>
          <w:tcPr>
            <w:tcW w:type="dxa" w:w="100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44.91%</w:t>
            </w:r>
          </w:p>
        </w:tc>
        <w:tc>
          <w:tcPr>
            <w:tcW w:type="dxa" w:w="100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50.00%</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0.4732 [0.4464, 0.4965]</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5"/>
              </w:rPr>
              <w:t>0.7986 [0.7841, 0.8138]</w:t>
            </w:r>
          </w:p>
        </w:tc>
        <w:tc>
          <w:tcPr>
            <w:tcW w:type="dxa" w:w="720"/>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0.0822</w:t>
            </w:r>
          </w:p>
        </w:tc>
        <w:tc>
          <w:tcPr>
            <w:tcW w:type="dxa" w:w="720"/>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5"/>
              </w:rPr>
              <w:t>0.25</w:t>
            </w:r>
          </w:p>
        </w:tc>
      </w:tr>
    </w:tbl>
    <w:p>
      <w:pPr>
        <w:keepNext/>
        <w:spacing w:before="100" w:after="40"/>
      </w:pPr>
      <w:r>
        <w:rPr>
          <w:rFonts w:ascii="Calibri" w:hAnsi="Calibri"/>
          <w:b/>
          <w:color w:val="0F172A"/>
          <w:sz w:val="21"/>
        </w:rPr>
        <w:t>5.3 Confusion Matrix Analysis</w:t>
      </w:r>
    </w:p>
    <w:p>
      <w:pPr>
        <w:spacing w:before="0" w:after="60" w:line="264" w:lineRule="auto"/>
        <w:jc w:val="left"/>
      </w:pPr>
      <w:r>
        <w:rPr>
          <w:rFonts w:ascii="Calibri" w:hAnsi="Calibri"/>
          <w:color w:val="0F172A"/>
          <w:sz w:val="19"/>
        </w:rPr>
        <w:t>The confusion matrix decomposition demonstrates that incorporating balanced class weighting and validation-tuned optimal decision thresholds substantially resolves minority class starvation. Random Forest achieves the highest true positive count (529 out of 1,058 actual subscribers, yielding 50.00% recall) with 649 false positives. Decision Tree captures 491 true positives with 518 false positives. Compared to unweighted baseline models that captured fewer than 190 true subscribers, threshold-tuned models capture 2.5× to 2.8× more actual depositors.</w:t>
      </w:r>
    </w:p>
    <w:p>
      <w:pPr>
        <w:keepNext/>
        <w:spacing w:before="70" w:after="30"/>
      </w:pPr>
      <w:r>
        <w:rPr>
          <w:rFonts w:ascii="Calibri" w:hAnsi="Calibri"/>
          <w:b/>
          <w:color w:val="475569"/>
          <w:sz w:val="16"/>
        </w:rPr>
        <w:t>Table 5.2: Confusion Matrix Decomposition Across All Evaluated Models (N = 9,043)</w:t>
      </w:r>
    </w:p>
    <w:tbl>
      <w:tblPr>
        <w:tblW w:type="auto" w:w="0"/>
        <w:jc w:val="center"/>
        <w:tblLayout w:type="fixed"/>
        <w:tblLook w:firstColumn="1" w:firstRow="1" w:lastColumn="0" w:lastRow="0" w:noHBand="0" w:noVBand="1" w:val="04A0"/>
        <w:tblLayout w:type="fixed"/>
      </w:tblPr>
      <w:tblGrid>
        <w:gridCol w:w="1884"/>
        <w:gridCol w:w="1884"/>
        <w:gridCol w:w="1884"/>
        <w:gridCol w:w="1884"/>
        <w:gridCol w:w="1884"/>
      </w:tblGrid>
      <w:tr>
        <w:trPr>
          <w:tblHeader/>
        </w:trPr>
        <w:tc>
          <w:tcPr>
            <w:tcW w:type="dxa" w:w="2592"/>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left"/>
            </w:pPr>
            <w:r>
              <w:rPr>
                <w:rFonts w:ascii="Calibri" w:hAnsi="Calibri"/>
                <w:b/>
                <w:color w:val="FFFFFF"/>
                <w:sz w:val="16"/>
              </w:rPr>
              <w:t>Model</w:t>
            </w:r>
          </w:p>
        </w:tc>
        <w:tc>
          <w:tcPr>
            <w:tcW w:type="dxa" w:w="1728"/>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right"/>
            </w:pPr>
            <w:r>
              <w:rPr>
                <w:rFonts w:ascii="Calibri" w:hAnsi="Calibri"/>
                <w:b/>
                <w:color w:val="FFFFFF"/>
                <w:sz w:val="16"/>
              </w:rPr>
              <w:t>True Negatives (TN)</w:t>
            </w:r>
          </w:p>
        </w:tc>
        <w:tc>
          <w:tcPr>
            <w:tcW w:type="dxa" w:w="1728"/>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right"/>
            </w:pPr>
            <w:r>
              <w:rPr>
                <w:rFonts w:ascii="Calibri" w:hAnsi="Calibri"/>
                <w:b/>
                <w:color w:val="FFFFFF"/>
                <w:sz w:val="16"/>
              </w:rPr>
              <w:t>False Positives (FP)</w:t>
            </w:r>
          </w:p>
        </w:tc>
        <w:tc>
          <w:tcPr>
            <w:tcW w:type="dxa" w:w="1728"/>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right"/>
            </w:pPr>
            <w:r>
              <w:rPr>
                <w:rFonts w:ascii="Calibri" w:hAnsi="Calibri"/>
                <w:b/>
                <w:color w:val="FFFFFF"/>
                <w:sz w:val="16"/>
              </w:rPr>
              <w:t>False Negatives (FN)</w:t>
            </w:r>
          </w:p>
        </w:tc>
        <w:tc>
          <w:tcPr>
            <w:tcW w:type="dxa" w:w="1584"/>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right"/>
            </w:pPr>
            <w:r>
              <w:rPr>
                <w:rFonts w:ascii="Calibri" w:hAnsi="Calibri"/>
                <w:b/>
                <w:color w:val="FFFFFF"/>
                <w:sz w:val="16"/>
              </w:rPr>
              <w:t>True Positives (TP)</w:t>
            </w:r>
          </w:p>
        </w:tc>
      </w:tr>
      <w:t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6"/>
              </w:rPr>
              <w:t>Logistic Regression</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7,495 (82.9%)</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490 (5.4%)</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610 (6.7%)</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448 (5.0%)</w:t>
            </w:r>
          </w:p>
        </w:tc>
      </w:tr>
      <w:t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6"/>
              </w:rPr>
              <w:t>Decision Tree Classifier</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7,467 (82.6%)</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518 (5.7%)</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567 (6.3%)</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491 (5.4%)</w:t>
            </w:r>
          </w:p>
        </w:tc>
      </w:tr>
      <w:t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6"/>
              </w:rPr>
              <w:t>K-Nearest Neighbours (KNN)</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7,421 (82.1%)</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564 (6.2%)</w:t>
            </w:r>
          </w:p>
        </w:tc>
        <w:tc>
          <w:tcPr>
            <w:tcW w:type="dxa" w:w="172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664 (7.3%)</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394 (4.4%)</w:t>
            </w:r>
          </w:p>
        </w:tc>
      </w:tr>
      <w:t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6"/>
              </w:rPr>
              <w:t>Random Forest Classifier</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7,336 (81.1%)</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649 (7.2%)</w:t>
            </w:r>
          </w:p>
        </w:tc>
        <w:tc>
          <w:tcPr>
            <w:tcW w:type="dxa" w:w="172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529 (5.9%)</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529 (5.9%)</w:t>
            </w:r>
          </w:p>
        </w:tc>
      </w:tr>
    </w:tbl>
    <w:p>
      <w:pPr>
        <w:keepNext/>
        <w:spacing w:before="100" w:after="40"/>
      </w:pPr>
      <w:r>
        <w:rPr>
          <w:rFonts w:ascii="Calibri" w:hAnsi="Calibri"/>
          <w:b/>
          <w:color w:val="0F172A"/>
          <w:sz w:val="21"/>
        </w:rPr>
        <w:t>5.4 Key Findings &amp; Statistical Significance</w:t>
      </w:r>
    </w:p>
    <w:p>
      <w:pPr>
        <w:spacing w:before="0" w:after="60" w:line="264" w:lineRule="auto"/>
        <w:jc w:val="left"/>
      </w:pPr>
      <w:r>
        <w:rPr>
          <w:rFonts w:ascii="Calibri" w:hAnsi="Calibri"/>
          <w:color w:val="0F172A"/>
          <w:sz w:val="19"/>
        </w:rPr>
        <w:t>Statistical Verdict: The 95% bootstrap confidence intervals for Decision Tree F1-Score [0.4468, 0.5011] and Random Forest F1-Score [0.4464, 0.4965] overlap substantially. Their F1 performances are not statistically distinguishable on this test set. However, Random Forest achieves the highest global discriminative ability (ROC-AUC = 0.7986, 95% CI: [0.7841, 0.8138]), the highest recall (50.00%), and the lowest Brier calibration score (0.0822). Decision Tree delivers competitive F1-score (0.4751) and fast prediction latency (0.0516s). Logistic Regression provides a robust linear baseline with ROC-AUC of 0.7720 and F1 of 0.4489. KNN exhibits lower ROC-AUC (0.7233) due to lack of class-weighting capability.</w:t>
      </w:r>
    </w:p>
    <w:p>
      <w:pPr>
        <w:keepNext/>
        <w:spacing w:before="180" w:after="60"/>
      </w:pPr>
      <w:r>
        <w:rPr>
          <w:rFonts w:ascii="Calibri" w:hAnsi="Calibri"/>
          <w:b/>
          <w:color w:val="1E3A8A"/>
          <w:sz w:val="27"/>
        </w:rPr>
        <w:t>6. State-of-the-Art Models Comparison</w:t>
      </w:r>
    </w:p>
    <w:p>
      <w:pPr>
        <w:keepNext/>
        <w:spacing w:before="100" w:after="40"/>
      </w:pPr>
      <w:r>
        <w:rPr>
          <w:rFonts w:ascii="Calibri" w:hAnsi="Calibri"/>
          <w:b/>
          <w:color w:val="0F172A"/>
          <w:sz w:val="21"/>
        </w:rPr>
        <w:t>6.1 Model Architectures &amp; Tuned Hyperparameters</w:t>
      </w:r>
    </w:p>
    <w:p>
      <w:pPr>
        <w:spacing w:before="0" w:after="60" w:line="264" w:lineRule="auto"/>
        <w:jc w:val="left"/>
      </w:pPr>
      <w:r>
        <w:rPr>
          <w:rFonts w:ascii="Calibri" w:hAnsi="Calibri"/>
          <w:color w:val="0F172A"/>
          <w:sz w:val="19"/>
        </w:rPr>
        <w:t>Four supervised classifiers were benchmarked: (1) Logistic Regression — regularized linear model estimating log-odds with balanced class weighting (C=1.0, solver='lbfgs', max_iter=1000); (2) Decision Tree — recursive partitioning model with balanced class weighting (max_depth=10, min_samples_split=20); (3) K-Nearest Neighbours (KNN) — instance-based lazy learner using Euclidean metric (k=5, class_weight=None as KNN does not support class weights); and (4) Random Forest — bagged ensemble of 100 decision trees with balanced class weighting (n_estimators=100, max_depth=12). All models were calibrated using isotonic regression.</w:t>
      </w:r>
    </w:p>
    <w:p>
      <w:pPr>
        <w:keepNext/>
        <w:spacing w:before="100" w:after="40"/>
      </w:pPr>
      <w:r>
        <w:rPr>
          <w:rFonts w:ascii="Calibri" w:hAnsi="Calibri"/>
          <w:b/>
          <w:color w:val="0F172A"/>
          <w:sz w:val="21"/>
        </w:rPr>
        <w:t>6.2 Performance Comparison Charts</w:t>
      </w:r>
    </w:p>
    <w:p>
      <w:pPr>
        <w:keepNext/>
        <w:spacing w:before="30" w:after="30"/>
        <w:jc w:val="center"/>
      </w:pPr>
      <w:r>
        <w:drawing>
          <wp:inline xmlns:a="http://schemas.openxmlformats.org/drawingml/2006/main" xmlns:pic="http://schemas.openxmlformats.org/drawingml/2006/picture">
            <wp:extent cx="3840480" cy="1920240"/>
            <wp:docPr id="3" name="Picture 3"/>
            <wp:cNvGraphicFramePr>
              <a:graphicFrameLocks noChangeAspect="1"/>
            </wp:cNvGraphicFramePr>
            <a:graphic>
              <a:graphicData uri="http://schemas.openxmlformats.org/drawingml/2006/picture">
                <pic:pic>
                  <pic:nvPicPr>
                    <pic:cNvPr id="0" name="fig_6_1_model_comparison_bars.png"/>
                    <pic:cNvPicPr/>
                  </pic:nvPicPr>
                  <pic:blipFill>
                    <a:blip r:embed="rId16"/>
                    <a:stretch>
                      <a:fillRect/>
                    </a:stretch>
                  </pic:blipFill>
                  <pic:spPr>
                    <a:xfrm>
                      <a:off x="0" y="0"/>
                      <a:ext cx="3840480" cy="1920240"/>
                    </a:xfrm>
                    <a:prstGeom prst="rect"/>
                  </pic:spPr>
                </pic:pic>
              </a:graphicData>
            </a:graphic>
          </wp:inline>
        </w:drawing>
      </w:r>
    </w:p>
    <w:p>
      <w:pPr>
        <w:keepNext/>
        <w:spacing w:before="30" w:after="70"/>
        <w:jc w:val="center"/>
      </w:pPr>
      <w:r>
        <w:rPr>
          <w:rFonts w:ascii="Calibri" w:hAnsi="Calibri"/>
          <w:b/>
          <w:color w:val="475569"/>
          <w:sz w:val="16"/>
        </w:rPr>
        <w:t>Figure 6.1: Overall Performance Comparison Across All 4 Models</w:t>
      </w:r>
    </w:p>
    <w:p>
      <w:pPr>
        <w:keepNext/>
        <w:spacing w:before="30" w:after="30"/>
        <w:jc w:val="center"/>
      </w:pPr>
      <w:r>
        <w:drawing>
          <wp:inline xmlns:a="http://schemas.openxmlformats.org/drawingml/2006/main" xmlns:pic="http://schemas.openxmlformats.org/drawingml/2006/picture">
            <wp:extent cx="3749039" cy="1874520"/>
            <wp:docPr id="4" name="Picture 4"/>
            <wp:cNvGraphicFramePr>
              <a:graphicFrameLocks noChangeAspect="1"/>
            </wp:cNvGraphicFramePr>
            <a:graphic>
              <a:graphicData uri="http://schemas.openxmlformats.org/drawingml/2006/picture">
                <pic:pic>
                  <pic:nvPicPr>
                    <pic:cNvPr id="0" name="fig_6_2_precision_recall_f1.png"/>
                    <pic:cNvPicPr/>
                  </pic:nvPicPr>
                  <pic:blipFill>
                    <a:blip r:embed="rId17"/>
                    <a:stretch>
                      <a:fillRect/>
                    </a:stretch>
                  </pic:blipFill>
                  <pic:spPr>
                    <a:xfrm>
                      <a:off x="0" y="0"/>
                      <a:ext cx="3749039" cy="1874520"/>
                    </a:xfrm>
                    <a:prstGeom prst="rect"/>
                  </pic:spPr>
                </pic:pic>
              </a:graphicData>
            </a:graphic>
          </wp:inline>
        </w:drawing>
      </w:r>
    </w:p>
    <w:p>
      <w:pPr>
        <w:keepNext/>
        <w:spacing w:before="30" w:after="70"/>
        <w:jc w:val="center"/>
      </w:pPr>
      <w:r>
        <w:rPr>
          <w:rFonts w:ascii="Calibri" w:hAnsi="Calibri"/>
          <w:b/>
          <w:color w:val="475569"/>
          <w:sz w:val="16"/>
        </w:rPr>
        <w:t>Figure 6.2: Precision, Recall, and F1-Score Trade-off Analysis (Threshold Tuned)</w:t>
      </w:r>
    </w:p>
    <w:p>
      <w:pPr>
        <w:keepNext/>
        <w:spacing w:before="100" w:after="40"/>
      </w:pPr>
      <w:r>
        <w:rPr>
          <w:rFonts w:ascii="Calibri" w:hAnsi="Calibri"/>
          <w:b/>
          <w:color w:val="0F172A"/>
          <w:sz w:val="21"/>
        </w:rPr>
        <w:t>6.3 ROC Curve Analysis</w:t>
      </w:r>
    </w:p>
    <w:p>
      <w:pPr>
        <w:spacing w:before="0" w:after="60" w:line="264" w:lineRule="auto"/>
        <w:jc w:val="left"/>
      </w:pPr>
      <w:r>
        <w:rPr>
          <w:rFonts w:ascii="Calibri" w:hAnsi="Calibri"/>
          <w:color w:val="0F172A"/>
          <w:sz w:val="19"/>
        </w:rPr>
        <w:t>The ROC curves demonstrate clear separation in discriminative ability. Random Forest (AUC=0.7986) achieves the highest area, followed by Decision Tree (0.7776), Logistic Regression (0.7720), and KNN (0.7233). All models significantly outperform random classification (AUC=0.5000).</w:t>
      </w:r>
    </w:p>
    <w:p>
      <w:pPr>
        <w:keepNext/>
        <w:spacing w:before="30" w:after="30"/>
        <w:jc w:val="center"/>
      </w:pPr>
      <w:r>
        <w:drawing>
          <wp:inline xmlns:a="http://schemas.openxmlformats.org/drawingml/2006/main" xmlns:pic="http://schemas.openxmlformats.org/drawingml/2006/picture">
            <wp:extent cx="3566160" cy="2615184"/>
            <wp:docPr id="5" name="Picture 5"/>
            <wp:cNvGraphicFramePr>
              <a:graphicFrameLocks noChangeAspect="1"/>
            </wp:cNvGraphicFramePr>
            <a:graphic>
              <a:graphicData uri="http://schemas.openxmlformats.org/drawingml/2006/picture">
                <pic:pic>
                  <pic:nvPicPr>
                    <pic:cNvPr id="0" name="fig_6_3_roc_curves.png"/>
                    <pic:cNvPicPr/>
                  </pic:nvPicPr>
                  <pic:blipFill>
                    <a:blip r:embed="rId18"/>
                    <a:stretch>
                      <a:fillRect/>
                    </a:stretch>
                  </pic:blipFill>
                  <pic:spPr>
                    <a:xfrm>
                      <a:off x="0" y="0"/>
                      <a:ext cx="3566160" cy="2615184"/>
                    </a:xfrm>
                    <a:prstGeom prst="rect"/>
                  </pic:spPr>
                </pic:pic>
              </a:graphicData>
            </a:graphic>
          </wp:inline>
        </w:drawing>
      </w:r>
    </w:p>
    <w:p>
      <w:pPr>
        <w:keepNext/>
        <w:spacing w:before="30" w:after="70"/>
        <w:jc w:val="center"/>
      </w:pPr>
      <w:r>
        <w:rPr>
          <w:rFonts w:ascii="Calibri" w:hAnsi="Calibri"/>
          <w:b/>
          <w:color w:val="475569"/>
          <w:sz w:val="16"/>
        </w:rPr>
        <w:t>Figure 6.3: Comparative ROC Curves for All Supervised Classifiers</w:t>
      </w:r>
    </w:p>
    <w:p>
      <w:pPr>
        <w:keepNext/>
        <w:spacing w:before="100" w:after="40"/>
      </w:pPr>
      <w:r>
        <w:rPr>
          <w:rFonts w:ascii="Calibri" w:hAnsi="Calibri"/>
          <w:b/>
          <w:color w:val="0F172A"/>
          <w:sz w:val="21"/>
        </w:rPr>
        <w:t>6.4 Confusion Matrices Visualization</w:t>
      </w:r>
    </w:p>
    <w:p>
      <w:pPr>
        <w:keepNext/>
        <w:spacing w:before="30" w:after="30"/>
        <w:jc w:val="center"/>
      </w:pPr>
      <w:r>
        <w:drawing>
          <wp:inline xmlns:a="http://schemas.openxmlformats.org/drawingml/2006/main" xmlns:pic="http://schemas.openxmlformats.org/drawingml/2006/picture">
            <wp:extent cx="3749039" cy="3124199"/>
            <wp:docPr id="6" name="Picture 6"/>
            <wp:cNvGraphicFramePr>
              <a:graphicFrameLocks noChangeAspect="1"/>
            </wp:cNvGraphicFramePr>
            <a:graphic>
              <a:graphicData uri="http://schemas.openxmlformats.org/drawingml/2006/picture">
                <pic:pic>
                  <pic:nvPicPr>
                    <pic:cNvPr id="0" name="fig_6_4_confusion_matrices.png"/>
                    <pic:cNvPicPr/>
                  </pic:nvPicPr>
                  <pic:blipFill>
                    <a:blip r:embed="rId19"/>
                    <a:stretch>
                      <a:fillRect/>
                    </a:stretch>
                  </pic:blipFill>
                  <pic:spPr>
                    <a:xfrm>
                      <a:off x="0" y="0"/>
                      <a:ext cx="3749039" cy="3124199"/>
                    </a:xfrm>
                    <a:prstGeom prst="rect"/>
                  </pic:spPr>
                </pic:pic>
              </a:graphicData>
            </a:graphic>
          </wp:inline>
        </w:drawing>
      </w:r>
    </w:p>
    <w:p>
      <w:pPr>
        <w:keepNext/>
        <w:spacing w:before="30" w:after="70"/>
        <w:jc w:val="center"/>
      </w:pPr>
      <w:r>
        <w:rPr>
          <w:rFonts w:ascii="Calibri" w:hAnsi="Calibri"/>
          <w:b/>
          <w:color w:val="475569"/>
          <w:sz w:val="16"/>
        </w:rPr>
        <w:t>Figure 6.4: Confusion Matrices Across Evaluated Classifiers (Test N = 9,043)</w:t>
      </w:r>
    </w:p>
    <w:p>
      <w:pPr>
        <w:keepNext/>
        <w:spacing w:before="100" w:after="40"/>
      </w:pPr>
      <w:r>
        <w:rPr>
          <w:rFonts w:ascii="Calibri" w:hAnsi="Calibri"/>
          <w:b/>
          <w:color w:val="0F172A"/>
          <w:sz w:val="21"/>
        </w:rPr>
        <w:t>6.5 Feature Importance</w:t>
      </w:r>
    </w:p>
    <w:p>
      <w:pPr>
        <w:spacing w:before="0" w:after="60" w:line="264" w:lineRule="auto"/>
        <w:jc w:val="left"/>
      </w:pPr>
      <w:r>
        <w:rPr>
          <w:rFonts w:ascii="Calibri" w:hAnsi="Calibri"/>
          <w:color w:val="0F172A"/>
          <w:sz w:val="19"/>
        </w:rPr>
        <w:t>Random Forest permutation feature importance analysis reveals that previous campaign outcome (poutcome, 0.2529) and days since last contact (pdays, 0.1960) are the dominant drivers of subscription conversion, followed by contact communication type (0.0908), contact month (0.0497), housing loan status (0.0364), age (0.0312), and account balance (0.0248).</w:t>
      </w:r>
    </w:p>
    <w:p>
      <w:pPr>
        <w:keepNext/>
        <w:spacing w:before="30" w:after="30"/>
        <w:jc w:val="center"/>
      </w:pPr>
      <w:r>
        <w:drawing>
          <wp:inline xmlns:a="http://schemas.openxmlformats.org/drawingml/2006/main" xmlns:pic="http://schemas.openxmlformats.org/drawingml/2006/picture">
            <wp:extent cx="3749039" cy="2082799"/>
            <wp:docPr id="7" name="Picture 7"/>
            <wp:cNvGraphicFramePr>
              <a:graphicFrameLocks noChangeAspect="1"/>
            </wp:cNvGraphicFramePr>
            <a:graphic>
              <a:graphicData uri="http://schemas.openxmlformats.org/drawingml/2006/picture">
                <pic:pic>
                  <pic:nvPicPr>
                    <pic:cNvPr id="0" name="fig_6_5_feature_importance.png"/>
                    <pic:cNvPicPr/>
                  </pic:nvPicPr>
                  <pic:blipFill>
                    <a:blip r:embed="rId20"/>
                    <a:stretch>
                      <a:fillRect/>
                    </a:stretch>
                  </pic:blipFill>
                  <pic:spPr>
                    <a:xfrm>
                      <a:off x="0" y="0"/>
                      <a:ext cx="3749039" cy="2082799"/>
                    </a:xfrm>
                    <a:prstGeom prst="rect"/>
                  </pic:spPr>
                </pic:pic>
              </a:graphicData>
            </a:graphic>
          </wp:inline>
        </w:drawing>
      </w:r>
    </w:p>
    <w:p>
      <w:pPr>
        <w:keepNext/>
        <w:spacing w:before="30" w:after="70"/>
        <w:jc w:val="center"/>
      </w:pPr>
      <w:r>
        <w:rPr>
          <w:rFonts w:ascii="Calibri" w:hAnsi="Calibri"/>
          <w:b/>
          <w:color w:val="475569"/>
          <w:sz w:val="16"/>
        </w:rPr>
        <w:t>Figure 6.5: Random Forest Grouped Permutation Feature Importance (15 Features)</w:t>
      </w:r>
    </w:p>
    <w:p>
      <w:pPr>
        <w:keepNext/>
        <w:spacing w:before="100" w:after="40"/>
      </w:pPr>
      <w:r>
        <w:rPr>
          <w:rFonts w:ascii="Calibri" w:hAnsi="Calibri"/>
          <w:b/>
          <w:color w:val="0F172A"/>
          <w:sz w:val="21"/>
        </w:rPr>
        <w:t>6.6 Computational Efficiency</w:t>
      </w:r>
    </w:p>
    <w:p>
      <w:pPr>
        <w:keepNext/>
        <w:spacing w:before="70" w:after="30"/>
      </w:pPr>
      <w:r>
        <w:rPr>
          <w:rFonts w:ascii="Calibri" w:hAnsi="Calibri"/>
          <w:b/>
          <w:color w:val="475569"/>
          <w:sz w:val="16"/>
        </w:rPr>
        <w:t>Table 6.1: Computational Latency and Resource Benchmark</w:t>
      </w:r>
    </w:p>
    <w:tbl>
      <w:tblPr>
        <w:tblW w:type="auto" w:w="0"/>
        <w:jc w:val="center"/>
        <w:tblLayout w:type="fixed"/>
        <w:tblLook w:firstColumn="1" w:firstRow="1" w:lastColumn="0" w:lastRow="0" w:noHBand="0" w:noVBand="1" w:val="04A0"/>
        <w:tblLayout w:type="fixed"/>
      </w:tblPr>
      <w:tblGrid>
        <w:gridCol w:w="1884"/>
        <w:gridCol w:w="1884"/>
        <w:gridCol w:w="1884"/>
        <w:gridCol w:w="1884"/>
        <w:gridCol w:w="1884"/>
      </w:tblGrid>
      <w:tr>
        <w:trPr>
          <w:tblHeader/>
        </w:trPr>
        <w:tc>
          <w:tcPr>
            <w:tcW w:type="dxa" w:w="2592"/>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left"/>
            </w:pPr>
            <w:r>
              <w:rPr>
                <w:rFonts w:ascii="Calibri" w:hAnsi="Calibri"/>
                <w:b/>
                <w:color w:val="FFFFFF"/>
                <w:sz w:val="16"/>
              </w:rPr>
              <w:t>Model Architecture</w:t>
            </w:r>
          </w:p>
        </w:tc>
        <w:tc>
          <w:tcPr>
            <w:tcW w:type="dxa" w:w="1584"/>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right"/>
            </w:pPr>
            <w:r>
              <w:rPr>
                <w:rFonts w:ascii="Calibri" w:hAnsi="Calibri"/>
                <w:b/>
                <w:color w:val="FFFFFF"/>
                <w:sz w:val="16"/>
              </w:rPr>
              <w:t>Training Time (s)</w:t>
            </w:r>
          </w:p>
        </w:tc>
        <w:tc>
          <w:tcPr>
            <w:tcW w:type="dxa" w:w="1584"/>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right"/>
            </w:pPr>
            <w:r>
              <w:rPr>
                <w:rFonts w:ascii="Calibri" w:hAnsi="Calibri"/>
                <w:b/>
                <w:color w:val="FFFFFF"/>
                <w:sz w:val="16"/>
              </w:rPr>
              <w:t>Prediction Time (s)</w:t>
            </w:r>
          </w:p>
        </w:tc>
        <w:tc>
          <w:tcPr>
            <w:tcW w:type="dxa" w:w="2448"/>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left"/>
            </w:pPr>
            <w:r>
              <w:rPr>
                <w:rFonts w:ascii="Calibri" w:hAnsi="Calibri"/>
                <w:b/>
                <w:color w:val="FFFFFF"/>
                <w:sz w:val="16"/>
              </w:rPr>
              <w:t>Tuned Parameters</w:t>
            </w:r>
          </w:p>
        </w:tc>
        <w:tc>
          <w:tcPr>
            <w:tcW w:type="dxa" w:w="1296"/>
            <w:shd w:fill="1E3A8A"/>
            <w:tcBorders>
              <w:top w:val="single" w:sz="4" w:space="0" w:color="1E3A8A"/>
              <w:left w:val="single" w:sz="4" w:space="0" w:color="1E3A8A"/>
              <w:bottom w:val="single" w:sz="4" w:space="0" w:color="1E3A8A"/>
              <w:right w:val="single" w:sz="4" w:space="0" w:color="1E3A8A"/>
            </w:tcBorders>
            <w:tcMar>
              <w:top w:w="40" w:type="dxa"/>
              <w:bottom w:w="40" w:type="dxa"/>
              <w:left w:w="60" w:type="dxa"/>
              <w:right w:w="60" w:type="dxa"/>
            </w:tcMar>
          </w:tcPr>
          <w:p>
            <w:pPr>
              <w:spacing w:before="0" w:after="0" w:line="252" w:lineRule="auto"/>
              <w:jc w:val="center"/>
            </w:pPr>
            <w:r>
              <w:rPr>
                <w:rFonts w:ascii="Calibri" w:hAnsi="Calibri"/>
                <w:b/>
                <w:color w:val="FFFFFF"/>
                <w:sz w:val="16"/>
              </w:rPr>
              <w:t>Class Weighting</w:t>
            </w:r>
          </w:p>
        </w:tc>
      </w:tr>
      <w:t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6"/>
              </w:rPr>
              <w:t>Logistic Regression</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5.486 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0.0340 s</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6"/>
              </w:rPr>
              <w:t>C=1.0, lbfgs, max_iter=1000</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6"/>
              </w:rPr>
              <w:t>balanced</w:t>
            </w:r>
          </w:p>
        </w:tc>
      </w:tr>
      <w:t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6"/>
              </w:rPr>
              <w:t>Decision Tree Classifier</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6.724 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0.0516 s</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6"/>
              </w:rPr>
              <w:t>max_depth=10, min_split=20</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6"/>
              </w:rPr>
              <w:t>balanced</w:t>
            </w:r>
          </w:p>
        </w:tc>
      </w:tr>
      <w:tr>
        <w:tc>
          <w:tcPr>
            <w:tcW w:type="dxa" w:w="2592"/>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6"/>
              </w:rPr>
              <w:t>K-Nearest Neighbours (KNN)</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10.785 s</w:t>
            </w:r>
          </w:p>
        </w:tc>
        <w:tc>
          <w:tcPr>
            <w:tcW w:type="dxa" w:w="1584"/>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1.1526 s</w:t>
            </w:r>
          </w:p>
        </w:tc>
        <w:tc>
          <w:tcPr>
            <w:tcW w:type="dxa" w:w="2448"/>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6"/>
              </w:rPr>
              <w:t>n_neighbors=5, metric='minkowski'</w:t>
            </w:r>
          </w:p>
        </w:tc>
        <w:tc>
          <w:tcPr>
            <w:tcW w:type="dxa" w:w="1296"/>
            <w:shd w:fill="FFFFFF"/>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6"/>
              </w:rPr>
              <w:t>None (unsupported)</w:t>
            </w:r>
          </w:p>
        </w:tc>
      </w:tr>
      <w:tr>
        <w:tc>
          <w:tcPr>
            <w:tcW w:type="dxa" w:w="2592"/>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6"/>
              </w:rPr>
              <w:t>Random Forest Classifier</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135.863 s</w:t>
            </w:r>
          </w:p>
        </w:tc>
        <w:tc>
          <w:tcPr>
            <w:tcW w:type="dxa" w:w="1584"/>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right"/>
            </w:pPr>
            <w:r>
              <w:rPr>
                <w:rFonts w:ascii="Calibri" w:hAnsi="Calibri"/>
                <w:color w:val="0F172A"/>
                <w:sz w:val="16"/>
              </w:rPr>
              <w:t>2.3028 s</w:t>
            </w:r>
          </w:p>
        </w:tc>
        <w:tc>
          <w:tcPr>
            <w:tcW w:type="dxa" w:w="2448"/>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left"/>
            </w:pPr>
            <w:r>
              <w:rPr>
                <w:rFonts w:ascii="Calibri" w:hAnsi="Calibri"/>
                <w:color w:val="0F172A"/>
                <w:sz w:val="16"/>
              </w:rPr>
              <w:t>n_estimators=100, max_depth=12</w:t>
            </w:r>
          </w:p>
        </w:tc>
        <w:tc>
          <w:tcPr>
            <w:tcW w:type="dxa" w:w="1296"/>
            <w:shd w:fill="F8FAFC"/>
            <w:tcBorders>
              <w:top w:val="single" w:sz="4" w:space="0" w:color="CBD5E1"/>
              <w:left w:val="single" w:sz="4" w:space="0" w:color="CBD5E1"/>
              <w:bottom w:val="single" w:sz="4" w:space="0" w:color="CBD5E1"/>
              <w:right w:val="single" w:sz="4" w:space="0" w:color="CBD5E1"/>
            </w:tcBorders>
            <w:tcMar>
              <w:top w:w="30" w:type="dxa"/>
              <w:bottom w:w="30" w:type="dxa"/>
              <w:left w:w="60" w:type="dxa"/>
              <w:right w:w="60" w:type="dxa"/>
            </w:tcMar>
          </w:tcPr>
          <w:p>
            <w:pPr>
              <w:spacing w:before="0" w:after="0" w:line="252" w:lineRule="auto"/>
              <w:jc w:val="center"/>
            </w:pPr>
            <w:r>
              <w:rPr>
                <w:rFonts w:ascii="Calibri" w:hAnsi="Calibri"/>
                <w:color w:val="0F172A"/>
                <w:sz w:val="16"/>
              </w:rPr>
              <w:t>balanced</w:t>
            </w:r>
          </w:p>
        </w:tc>
      </w:tr>
    </w:tbl>
    <w:p>
      <w:pPr>
        <w:spacing w:before="0" w:after="60" w:line="264" w:lineRule="auto"/>
        <w:jc w:val="left"/>
      </w:pPr>
      <w:r>
        <w:rPr>
          <w:rFonts w:ascii="Calibri" w:hAnsi="Calibri"/>
          <w:color w:val="0F172A"/>
          <w:sz w:val="19"/>
        </w:rPr>
        <w:t>Random Forest is designated as the primary production standard due to its superior discriminative capacity (ROC-AUC 0.7986), highest recall (50.00%), and lowest Brier score (0.0822). Decision Tree is designated as a high-throughput fallback for ultra-low-latency scoring environments (0.0516s).</w:t>
      </w:r>
    </w:p>
    <w:p>
      <w:pPr>
        <w:keepNext/>
        <w:spacing w:before="180" w:after="60"/>
      </w:pPr>
      <w:r>
        <w:rPr>
          <w:rFonts w:ascii="Calibri" w:hAnsi="Calibri"/>
          <w:b/>
          <w:color w:val="1E3A8A"/>
          <w:sz w:val="27"/>
        </w:rPr>
        <w:t>7. User Interface Development and Deployment</w:t>
      </w:r>
    </w:p>
    <w:p>
      <w:pPr>
        <w:spacing w:before="0" w:after="60" w:line="264" w:lineRule="auto"/>
        <w:jc w:val="left"/>
      </w:pPr>
      <w:r>
        <w:rPr>
          <w:rFonts w:ascii="Calibri" w:hAnsi="Calibri"/>
          <w:color w:val="0F172A"/>
          <w:sz w:val="19"/>
        </w:rPr>
        <w:t>The BankerEye system features a production-grade Streamlit multi-page application communicating with a Flask REST API backend served by Waitress WSGI. The interface provides seven integrated analytical views for data exploration, model inspection, customer scoring, and compliance reporting.</w:t>
      </w:r>
    </w:p>
    <w:tbl>
      <w:tblPr>
        <w:tblW w:type="auto" w:w="0"/>
        <w:jc w:val="center"/>
        <w:tblLayout w:type="fixed"/>
        <w:tblLook w:firstColumn="1" w:firstRow="1" w:lastColumn="0" w:lastRow="0" w:noHBand="0" w:noVBand="1" w:val="04A0"/>
        <w:tblLayout w:type="fixed"/>
      </w:tblPr>
      <w:tblGrid>
        <w:gridCol w:w="4709"/>
        <w:gridCol w:w="4709"/>
      </w:tblGrid>
      <w:tr>
        <w:tc>
          <w:tcPr>
            <w:tcW w:type="dxa" w:w="4608"/>
            <w:tcMar>
              <w:top w:w="0" w:type="dxa"/>
              <w:bottom w:w="0" w:type="dxa"/>
              <w:left w:w="15" w:type="dxa"/>
              <w:right w:w="15" w:type="dxa"/>
            </w:tcMar>
          </w:tcPr>
          <w:p>
            <w:pPr>
              <w:spacing w:before="0" w:after="0"/>
              <w:jc w:val="center"/>
            </w:pPr>
            <w:r>
              <w:drawing>
                <wp:inline xmlns:a="http://schemas.openxmlformats.org/drawingml/2006/main" xmlns:pic="http://schemas.openxmlformats.org/drawingml/2006/picture">
                  <wp:extent cx="2788920" cy="1839912"/>
                  <wp:docPr id="8" name="Picture 8"/>
                  <wp:cNvGraphicFramePr>
                    <a:graphicFrameLocks noChangeAspect="1"/>
                  </wp:cNvGraphicFramePr>
                  <a:graphic>
                    <a:graphicData uri="http://schemas.openxmlformats.org/drawingml/2006/picture">
                      <pic:pic>
                        <pic:nvPicPr>
                          <pic:cNvPr id="0" name="01_dashboard.png"/>
                          <pic:cNvPicPr/>
                        </pic:nvPicPr>
                        <pic:blipFill>
                          <a:blip r:embed="rId21"/>
                          <a:stretch>
                            <a:fillRect/>
                          </a:stretch>
                        </pic:blipFill>
                        <pic:spPr>
                          <a:xfrm>
                            <a:off x="0" y="0"/>
                            <a:ext cx="2788920" cy="1839912"/>
                          </a:xfrm>
                          <a:prstGeom prst="rect"/>
                        </pic:spPr>
                      </pic:pic>
                    </a:graphicData>
                  </a:graphic>
                </wp:inline>
              </w:drawing>
            </w:r>
          </w:p>
        </w:tc>
        <w:tc>
          <w:tcPr>
            <w:tcW w:type="dxa" w:w="4608"/>
            <w:tcMar>
              <w:top w:w="0" w:type="dxa"/>
              <w:bottom w:w="0" w:type="dxa"/>
              <w:left w:w="15" w:type="dxa"/>
              <w:right w:w="15" w:type="dxa"/>
            </w:tcMar>
          </w:tcPr>
          <w:p>
            <w:pPr>
              <w:spacing w:before="0" w:after="0"/>
              <w:jc w:val="center"/>
            </w:pPr>
            <w:r>
              <w:drawing>
                <wp:inline xmlns:a="http://schemas.openxmlformats.org/drawingml/2006/main" xmlns:pic="http://schemas.openxmlformats.org/drawingml/2006/picture">
                  <wp:extent cx="2788920" cy="1839912"/>
                  <wp:docPr id="9" name="Picture 9"/>
                  <wp:cNvGraphicFramePr>
                    <a:graphicFrameLocks noChangeAspect="1"/>
                  </wp:cNvGraphicFramePr>
                  <a:graphic>
                    <a:graphicData uri="http://schemas.openxmlformats.org/drawingml/2006/picture">
                      <pic:pic>
                        <pic:nvPicPr>
                          <pic:cNvPr id="0" name="02_dataset_explorer.png"/>
                          <pic:cNvPicPr/>
                        </pic:nvPicPr>
                        <pic:blipFill>
                          <a:blip r:embed="rId22"/>
                          <a:stretch>
                            <a:fillRect/>
                          </a:stretch>
                        </pic:blipFill>
                        <pic:spPr>
                          <a:xfrm>
                            <a:off x="0" y="0"/>
                            <a:ext cx="2788920" cy="1839912"/>
                          </a:xfrm>
                          <a:prstGeom prst="rect"/>
                        </pic:spPr>
                      </pic:pic>
                    </a:graphicData>
                  </a:graphic>
                </wp:inline>
              </w:drawing>
            </w:r>
          </w:p>
        </w:tc>
      </w:tr>
      <w:tr>
        <w:tc>
          <w:tcPr>
            <w:tcW w:type="dxa" w:w="4608"/>
            <w:tcMar>
              <w:top w:w="0" w:type="dxa"/>
              <w:bottom w:w="15" w:type="dxa"/>
              <w:left w:w="15" w:type="dxa"/>
              <w:right w:w="15" w:type="dxa"/>
            </w:tcMar>
          </w:tcPr>
          <w:p>
            <w:pPr>
              <w:spacing w:before="30" w:after="70"/>
              <w:jc w:val="center"/>
            </w:pPr>
            <w:r>
              <w:rPr>
                <w:rFonts w:ascii="Calibri" w:hAnsi="Calibri"/>
                <w:b/>
                <w:color w:val="475569"/>
                <w:sz w:val="16"/>
              </w:rPr>
              <w:t>Figure 7.1: Main Executive Dashboard</w:t>
            </w:r>
          </w:p>
        </w:tc>
        <w:tc>
          <w:tcPr>
            <w:tcW w:type="dxa" w:w="4608"/>
            <w:tcMar>
              <w:top w:w="0" w:type="dxa"/>
              <w:bottom w:w="15" w:type="dxa"/>
              <w:left w:w="15" w:type="dxa"/>
              <w:right w:w="15" w:type="dxa"/>
            </w:tcMar>
          </w:tcPr>
          <w:p>
            <w:pPr>
              <w:spacing w:before="30" w:after="70"/>
              <w:jc w:val="center"/>
            </w:pPr>
            <w:r>
              <w:rPr>
                <w:rFonts w:ascii="Calibri" w:hAnsi="Calibri"/>
                <w:b/>
                <w:color w:val="475569"/>
                <w:sz w:val="16"/>
              </w:rPr>
              <w:t>Figure 7.2: Dataset Explorer Interface</w:t>
            </w:r>
          </w:p>
        </w:tc>
      </w:tr>
    </w:tbl>
    <w:tbl>
      <w:tblPr>
        <w:tblW w:type="auto" w:w="0"/>
        <w:jc w:val="center"/>
        <w:tblLayout w:type="fixed"/>
        <w:tblLook w:firstColumn="1" w:firstRow="1" w:lastColumn="0" w:lastRow="0" w:noHBand="0" w:noVBand="1" w:val="04A0"/>
        <w:tblLayout w:type="fixed"/>
      </w:tblPr>
      <w:tblGrid>
        <w:gridCol w:w="4709"/>
        <w:gridCol w:w="4709"/>
      </w:tblGrid>
      <w:tr>
        <w:tc>
          <w:tcPr>
            <w:tcW w:type="dxa" w:w="4608"/>
            <w:tcMar>
              <w:top w:w="0" w:type="dxa"/>
              <w:bottom w:w="0" w:type="dxa"/>
              <w:left w:w="15" w:type="dxa"/>
              <w:right w:w="15" w:type="dxa"/>
            </w:tcMar>
          </w:tcPr>
          <w:p>
            <w:pPr>
              <w:spacing w:before="0" w:after="0"/>
              <w:jc w:val="center"/>
            </w:pPr>
            <w:r>
              <w:drawing>
                <wp:inline xmlns:a="http://schemas.openxmlformats.org/drawingml/2006/main" xmlns:pic="http://schemas.openxmlformats.org/drawingml/2006/picture">
                  <wp:extent cx="2788920" cy="1839912"/>
                  <wp:docPr id="10" name="Picture 10"/>
                  <wp:cNvGraphicFramePr>
                    <a:graphicFrameLocks noChangeAspect="1"/>
                  </wp:cNvGraphicFramePr>
                  <a:graphic>
                    <a:graphicData uri="http://schemas.openxmlformats.org/drawingml/2006/picture">
                      <pic:pic>
                        <pic:nvPicPr>
                          <pic:cNvPr id="0" name="02_dataset_explorer.png"/>
                          <pic:cNvPicPr/>
                        </pic:nvPicPr>
                        <pic:blipFill>
                          <a:blip r:embed="rId22"/>
                          <a:stretch>
                            <a:fillRect/>
                          </a:stretch>
                        </pic:blipFill>
                        <pic:spPr>
                          <a:xfrm>
                            <a:off x="0" y="0"/>
                            <a:ext cx="2788920" cy="1839912"/>
                          </a:xfrm>
                          <a:prstGeom prst="rect"/>
                        </pic:spPr>
                      </pic:pic>
                    </a:graphicData>
                  </a:graphic>
                </wp:inline>
              </w:drawing>
            </w:r>
          </w:p>
        </w:tc>
        <w:tc>
          <w:tcPr>
            <w:tcW w:type="dxa" w:w="4608"/>
            <w:tcMar>
              <w:top w:w="0" w:type="dxa"/>
              <w:bottom w:w="0" w:type="dxa"/>
              <w:left w:w="15" w:type="dxa"/>
              <w:right w:w="15" w:type="dxa"/>
            </w:tcMar>
          </w:tcPr>
          <w:p>
            <w:pPr>
              <w:spacing w:before="0" w:after="0"/>
              <w:jc w:val="center"/>
            </w:pPr>
            <w:r>
              <w:drawing>
                <wp:inline xmlns:a="http://schemas.openxmlformats.org/drawingml/2006/main" xmlns:pic="http://schemas.openxmlformats.org/drawingml/2006/picture">
                  <wp:extent cx="2788920" cy="1839912"/>
                  <wp:docPr id="11" name="Picture 11"/>
                  <wp:cNvGraphicFramePr>
                    <a:graphicFrameLocks noChangeAspect="1"/>
                  </wp:cNvGraphicFramePr>
                  <a:graphic>
                    <a:graphicData uri="http://schemas.openxmlformats.org/drawingml/2006/picture">
                      <pic:pic>
                        <pic:nvPicPr>
                          <pic:cNvPr id="0" name="04_model_comparison.png"/>
                          <pic:cNvPicPr/>
                        </pic:nvPicPr>
                        <pic:blipFill>
                          <a:blip r:embed="rId23"/>
                          <a:stretch>
                            <a:fillRect/>
                          </a:stretch>
                        </pic:blipFill>
                        <pic:spPr>
                          <a:xfrm>
                            <a:off x="0" y="0"/>
                            <a:ext cx="2788920" cy="1839912"/>
                          </a:xfrm>
                          <a:prstGeom prst="rect"/>
                        </pic:spPr>
                      </pic:pic>
                    </a:graphicData>
                  </a:graphic>
                </wp:inline>
              </w:drawing>
            </w:r>
          </w:p>
        </w:tc>
      </w:tr>
      <w:tr>
        <w:tc>
          <w:tcPr>
            <w:tcW w:type="dxa" w:w="4608"/>
            <w:tcMar>
              <w:top w:w="0" w:type="dxa"/>
              <w:bottom w:w="15" w:type="dxa"/>
              <w:left w:w="15" w:type="dxa"/>
              <w:right w:w="15" w:type="dxa"/>
            </w:tcMar>
          </w:tcPr>
          <w:p>
            <w:pPr>
              <w:spacing w:before="30" w:after="70"/>
              <w:jc w:val="center"/>
            </w:pPr>
            <w:r>
              <w:rPr>
                <w:rFonts w:ascii="Calibri" w:hAnsi="Calibri"/>
                <w:b/>
                <w:color w:val="475569"/>
                <w:sz w:val="16"/>
              </w:rPr>
              <w:t>Figure 7.3: Data Preprocessing View</w:t>
            </w:r>
          </w:p>
        </w:tc>
        <w:tc>
          <w:tcPr>
            <w:tcW w:type="dxa" w:w="4608"/>
            <w:tcMar>
              <w:top w:w="0" w:type="dxa"/>
              <w:bottom w:w="15" w:type="dxa"/>
              <w:left w:w="15" w:type="dxa"/>
              <w:right w:w="15" w:type="dxa"/>
            </w:tcMar>
          </w:tcPr>
          <w:p>
            <w:pPr>
              <w:spacing w:before="30" w:after="70"/>
              <w:jc w:val="center"/>
            </w:pPr>
            <w:r>
              <w:rPr>
                <w:rFonts w:ascii="Calibri" w:hAnsi="Calibri"/>
                <w:b/>
                <w:color w:val="475569"/>
                <w:sz w:val="16"/>
              </w:rPr>
              <w:t>Figure 7.4: Multi-Model Comparison Table</w:t>
            </w:r>
          </w:p>
        </w:tc>
      </w:tr>
    </w:tbl>
    <w:tbl>
      <w:tblPr>
        <w:tblW w:type="auto" w:w="0"/>
        <w:jc w:val="center"/>
        <w:tblLayout w:type="fixed"/>
        <w:tblLook w:firstColumn="1" w:firstRow="1" w:lastColumn="0" w:lastRow="0" w:noHBand="0" w:noVBand="1" w:val="04A0"/>
        <w:tblLayout w:type="fixed"/>
      </w:tblPr>
      <w:tblGrid>
        <w:gridCol w:w="4709"/>
        <w:gridCol w:w="4709"/>
      </w:tblGrid>
      <w:tr>
        <w:tc>
          <w:tcPr>
            <w:tcW w:type="dxa" w:w="4608"/>
            <w:tcMar>
              <w:top w:w="0" w:type="dxa"/>
              <w:bottom w:w="0" w:type="dxa"/>
              <w:left w:w="15" w:type="dxa"/>
              <w:right w:w="15" w:type="dxa"/>
            </w:tcMar>
          </w:tcPr>
          <w:p>
            <w:pPr>
              <w:spacing w:before="0" w:after="0"/>
              <w:jc w:val="center"/>
            </w:pPr>
            <w:r>
              <w:drawing>
                <wp:inline xmlns:a="http://schemas.openxmlformats.org/drawingml/2006/main" xmlns:pic="http://schemas.openxmlformats.org/drawingml/2006/picture">
                  <wp:extent cx="2788920" cy="1839912"/>
                  <wp:docPr id="12" name="Picture 12"/>
                  <wp:cNvGraphicFramePr>
                    <a:graphicFrameLocks noChangeAspect="1"/>
                  </wp:cNvGraphicFramePr>
                  <a:graphic>
                    <a:graphicData uri="http://schemas.openxmlformats.org/drawingml/2006/picture">
                      <pic:pic>
                        <pic:nvPicPr>
                          <pic:cNvPr id="0" name="04_model_comparison.png"/>
                          <pic:cNvPicPr/>
                        </pic:nvPicPr>
                        <pic:blipFill>
                          <a:blip r:embed="rId23"/>
                          <a:stretch>
                            <a:fillRect/>
                          </a:stretch>
                        </pic:blipFill>
                        <pic:spPr>
                          <a:xfrm>
                            <a:off x="0" y="0"/>
                            <a:ext cx="2788920" cy="1839912"/>
                          </a:xfrm>
                          <a:prstGeom prst="rect"/>
                        </pic:spPr>
                      </pic:pic>
                    </a:graphicData>
                  </a:graphic>
                </wp:inline>
              </w:drawing>
            </w:r>
          </w:p>
        </w:tc>
        <w:tc>
          <w:tcPr>
            <w:tcW w:type="dxa" w:w="4608"/>
            <w:tcMar>
              <w:top w:w="0" w:type="dxa"/>
              <w:bottom w:w="0" w:type="dxa"/>
              <w:left w:w="15" w:type="dxa"/>
              <w:right w:w="15" w:type="dxa"/>
            </w:tcMar>
          </w:tcPr>
          <w:p>
            <w:pPr>
              <w:spacing w:before="0" w:after="0"/>
              <w:jc w:val="center"/>
            </w:pPr>
            <w:r>
              <w:drawing>
                <wp:inline xmlns:a="http://schemas.openxmlformats.org/drawingml/2006/main" xmlns:pic="http://schemas.openxmlformats.org/drawingml/2006/picture">
                  <wp:extent cx="2788920" cy="1839912"/>
                  <wp:docPr id="13" name="Picture 13"/>
                  <wp:cNvGraphicFramePr>
                    <a:graphicFrameLocks noChangeAspect="1"/>
                  </wp:cNvGraphicFramePr>
                  <a:graphic>
                    <a:graphicData uri="http://schemas.openxmlformats.org/drawingml/2006/picture">
                      <pic:pic>
                        <pic:nvPicPr>
                          <pic:cNvPr id="0" name="08_customer_prediction.png"/>
                          <pic:cNvPicPr/>
                        </pic:nvPicPr>
                        <pic:blipFill>
                          <a:blip r:embed="rId24"/>
                          <a:stretch>
                            <a:fillRect/>
                          </a:stretch>
                        </pic:blipFill>
                        <pic:spPr>
                          <a:xfrm>
                            <a:off x="0" y="0"/>
                            <a:ext cx="2788920" cy="1839912"/>
                          </a:xfrm>
                          <a:prstGeom prst="rect"/>
                        </pic:spPr>
                      </pic:pic>
                    </a:graphicData>
                  </a:graphic>
                </wp:inline>
              </w:drawing>
            </w:r>
          </w:p>
        </w:tc>
      </w:tr>
      <w:tr>
        <w:tc>
          <w:tcPr>
            <w:tcW w:type="dxa" w:w="4608"/>
            <w:tcMar>
              <w:top w:w="0" w:type="dxa"/>
              <w:bottom w:w="15" w:type="dxa"/>
              <w:left w:w="15" w:type="dxa"/>
              <w:right w:w="15" w:type="dxa"/>
            </w:tcMar>
          </w:tcPr>
          <w:p>
            <w:pPr>
              <w:spacing w:before="30" w:after="70"/>
              <w:jc w:val="center"/>
            </w:pPr>
            <w:r>
              <w:rPr>
                <w:rFonts w:ascii="Calibri" w:hAnsi="Calibri"/>
                <w:b/>
                <w:color w:val="475569"/>
                <w:sz w:val="16"/>
              </w:rPr>
              <w:t>Figure 7.5: Evaluation Metrics Dashboard</w:t>
            </w:r>
          </w:p>
        </w:tc>
        <w:tc>
          <w:tcPr>
            <w:tcW w:type="dxa" w:w="4608"/>
            <w:tcMar>
              <w:top w:w="0" w:type="dxa"/>
              <w:bottom w:w="15" w:type="dxa"/>
              <w:left w:w="15" w:type="dxa"/>
              <w:right w:w="15" w:type="dxa"/>
            </w:tcMar>
          </w:tcPr>
          <w:p>
            <w:pPr>
              <w:spacing w:before="30" w:after="70"/>
              <w:jc w:val="center"/>
            </w:pPr>
            <w:r>
              <w:rPr>
                <w:rFonts w:ascii="Calibri" w:hAnsi="Calibri"/>
                <w:b/>
                <w:color w:val="475569"/>
                <w:sz w:val="16"/>
              </w:rPr>
              <w:t>Figure 7.6: Single Customer Subscription Predictor</w:t>
            </w:r>
          </w:p>
        </w:tc>
      </w:tr>
    </w:tbl>
    <w:p>
      <w:pPr>
        <w:keepNext/>
        <w:spacing w:before="100" w:after="40"/>
      </w:pPr>
      <w:r>
        <w:rPr>
          <w:rFonts w:ascii="Calibri" w:hAnsi="Calibri"/>
          <w:b/>
          <w:color w:val="0F172A"/>
          <w:sz w:val="21"/>
        </w:rPr>
        <w:t>7.1 Additional Interface Views</w:t>
      </w:r>
    </w:p>
    <w:tbl>
      <w:tblPr>
        <w:tblW w:type="auto" w:w="0"/>
        <w:jc w:val="center"/>
        <w:tblLayout w:type="fixed"/>
        <w:tblLook w:firstColumn="1" w:firstRow="1" w:lastColumn="0" w:lastRow="0" w:noHBand="0" w:noVBand="1" w:val="04A0"/>
        <w:tblLayout w:type="fixed"/>
      </w:tblPr>
      <w:tblGrid>
        <w:gridCol w:w="4709"/>
        <w:gridCol w:w="4709"/>
      </w:tblGrid>
      <w:tr>
        <w:tc>
          <w:tcPr>
            <w:tcW w:type="dxa" w:w="4608"/>
            <w:tcMar>
              <w:top w:w="0" w:type="dxa"/>
              <w:bottom w:w="0" w:type="dxa"/>
              <w:left w:w="15" w:type="dxa"/>
              <w:right w:w="15" w:type="dxa"/>
            </w:tcMar>
          </w:tcPr>
          <w:p>
            <w:pPr>
              <w:spacing w:before="0" w:after="0"/>
              <w:jc w:val="center"/>
            </w:pPr>
            <w:r>
              <w:drawing>
                <wp:inline xmlns:a="http://schemas.openxmlformats.org/drawingml/2006/main" xmlns:pic="http://schemas.openxmlformats.org/drawingml/2006/picture">
                  <wp:extent cx="2788920" cy="1839912"/>
                  <wp:docPr id="14" name="Picture 14"/>
                  <wp:cNvGraphicFramePr>
                    <a:graphicFrameLocks noChangeAspect="1"/>
                  </wp:cNvGraphicFramePr>
                  <a:graphic>
                    <a:graphicData uri="http://schemas.openxmlformats.org/drawingml/2006/picture">
                      <pic:pic>
                        <pic:nvPicPr>
                          <pic:cNvPr id="0" name="04_model_comparison.png"/>
                          <pic:cNvPicPr/>
                        </pic:nvPicPr>
                        <pic:blipFill>
                          <a:blip r:embed="rId23"/>
                          <a:stretch>
                            <a:fillRect/>
                          </a:stretch>
                        </pic:blipFill>
                        <pic:spPr>
                          <a:xfrm>
                            <a:off x="0" y="0"/>
                            <a:ext cx="2788920" cy="1839912"/>
                          </a:xfrm>
                          <a:prstGeom prst="rect"/>
                        </pic:spPr>
                      </pic:pic>
                    </a:graphicData>
                  </a:graphic>
                </wp:inline>
              </w:drawing>
            </w:r>
          </w:p>
        </w:tc>
        <w:tc>
          <w:tcPr>
            <w:tcW w:type="dxa" w:w="4608"/>
            <w:tcMar>
              <w:top w:w="0" w:type="dxa"/>
              <w:bottom w:w="0" w:type="dxa"/>
              <w:left w:w="15" w:type="dxa"/>
              <w:right w:w="15" w:type="dxa"/>
            </w:tcMar>
          </w:tcPr>
          <w:p>
            <w:pPr>
              <w:spacing w:before="0" w:after="0"/>
              <w:jc w:val="center"/>
            </w:pPr>
            <w:r>
              <w:drawing>
                <wp:inline xmlns:a="http://schemas.openxmlformats.org/drawingml/2006/main" xmlns:pic="http://schemas.openxmlformats.org/drawingml/2006/picture">
                  <wp:extent cx="2788920" cy="1839912"/>
                  <wp:docPr id="15" name="Picture 15"/>
                  <wp:cNvGraphicFramePr>
                    <a:graphicFrameLocks noChangeAspect="1"/>
                  </wp:cNvGraphicFramePr>
                  <a:graphic>
                    <a:graphicData uri="http://schemas.openxmlformats.org/drawingml/2006/picture">
                      <pic:pic>
                        <pic:nvPicPr>
                          <pic:cNvPr id="0" name="09_batch_prediction.png"/>
                          <pic:cNvPicPr/>
                        </pic:nvPicPr>
                        <pic:blipFill>
                          <a:blip r:embed="rId25"/>
                          <a:stretch>
                            <a:fillRect/>
                          </a:stretch>
                        </pic:blipFill>
                        <pic:spPr>
                          <a:xfrm>
                            <a:off x="0" y="0"/>
                            <a:ext cx="2788920" cy="1839912"/>
                          </a:xfrm>
                          <a:prstGeom prst="rect"/>
                        </pic:spPr>
                      </pic:pic>
                    </a:graphicData>
                  </a:graphic>
                </wp:inline>
              </w:drawing>
            </w:r>
          </w:p>
        </w:tc>
      </w:tr>
      <w:tr>
        <w:tc>
          <w:tcPr>
            <w:tcW w:type="dxa" w:w="4608"/>
            <w:tcMar>
              <w:top w:w="0" w:type="dxa"/>
              <w:bottom w:w="15" w:type="dxa"/>
              <w:left w:w="15" w:type="dxa"/>
              <w:right w:w="15" w:type="dxa"/>
            </w:tcMar>
          </w:tcPr>
          <w:p>
            <w:pPr>
              <w:spacing w:before="30" w:after="70"/>
              <w:jc w:val="center"/>
            </w:pPr>
            <w:r>
              <w:rPr>
                <w:rFonts w:ascii="Calibri" w:hAnsi="Calibri"/>
                <w:b/>
                <w:color w:val="475569"/>
                <w:sz w:val="16"/>
              </w:rPr>
              <w:t>Figure 7.7: Confusion Matrix Analysis</w:t>
            </w:r>
          </w:p>
        </w:tc>
        <w:tc>
          <w:tcPr>
            <w:tcW w:type="dxa" w:w="4608"/>
            <w:tcMar>
              <w:top w:w="0" w:type="dxa"/>
              <w:bottom w:w="15" w:type="dxa"/>
              <w:left w:w="15" w:type="dxa"/>
              <w:right w:w="15" w:type="dxa"/>
            </w:tcMar>
          </w:tcPr>
          <w:p>
            <w:pPr>
              <w:spacing w:before="30" w:after="70"/>
              <w:jc w:val="center"/>
            </w:pPr>
            <w:r>
              <w:rPr>
                <w:rFonts w:ascii="Calibri" w:hAnsi="Calibri"/>
                <w:b/>
                <w:color w:val="475569"/>
                <w:sz w:val="16"/>
              </w:rPr>
              <w:t>Figure 7.8: Batch Customer Scoring Engine</w:t>
            </w:r>
          </w:p>
        </w:tc>
      </w:tr>
    </w:tbl>
    <w:p>
      <w:pPr>
        <w:keepNext/>
        <w:spacing w:before="100" w:after="40"/>
      </w:pPr>
      <w:r>
        <w:rPr>
          <w:rFonts w:ascii="Calibri" w:hAnsi="Calibri"/>
          <w:b/>
          <w:color w:val="0F172A"/>
          <w:sz w:val="21"/>
        </w:rPr>
        <w:t>7.2 Deployment Architecture</w:t>
      </w:r>
    </w:p>
    <w:p>
      <w:pPr>
        <w:spacing w:before="0" w:after="60" w:line="264" w:lineRule="auto"/>
        <w:jc w:val="left"/>
      </w:pPr>
      <w:r>
        <w:rPr>
          <w:rFonts w:ascii="Calibri" w:hAnsi="Calibri"/>
          <w:color w:val="0F172A"/>
          <w:sz w:val="19"/>
        </w:rPr>
        <w:t>The system is deployed locally with the Flask API running on port 5000 via Waitress WSGI server and the Streamlit dashboard running on port 8501. The REST API exposes structured endpoints: /api/health (service health and model availability), /api/load-data (raw CSV ingestion), /api/preprocess (cleaning and feature transformation), /api/train-async (background model training with status polling), /api/evaluate (evaluation metrics and confusion matrices), /api/predict (single customer scoring), /api/batch-predict (bulk CSV scoring), and /api/generate-report (automated PDF/JSON summary export).</w:t>
      </w:r>
    </w:p>
    <w:p>
      <w:pPr>
        <w:keepNext/>
        <w:spacing w:before="100" w:after="40"/>
      </w:pPr>
      <w:r>
        <w:rPr>
          <w:rFonts w:ascii="Calibri" w:hAnsi="Calibri"/>
          <w:b/>
          <w:color w:val="0F172A"/>
          <w:sz w:val="21"/>
        </w:rPr>
        <w:t>7.3 Conclusion and Future Scope</w:t>
      </w:r>
    </w:p>
    <w:p>
      <w:pPr>
        <w:spacing w:before="0" w:after="60" w:line="264" w:lineRule="auto"/>
        <w:jc w:val="left"/>
      </w:pPr>
      <w:r>
        <w:rPr>
          <w:rFonts w:ascii="Calibri" w:hAnsi="Calibri"/>
          <w:color w:val="0F172A"/>
          <w:sz w:val="19"/>
        </w:rPr>
        <w:t>BankerEye demonstrates a successful end-to-end machine learning system for bank marketing optimization. Under strict anti-leakage constraints excluding call duration, Random Forest achieved an ROC-AUC of 0.7986, 50.00% recall, and lowest Brier score of 0.0822. Bootstrap confidence intervals confirmed that Decision Tree and Random Forest F1 scores are statistically indistinguishable, while Random Forest provides superior global discrimination. Future work includes implementing synthetic oversampling (SMOTE/ADASYN), integrating gradient boosted trees (XGBoost, LightGBM), adding interactive SHAP waterfall explanations, and containerized cloud deployment with automated CI/CD pipelines.</w:t>
      </w:r>
    </w:p>
    <w:p>
      <w:r>
        <w:br w:type="page"/>
      </w:r>
    </w:p>
    <w:p>
      <w:pPr>
        <w:keepNext/>
        <w:spacing w:before="180" w:after="60"/>
      </w:pPr>
      <w:r>
        <w:rPr>
          <w:rFonts w:ascii="Calibri" w:hAnsi="Calibri"/>
          <w:b/>
          <w:color w:val="1E3A8A"/>
          <w:sz w:val="27"/>
        </w:rPr>
        <w:t>8. References</w:t>
      </w:r>
    </w:p>
    <w:p>
      <w:pPr>
        <w:spacing w:before="0" w:after="50" w:line="252" w:lineRule="auto"/>
        <w:jc w:val="left"/>
      </w:pPr>
      <w:r>
        <w:rPr>
          <w:rFonts w:ascii="Calibri" w:hAnsi="Calibri"/>
          <w:color w:val="0F172A"/>
          <w:sz w:val="17"/>
        </w:rPr>
        <w:t>[1] Moro, S., Cortez, P., &amp; Rita, P. (2014). A data-driven approach to predict the success of bank telemarketing. Decision Support Systems, 62, 22–31.</w:t>
      </w:r>
    </w:p>
    <w:p>
      <w:pPr>
        <w:spacing w:before="0" w:after="50" w:line="252" w:lineRule="auto"/>
        <w:jc w:val="left"/>
      </w:pPr>
      <w:r>
        <w:rPr>
          <w:rFonts w:ascii="Calibri" w:hAnsi="Calibri"/>
          <w:color w:val="0F172A"/>
          <w:sz w:val="17"/>
        </w:rPr>
        <w:t>[2] Breiman, L. (2001). Random Forests. Machine Learning, 45(1), 5–32.</w:t>
      </w:r>
    </w:p>
    <w:p>
      <w:pPr>
        <w:spacing w:before="0" w:after="50" w:line="252" w:lineRule="auto"/>
        <w:jc w:val="left"/>
      </w:pPr>
      <w:r>
        <w:rPr>
          <w:rFonts w:ascii="Calibri" w:hAnsi="Calibri"/>
          <w:color w:val="0F172A"/>
          <w:sz w:val="17"/>
        </w:rPr>
        <w:t>[3] Pedregosa, F., et al. (2011). Scikit-learn: Machine Learning in Python. Journal of Machine Learning Research, 12, 2825–2830.</w:t>
      </w:r>
    </w:p>
    <w:p>
      <w:pPr>
        <w:spacing w:before="0" w:after="50" w:line="252" w:lineRule="auto"/>
        <w:jc w:val="left"/>
      </w:pPr>
      <w:r>
        <w:rPr>
          <w:rFonts w:ascii="Calibri" w:hAnsi="Calibri"/>
          <w:color w:val="0F172A"/>
          <w:sz w:val="17"/>
        </w:rPr>
        <w:t>[4] Hosmer, D. W., Lemeshow, S., &amp; Sturdivant, R. X. (2013). Applied Logistic Regression (3rd ed.). John Wiley &amp; Sons.</w:t>
      </w:r>
    </w:p>
    <w:p>
      <w:pPr>
        <w:spacing w:before="0" w:after="50" w:line="252" w:lineRule="auto"/>
        <w:jc w:val="left"/>
      </w:pPr>
      <w:r>
        <w:rPr>
          <w:rFonts w:ascii="Calibri" w:hAnsi="Calibri"/>
          <w:color w:val="0F172A"/>
          <w:sz w:val="17"/>
        </w:rPr>
        <w:t>[5] Quinlan, J. R. (1986). Induction of Decision Trees. Machine Learning, 1(1), 81–106.</w:t>
      </w:r>
    </w:p>
    <w:p>
      <w:pPr>
        <w:spacing w:before="0" w:after="50" w:line="252" w:lineRule="auto"/>
        <w:jc w:val="left"/>
      </w:pPr>
      <w:r>
        <w:rPr>
          <w:rFonts w:ascii="Calibri" w:hAnsi="Calibri"/>
          <w:color w:val="0F172A"/>
          <w:sz w:val="17"/>
        </w:rPr>
        <w:t>[6] Cover, T., &amp; Hart, P. (1967). Nearest Neighbor Pattern Classification. IEEE Transactions on Information Theory, 13(1), 21–27.</w:t>
      </w:r>
    </w:p>
    <w:p>
      <w:pPr>
        <w:spacing w:before="0" w:after="50" w:line="252" w:lineRule="auto"/>
        <w:jc w:val="left"/>
      </w:pPr>
      <w:r>
        <w:rPr>
          <w:rFonts w:ascii="Calibri" w:hAnsi="Calibri"/>
          <w:color w:val="0F172A"/>
          <w:sz w:val="17"/>
        </w:rPr>
        <w:t>[7] Fawcett, T. (2006). An Introduction to ROC Analysis. Pattern Recognition Letters, 27(8), 861–874.</w:t>
      </w:r>
    </w:p>
    <w:p>
      <w:pPr>
        <w:spacing w:before="0" w:after="50" w:line="252" w:lineRule="auto"/>
        <w:jc w:val="left"/>
      </w:pPr>
      <w:r>
        <w:rPr>
          <w:rFonts w:ascii="Calibri" w:hAnsi="Calibri"/>
          <w:color w:val="0F172A"/>
          <w:sz w:val="17"/>
        </w:rPr>
        <w:t>[8] He, H., &amp; Garcia, E. A. (2009). Learning from Imbalanced Data. IEEE Transactions on Knowledge and Data Engineering, 21(9), 1263–1284.</w:t>
      </w:r>
    </w:p>
    <w:p>
      <w:pPr>
        <w:spacing w:before="0" w:after="50" w:line="252" w:lineRule="auto"/>
        <w:jc w:val="left"/>
      </w:pPr>
      <w:r>
        <w:rPr>
          <w:rFonts w:ascii="Calibri" w:hAnsi="Calibri"/>
          <w:color w:val="0F172A"/>
          <w:sz w:val="17"/>
        </w:rPr>
        <w:t>[9] UCI Machine Learning Repository. Bank Marketing Dataset. https://archive.ics.uci.edu/ml/datasets/Bank+Marketing</w:t>
      </w:r>
    </w:p>
    <w:p>
      <w:pPr>
        <w:spacing w:before="0" w:after="50" w:line="252" w:lineRule="auto"/>
        <w:jc w:val="left"/>
      </w:pPr>
      <w:r>
        <w:rPr>
          <w:rFonts w:ascii="Calibri" w:hAnsi="Calibri"/>
          <w:color w:val="0F172A"/>
          <w:sz w:val="17"/>
        </w:rPr>
        <w:t>[10] Niculescu-Mizil, A., &amp; Caruana, R. (2005). Predicting good probabilities with supervised learning. ICML, 625–632.</w:t>
      </w:r>
    </w:p>
    <w:p>
      <w:pPr>
        <w:spacing w:before="0" w:after="50" w:line="252" w:lineRule="auto"/>
        <w:jc w:val="left"/>
      </w:pPr>
      <w:r>
        <w:rPr>
          <w:rFonts w:ascii="Calibri" w:hAnsi="Calibri"/>
          <w:color w:val="0F172A"/>
          <w:sz w:val="17"/>
        </w:rPr>
        <w:t>[11] Flask Documentation. https://flask.palletsprojects.com/</w:t>
      </w:r>
    </w:p>
    <w:p>
      <w:pPr>
        <w:spacing w:before="0" w:after="50" w:line="252" w:lineRule="auto"/>
        <w:jc w:val="left"/>
      </w:pPr>
      <w:r>
        <w:rPr>
          <w:rFonts w:ascii="Calibri" w:hAnsi="Calibri"/>
          <w:color w:val="0F172A"/>
          <w:sz w:val="17"/>
        </w:rPr>
        <w:t>[12] Streamlit Documentation. https://docs.streamlit.io/</w:t>
      </w:r>
    </w:p>
    <w:sectPr w:rsidR="00FC693F" w:rsidRPr="0006063C" w:rsidSect="00034616">
      <w:pgSz w:w="11909" w:h="16834"/>
      <w:pgMar w:top="1123" w:right="1123" w:bottom="1008"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109/ICCMA59762.2023.10374595" TargetMode="External"/><Relationship Id="rId10" Type="http://schemas.openxmlformats.org/officeDocument/2006/relationships/hyperlink" Target="https://doi.org/10.1109/TIACOMP64125.2024.00085" TargetMode="External"/><Relationship Id="rId11" Type="http://schemas.openxmlformats.org/officeDocument/2006/relationships/hyperlink" Target="https://ieeexplore.ieee.org/document/10700543" TargetMode="External"/><Relationship Id="rId12" Type="http://schemas.openxmlformats.org/officeDocument/2006/relationships/hyperlink" Target="https://doi.org/10.48550/arXiv.2410.21539" TargetMode="External"/><Relationship Id="rId13" Type="http://schemas.openxmlformats.org/officeDocument/2006/relationships/hyperlink" Target="https://doi.org/10.1007/978-3-030-87010-9_8"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