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&#65279;<?xml version="1.0" encoding="utf-8"?><Relationships xmlns="http://schemas.openxmlformats.org/package/2006/relationships"><Relationship Type="http://schemas.openxmlformats.org/officeDocument/2006/relationships/officeDocument" Target="/word/document.xml" Id="Re4b17408d363453a" /><Relationship Type="http://schemas.openxmlformats.org/package/2006/relationships/metadata/core-properties" Target="/docProps/core.xml" Id="R4198be0b9b29495a" /><Relationship Type="http://schemas.openxmlformats.org/officeDocument/2006/relationships/extended-properties" Target="/docProps/app.xml" Id="R77f43a707a254b9f" /><Relationship Type="http://schemas.openxmlformats.org/officeDocument/2006/relationships/custom-properties" Target="/docProps/custom.xml" Id="Rd90d642f9cca4152" /></Relationships>
</file>

<file path=word/document.xml><?xml version="1.0" encoding="utf-8"?>
<w:document xmlns:r="http://schemas.openxmlformats.org/officeDocument/2006/relationships" xmlns:m="http://schemas.openxmlformats.org/officeDocument/2006/math" xmlns:v="urn:schemas-microsoft-com:vml" xmlns:o="urn:schemas-microsoft-com:office:office" xmlns:w10="urn:schemas-microsoft-com:office:word" xmlns:wne="http://schemas.microsoft.com/office/word/2006/wordml" xmlns:wp="http://schemas.openxmlformats.org/drawingml/2006/wordprocessingDrawing" xmlns:wp14="http://schemas.microsoft.com/office/word/2010/wordprocessingDrawing" xmlns:w14="http://schemas.microsoft.com/office/word/2010/wordml" xmlns:a="http://schemas.openxmlformats.org/drawingml/2006/main" xmlns:pic="http://schemas.openxmlformats.org/drawingml/2006/picture" xmlns:wps="http://schemas.microsoft.com/office/word/2010/wordprocessingShape" xmlns:wpg="http://schemas.microsoft.com/office/word/2010/wordprocessingGroup" xmlns:wpi="http://schemas.microsoft.com/office/word/2010/wordprocessingInk" xmlns:wpc="http://schemas.microsoft.com/office/word/2010/wordprocessingCanvas" xmlns:w15="http://schemas.microsoft.com/office/word/2012/wordml" xmlns:mc="http://schemas.openxmlformats.org/markup-compatibility/2006" xmlns:w="http://schemas.openxmlformats.org/wordprocessingml/2006/main" mc:Ignorable="w14 w15 wp14">
  <w:body>
    <w:p w14:paraId="00100000" w14:textId="00100001">
      <w:pPr>
        <w:pStyle w:val="Heading1"/>
        <w:spacing w:after="120"/>
        <w:jc w:val="center"/>
      </w:pPr>
      <w:r>
        <w:rPr>
          <w:b/>
          <w:sz w:val="40"/>
        </w:rPr>
        <w:t xml:space="preserve">PhishGuard — Explainable Phishing Email Risk Analyzer</w:t>
      </w:r>
    </w:p>
    <w:p w14:paraId="00100002" w14:textId="00100003">
      <w:pPr>
        <w:pStyle w:val="Normal"/>
        <w:spacing w:after="80"/>
        <w:jc w:val="center"/>
      </w:pPr>
      <w:r>
        <w:rPr>
          <w:sz w:val="26"/>
        </w:rPr>
        <w:t xml:space="preserve">Technical Project Report</w:t>
      </w:r>
    </w:p>
    <w:p w14:paraId="00100004" w14:textId="00100005">
      <w:pPr>
        <w:pStyle w:val="Normal"/>
        <w:spacing w:after="80"/>
        <w:jc w:val="center"/>
      </w:pPr>
      <w:r>
        <w:rPr>
          <w:sz w:val="24"/>
        </w:rPr>
        <w:t xml:space="preserve">IBM Cybersecurity Fundamentals Certification</w:t>
      </w:r>
    </w:p>
    <w:p w14:paraId="00100006" w14:textId="00100007">
      <w:pPr>
        <w:pStyle w:val="Normal"/>
        <w:spacing w:after="80"/>
        <w:jc w:val="center"/>
      </w:pPr>
      <w:r>
        <w:rPr>
          <w:sz w:val="22"/>
        </w:rPr>
        <w:t xml:space="preserve">Tool: IBM Bob  ·  Language: Python 3.10+  ·  Framework: Streamlit</w:t>
      </w:r>
    </w:p>
    <w:p w14:paraId="00100008" w14:textId="00100009">
      <w:pPr>
        <w:pStyle w:val="Normal"/>
        <w:spacing w:after="320"/>
        <w:jc w:val="center"/>
      </w:pPr>
      <w:r>
        <w:rPr>
          <w:sz w:val="22"/>
        </w:rPr>
        <w:t xml:space="preserve">Status: Complete  ·  Tests: 87 / 88 passing</w:t>
      </w:r>
    </w:p>
    <w:p w14:paraId="0010000A" w14:textId="0010000B">
      <w:pPr>
        <w:pStyle w:val="Heading1"/>
        <w:spacing w:after="120"/>
      </w:pPr>
      <w:r>
        <w:rPr>
          <w:b/>
          <w:sz w:val="32"/>
        </w:rPr>
        <w:t xml:space="preserve">1. Executive Summary</w:t>
      </w:r>
    </w:p>
    <w:p w14:paraId="0010000C" w14:textId="0010000D">
      <w:pPr>
        <w:pStyle w:val="Normal"/>
        <w:spacing w:after="120"/>
      </w:pPr>
      <w:r>
        <w:rPr>
          <w:sz w:val="22"/>
        </w:rPr>
        <w:t xml:space="preserve">PhishGuard is a local web application built in Python and Streamlit that analyses email content for common phishing indicators, assigns an indicative risk level (Low, Medium, or High), and explains the reasoning behind every finding. The project was developed incrementally across five stages as part of the IBM Cybersecurity Fundamentals certification, demonstrating rule-based detection, risk scoring, secure application design, and software testing.</w:t>
      </w:r>
    </w:p>
    <w:p w14:paraId="0010000E" w14:textId="0010000F">
      <w:pPr>
        <w:pStyle w:val="Normal"/>
        <w:spacing w:after="240"/>
      </w:pPr>
      <w:r>
        <w:rPr>
          <w:sz w:val="22"/>
        </w:rPr>
        <w:t xml:space="preserve">The application runs entirely locally with no internet connection, no external APIs, no database server, and no storage of submitted email content. 87 of 88 unit tests pass (1 skipped — hypothesis library optional).</w:t>
      </w:r>
    </w:p>
    <w:p w14:paraId="00100010" w14:textId="00100011">
      <w:pPr>
        <w:pStyle w:val="Heading1"/>
        <w:spacing w:after="120"/>
      </w:pPr>
      <w:r>
        <w:rPr>
          <w:b/>
          <w:sz w:val="32"/>
        </w:rPr>
        <w:t xml:space="preserve">2. Project Objectives</w:t>
      </w:r>
    </w:p>
    <w:p w14:paraId="00100012" w14:textId="00100013">
      <w:pPr>
        <w:pStyle w:val="Normal"/>
        <w:spacing w:after="80"/>
      </w:pPr>
      <w:r>
        <w:rPr>
          <w:sz w:val="22"/>
        </w:rPr>
        <w:t xml:space="preserve">The project was designed to achieve the following objectives:</w:t>
      </w:r>
    </w:p>
    <w:p w14:paraId="00100014" w14:textId="00100015">
      <w:pPr>
        <w:pStyle w:val="Normal"/>
        <w:numPr>
          <w:ilvl w:val="0"/>
          <w:numId w:val="1"/>
        </w:numPr>
        <w:spacing w:after="60"/>
      </w:pPr>
      <w:r>
        <w:rPr>
          <w:sz w:val="22"/>
        </w:rPr>
        <w:t xml:space="preserve">Demonstrate fundamental cybersecurity concepts including social engineering, credential harvesting, URL obfuscation, domain spoofing, and PII theft.</w:t>
      </w:r>
    </w:p>
    <w:p w14:paraId="00100016" w14:textId="00100017">
      <w:pPr>
        <w:pStyle w:val="Normal"/>
        <w:numPr>
          <w:ilvl w:val="0"/>
          <w:numId w:val="1"/>
        </w:numPr>
        <w:spacing w:after="60"/>
      </w:pPr>
      <w:r>
        <w:rPr>
          <w:sz w:val="22"/>
        </w:rPr>
        <w:t xml:space="preserve">Implement a transparent, explainable rule-based detection engine with documented scoring weights and classification thresholds.</w:t>
      </w:r>
    </w:p>
    <w:p w14:paraId="00100018" w14:textId="00100019">
      <w:pPr>
        <w:pStyle w:val="Normal"/>
        <w:numPr>
          <w:ilvl w:val="0"/>
          <w:numId w:val="1"/>
        </w:numPr>
        <w:spacing w:after="60"/>
      </w:pPr>
      <w:r>
        <w:rPr>
          <w:sz w:val="22"/>
        </w:rPr>
        <w:t xml:space="preserve">Build a functional, testable web application using Python and Streamlit with beginner-friendly, well-commented code.</w:t>
      </w:r>
    </w:p>
    <w:p w14:paraId="0010001A" w14:textId="0010001B">
      <w:pPr>
        <w:pStyle w:val="Normal"/>
        <w:numPr>
          <w:ilvl w:val="0"/>
          <w:numId w:val="1"/>
        </w:numPr>
        <w:spacing w:after="60"/>
      </w:pPr>
      <w:r>
        <w:rPr>
          <w:sz w:val="22"/>
        </w:rPr>
        <w:t xml:space="preserve">Apply secure-by-design principles: no data storage, no network requests, no URL visits, and session-scoped memory only.</w:t>
      </w:r>
    </w:p>
    <w:p w14:paraId="0010001C" w14:textId="0010001D">
      <w:pPr>
        <w:pStyle w:val="Normal"/>
        <w:numPr>
          <w:ilvl w:val="0"/>
          <w:numId w:val="1"/>
        </w:numPr>
        <w:spacing w:after="240"/>
      </w:pPr>
      <w:r>
        <w:rPr>
          <w:sz w:val="22"/>
        </w:rPr>
        <w:t xml:space="preserve">Write a comprehensive test suite covering every detection rule, edge cases, input validation, and the CSV export feature.</w:t>
      </w:r>
    </w:p>
    <w:p w14:paraId="0010001E" w14:textId="0010001F">
      <w:pPr>
        <w:pStyle w:val="Heading1"/>
        <w:spacing w:after="120"/>
      </w:pPr>
      <w:r>
        <w:rPr>
          <w:b/>
          <w:sz w:val="32"/>
        </w:rPr>
        <w:t xml:space="preserve">3. Technology Stack</w:t>
      </w:r>
    </w:p>
    <w:tbl>
      <w:tblPr>
        <w:tblW w:w="5000" w:type="pct"/>
        <w:tblBorders>
          <w:top w:val="single" w:sz="4"/>
          <w:left w:val="single" w:sz="4"/>
          <w:bottom w:val="single" w:sz="4"/>
          <w:right w:val="single" w:sz="4"/>
          <w:insideH w:val="single" w:sz="4"/>
          <w:insideV w:val="single" w:sz="4"/>
        </w:tblBorders>
      </w:tblPr>
      <w:tblGrid>
        <w:gridCol w:w="2768"/>
        <w:gridCol w:w="2768"/>
        <w:gridCol w:w="2768"/>
      </w:tblGrid>
      <w:tr>
        <w:trPr>
          <w:tblHeader/>
        </w:trPr>
        <w:tc>
          <w:p w14:paraId="00100020" w14:textId="00100021">
            <w:r>
              <w:t xml:space="preserve">Component</w:t>
            </w:r>
          </w:p>
        </w:tc>
        <w:tc>
          <w:p w14:paraId="00100022" w14:textId="00100023">
            <w:r>
              <w:t xml:space="preserve">Technology</w:t>
            </w:r>
          </w:p>
        </w:tc>
        <w:tc>
          <w:p w14:paraId="00100024" w14:textId="00100025">
            <w:r>
              <w:t xml:space="preserve">Purpose</w:t>
            </w:r>
          </w:p>
        </w:tc>
      </w:tr>
      <w:tr>
        <w:trPr/>
        <w:tc>
          <w:p w14:paraId="00100026" w14:textId="00100027">
            <w:r>
              <w:t xml:space="preserve">Language</w:t>
            </w:r>
          </w:p>
        </w:tc>
        <w:tc>
          <w:p w14:paraId="00100028" w14:textId="00100029">
            <w:r>
              <w:t xml:space="preserve">Python 3.10+</w:t>
            </w:r>
          </w:p>
        </w:tc>
        <w:tc>
          <w:p w14:paraId="0010002A" w14:textId="0010002B">
            <w:r>
              <w:t xml:space="preserve">Core implementation and test suite</w:t>
            </w:r>
          </w:p>
        </w:tc>
      </w:tr>
      <w:tr>
        <w:trPr/>
        <w:tc>
          <w:p w14:paraId="0010002C" w14:textId="0010002D">
            <w:r>
              <w:t xml:space="preserve">UI Framework</w:t>
            </w:r>
          </w:p>
        </w:tc>
        <w:tc>
          <w:p w14:paraId="0010002E" w14:textId="0010002F">
            <w:r>
              <w:t xml:space="preserve">Streamlit</w:t>
            </w:r>
          </w:p>
        </w:tc>
        <w:tc>
          <w:p w14:paraId="00100030" w14:textId="00100031">
            <w:r>
              <w:t xml:space="preserve">Web interface, session state, charts</w:t>
            </w:r>
          </w:p>
        </w:tc>
      </w:tr>
      <w:tr>
        <w:trPr/>
        <w:tc>
          <w:p w14:paraId="00100032" w14:textId="00100033">
            <w:r>
              <w:t xml:space="preserve">Data library</w:t>
            </w:r>
          </w:p>
        </w:tc>
        <w:tc>
          <w:p w14:paraId="00100034" w14:textId="00100035">
            <w:r>
              <w:t xml:space="preserve">pandas</w:t>
            </w:r>
          </w:p>
        </w:tc>
        <w:tc>
          <w:p w14:paraId="00100036" w14:textId="00100037">
            <w:r>
              <w:t xml:space="preserve">Session history DataFrame, CSV export</w:t>
            </w:r>
          </w:p>
        </w:tc>
      </w:tr>
      <w:tr>
        <w:trPr/>
        <w:tc>
          <w:p w14:paraId="00100038" w14:textId="00100039">
            <w:r>
              <w:t xml:space="preserve">Test framework</w:t>
            </w:r>
          </w:p>
        </w:tc>
        <w:tc>
          <w:p w14:paraId="0010003A" w14:textId="0010003B">
            <w:r>
              <w:t xml:space="preserve">unittest (stdlib)</w:t>
            </w:r>
          </w:p>
        </w:tc>
        <w:tc>
          <w:p w14:paraId="0010003C" w14:textId="0010003D">
            <w:r>
              <w:t xml:space="preserve">88 deterministic tests; hypothesis optional for property-based tests</w:t>
            </w:r>
          </w:p>
        </w:tc>
      </w:tr>
    </w:tbl>
    <w:p w14:paraId="0010003E" w14:textId="0010003F">
      <w:pPr>
        <w:pStyle w:val="Normal"/>
        <w:spacing w:after="240"/>
      </w:pPr>
      <w:r>
        <w:rPr>
          <w:sz w:val="22"/>
        </w:rPr>
        <w:t xml:space="preserve">No external APIs, cloud services, machine learning models, or database servers are used. The only runtime dependencies are Streamlit and pandas.</w:t>
      </w:r>
    </w:p>
    <w:p w14:paraId="00100040" w14:textId="00100041">
      <w:pPr>
        <w:pStyle w:val="Heading1"/>
        <w:spacing w:after="120"/>
      </w:pPr>
      <w:r>
        <w:rPr>
          <w:b/>
          <w:sz w:val="32"/>
        </w:rPr>
        <w:t xml:space="preserve">4. Architecture</w:t>
      </w:r>
    </w:p>
    <w:p w14:paraId="00100042" w14:textId="00100043">
      <w:pPr>
        <w:pStyle w:val="Normal"/>
        <w:spacing w:after="80"/>
      </w:pPr>
      <w:r>
        <w:rPr>
          <w:sz w:val="22"/>
        </w:rPr>
        <w:t xml:space="preserve">The application is organised across three files divided into two clearly separated layers:</w:t>
      </w:r>
    </w:p>
    <w:p w14:paraId="00100044" w14:textId="00100045">
      <w:pPr>
        <w:pStyle w:val="Normal"/>
        <w:numPr>
          <w:ilvl w:val="0"/>
          <w:numId w:val="2"/>
        </w:numPr>
        <w:spacing w:after="60"/>
      </w:pPr>
      <w:r>
        <w:rPr>
          <w:sz w:val="22"/>
        </w:rPr>
        <w:t xml:space="preserve">Detection Engine (engine.py, 779 lines): pure Python functions with no Streamlit dependency. Contains all pre-processing helpers, six detection rule functions, the risk scorer, the input validator, the .eml parser, and the CSV export helper. This layer is fully testable without a browser.</w:t>
      </w:r>
    </w:p>
    <w:p w14:paraId="00100046" w14:textId="00100047">
      <w:pPr>
        <w:pStyle w:val="Normal"/>
        <w:numPr>
          <w:ilvl w:val="0"/>
          <w:numId w:val="2"/>
        </w:numPr>
        <w:spacing w:after="60"/>
      </w:pPr>
      <w:r>
        <w:rPr>
          <w:sz w:val="22"/>
        </w:rPr>
        <w:t xml:space="preserve">Streamlit UI Layer (app.py, 419 lines): reads from the engine, manages session state, and renders the Manual, .eml Upload, and Bulk CSV tabs — including the input form, risk banner, indicator cards, bar charts, session history table, and CSV download button.</w:t>
      </w:r>
    </w:p>
    <w:p w14:paraId="00100048" w14:textId="00100049">
      <w:pPr>
        <w:pStyle w:val="Normal"/>
        <w:numPr>
          <w:ilvl w:val="0"/>
          <w:numId w:val="2"/>
        </w:numPr>
        <w:spacing w:after="120"/>
      </w:pPr>
      <w:r>
        <w:rPr>
          <w:sz w:val="22"/>
        </w:rPr>
        <w:t xml:space="preserve">Test Suite (tests.py, 660 lines): 88 tests across 14 test classes, importing engine.py directly. Runs in under one second without a browser or server.</w:t>
      </w:r>
    </w:p>
    <w:p w14:paraId="0010004A" w14:textId="0010004B">
      <w:pPr>
        <w:pStyle w:val="Normal"/>
        <w:spacing w:after="240"/>
      </w:pPr>
      <w:r>
        <w:rPr>
          <w:sz w:val="22"/>
        </w:rPr>
        <w:t xml:space="preserve">Data Flow: User Input / .eml File / Bulk CSV → Pre-processing (HTML strip, address parse) → Input Validator → Detection Engine (6 rules) → Risk Scorer (weights + co-occurrence bonus + cap) → Results Panel + Session Dashboard</w:t>
      </w:r>
    </w:p>
    <w:p w14:paraId="0010004C" w14:textId="0010004D">
      <w:pPr>
        <w:pStyle w:val="Heading1"/>
        <w:spacing w:after="120"/>
      </w:pPr>
      <w:r>
        <w:rPr>
          <w:b/>
          <w:sz w:val="32"/>
        </w:rPr>
        <w:t xml:space="preserve">5. Detection Logic and Scoring</w:t>
      </w:r>
    </w:p>
    <w:p w14:paraId="0010004E" w14:textId="0010004F">
      <w:pPr>
        <w:pStyle w:val="Heading2"/>
        <w:spacing w:after="80"/>
      </w:pPr>
      <w:r>
        <w:rPr>
          <w:b/>
          <w:sz w:val="26"/>
        </w:rPr>
        <w:t xml:space="preserve">5.1 Pre-processing</w:t>
      </w:r>
    </w:p>
    <w:p w14:paraId="00100050" w14:textId="00100051">
      <w:pPr>
        <w:pStyle w:val="Normal"/>
        <w:spacing w:after="160"/>
      </w:pPr>
      <w:r>
        <w:rPr>
          <w:sz w:val="22"/>
        </w:rPr>
        <w:t xml:space="preserve">Before any rule runs, two transformations are applied to prevent evasion: (1) HTML tag stripping and entity decoding via _strip_html() — prevents hiding keywords in HTML tags like &lt;b&gt;URGENT&lt;/b&gt; or encoded as &amp;#85;RGENT; (2) display-name address extraction via _extract_address() — parses the real sending address from "Name" &lt;addr@domain&gt; format so rules operate on the actual domain, not the display name.</w:t>
      </w:r>
    </w:p>
    <w:p w14:paraId="00100052" w14:textId="00100053">
      <w:pPr>
        <w:pStyle w:val="Heading2"/>
        <w:spacing w:after="80"/>
      </w:pPr>
      <w:r>
        <w:rPr>
          <w:b/>
          <w:sz w:val="26"/>
        </w:rPr>
        <w:t xml:space="preserve">5.2 Detection Rules</w:t>
      </w:r>
    </w:p>
    <w:tbl>
      <w:tblPr>
        <w:tblW w:w="5000" w:type="pct"/>
        <w:tblBorders>
          <w:top w:val="single" w:sz="4"/>
          <w:left w:val="single" w:sz="4"/>
          <w:bottom w:val="single" w:sz="4"/>
          <w:right w:val="single" w:sz="4"/>
          <w:insideH w:val="single" w:sz="4"/>
          <w:insideV w:val="single" w:sz="4"/>
        </w:tblBorders>
      </w:tblPr>
      <w:tblGrid>
        <w:gridCol w:w="2076"/>
        <w:gridCol w:w="2076"/>
        <w:gridCol w:w="2076"/>
        <w:gridCol w:w="2076"/>
      </w:tblGrid>
      <w:tr>
        <w:trPr>
          <w:tblHeader/>
        </w:trPr>
        <w:tc>
          <w:p w14:paraId="00100054" w14:textId="00100055">
            <w:r>
              <w:t xml:space="preserve">Rule</w:t>
            </w:r>
          </w:p>
        </w:tc>
        <w:tc>
          <w:p w14:paraId="00100056" w14:textId="00100057">
            <w:r>
              <w:t xml:space="preserve">Max Weight</w:t>
            </w:r>
          </w:p>
        </w:tc>
        <w:tc>
          <w:p w14:paraId="00100058" w14:textId="00100059">
            <w:r>
              <w:t xml:space="preserve">Scaling</w:t>
            </w:r>
          </w:p>
        </w:tc>
        <w:tc>
          <w:p w14:paraId="0010005A" w14:textId="0010005B">
            <w:r>
              <w:t xml:space="preserve">Rationale</w:t>
            </w:r>
          </w:p>
        </w:tc>
      </w:tr>
      <w:tr>
        <w:trPr/>
        <w:tc>
          <w:p w14:paraId="0010005C" w14:textId="0010005D">
            <w:r>
              <w:t xml:space="preserve">1 — Urgency Language</w:t>
            </w:r>
          </w:p>
        </w:tc>
        <w:tc>
          <w:p w14:paraId="0010005E" w14:textId="0010005F">
            <w:r>
              <w:t xml:space="preserve">20 pts</w:t>
            </w:r>
          </w:p>
        </w:tc>
        <w:tc>
          <w:p w14:paraId="00100060" w14:textId="00100061">
            <w:r>
              <w:t xml:space="preserve">1 match=10, 2=15, 3+=20</w:t>
            </w:r>
          </w:p>
        </w:tc>
        <w:tc>
          <w:p w14:paraId="00100062" w14:textId="00100063">
            <w:r>
              <w:t xml:space="preserve">Fear and deadline language is the primary social-engineering vector in phishing</w:t>
            </w:r>
          </w:p>
        </w:tc>
      </w:tr>
      <w:tr>
        <w:trPr/>
        <w:tc>
          <w:p w14:paraId="00100064" w14:textId="00100065">
            <w:r>
              <w:t xml:space="preserve">2 — Credential Request</w:t>
            </w:r>
          </w:p>
        </w:tc>
        <w:tc>
          <w:p w14:paraId="00100066" w14:textId="00100067">
            <w:r>
              <w:t xml:space="preserve">30 pts</w:t>
            </w:r>
          </w:p>
        </w:tc>
        <w:tc>
          <w:p w14:paraId="00100068" w14:textId="00100069">
            <w:r>
              <w:t xml:space="preserve">1 match=20, 2+=30</w:t>
            </w:r>
          </w:p>
        </w:tc>
        <w:tc>
          <w:p w14:paraId="0010006A" w14:textId="0010006B">
            <w:r>
              <w:t xml:space="preserve">Legitimate services never ask for passwords or full card numbers by email</w:t>
            </w:r>
          </w:p>
        </w:tc>
      </w:tr>
      <w:tr>
        <w:trPr/>
        <w:tc>
          <w:p w14:paraId="0010006C" w14:textId="0010006D">
            <w:r>
              <w:t xml:space="preserve">3 — Suspicious URL</w:t>
            </w:r>
          </w:p>
        </w:tc>
        <w:tc>
          <w:p w14:paraId="0010006E" w14:textId="0010006F">
            <w:r>
              <w:t xml:space="preserve">25 pts</w:t>
            </w:r>
          </w:p>
        </w:tc>
        <w:tc>
          <w:p w14:paraId="00100070" w14:textId="00100071">
            <w:r>
              <w:t xml:space="preserve">Fixed</w:t>
            </w:r>
          </w:p>
        </w:tc>
        <w:tc>
          <w:p w14:paraId="00100072" w14:textId="00100073">
            <w:r>
              <w:t xml:space="preserve">IP-literal addresses, URL shorteners, and encoded URLs hide the real destination</w:t>
            </w:r>
          </w:p>
        </w:tc>
      </w:tr>
      <w:tr>
        <w:trPr/>
        <w:tc>
          <w:p w14:paraId="00100074" w14:textId="00100075">
            <w:r>
              <w:t xml:space="preserve">4 — Sender Inconsistency</w:t>
            </w:r>
          </w:p>
        </w:tc>
        <w:tc>
          <w:p w14:paraId="00100076" w14:textId="00100077">
            <w:r>
              <w:t xml:space="preserve">25 pts</w:t>
            </w:r>
          </w:p>
        </w:tc>
        <w:tc>
          <w:p w14:paraId="00100078" w14:textId="00100079">
            <w:r>
              <w:t xml:space="preserve">Fixed</w:t>
            </w:r>
          </w:p>
        </w:tc>
        <w:tc>
          <w:p w14:paraId="0010007A" w14:textId="0010007B">
            <w:r>
              <w:t xml:space="preserve">Leet-normalised domain checked against 24 known brand names for impersonation</w:t>
            </w:r>
          </w:p>
        </w:tc>
      </w:tr>
      <w:tr>
        <w:trPr/>
        <w:tc>
          <w:p w14:paraId="0010007C" w14:textId="0010007D">
            <w:r>
              <w:t xml:space="preserve">5 — Sensitive PII Request</w:t>
            </w:r>
          </w:p>
        </w:tc>
        <w:tc>
          <w:p w14:paraId="0010007E" w14:textId="0010007F">
            <w:r>
              <w:t xml:space="preserve">15 pts</w:t>
            </w:r>
          </w:p>
        </w:tc>
        <w:tc>
          <w:p w14:paraId="00100080" w14:textId="00100081">
            <w:r>
              <w:t xml:space="preserve">1 match=10, 2+=15</w:t>
            </w:r>
          </w:p>
        </w:tc>
        <w:tc>
          <w:p w14:paraId="00100082" w14:textId="00100083">
            <w:r>
              <w:t xml:space="preserve">Requesting SSN, bank account, or passport indicates identity-fraud intent</w:t>
            </w:r>
          </w:p>
        </w:tc>
      </w:tr>
      <w:tr>
        <w:trPr/>
        <w:tc>
          <w:p w14:paraId="00100084" w14:textId="00100085">
            <w:r>
              <w:t xml:space="preserve">6 — Anchor Text Mismatch</w:t>
            </w:r>
          </w:p>
        </w:tc>
        <w:tc>
          <w:p w14:paraId="00100086" w14:textId="00100087">
            <w:r>
              <w:t xml:space="preserve">20 pts</w:t>
            </w:r>
          </w:p>
        </w:tc>
        <w:tc>
          <w:p w14:paraId="00100088" w14:textId="00100089">
            <w:r>
              <w:t xml:space="preserve">Fixed</w:t>
            </w:r>
          </w:p>
        </w:tc>
        <w:tc>
          <w:p w14:paraId="0010008A" w14:textId="0010008B">
            <w:r>
              <w:t xml:space="preserve">Visible link text shows a trusted domain while href points elsewhere — classic deception</w:t>
            </w:r>
          </w:p>
        </w:tc>
      </w:tr>
    </w:tbl>
    <w:p w14:paraId="0010008C" w14:textId="0010008D">
      <w:pPr>
        <w:pStyle w:val="Normal"/>
        <w:spacing w:after="160"/>
      </w:pPr>
      <w:r>
        <w:rPr>
          <w:sz w:val="22"/>
        </w:rPr>
        <w:t xml:space="preserve">Co-occurrence Bonus: +10 pts when 3 or more distinct rules fire on the same email. This reflects the compounding probability when multiple independent signals appear together.</w:t>
      </w:r>
    </w:p>
    <w:p w14:paraId="0010008E" w14:textId="0010008F">
      <w:pPr>
        <w:pStyle w:val="Heading2"/>
        <w:spacing w:after="80"/>
      </w:pPr>
      <w:r>
        <w:rPr>
          <w:b/>
          <w:sz w:val="26"/>
        </w:rPr>
        <w:t xml:space="preserve">5.3 Classification Thresholds</w:t>
      </w:r>
    </w:p>
    <w:tbl>
      <w:tblPr>
        <w:tblW w:w="5000" w:type="pct"/>
        <w:tblBorders>
          <w:top w:val="single" w:sz="4"/>
          <w:left w:val="single" w:sz="4"/>
          <w:bottom w:val="single" w:sz="4"/>
          <w:right w:val="single" w:sz="4"/>
          <w:insideH w:val="single" w:sz="4"/>
          <w:insideV w:val="single" w:sz="4"/>
        </w:tblBorders>
      </w:tblPr>
      <w:tblGrid>
        <w:gridCol w:w="2768"/>
        <w:gridCol w:w="2768"/>
        <w:gridCol w:w="2768"/>
      </w:tblGrid>
      <w:tr>
        <w:trPr>
          <w:tblHeader/>
        </w:trPr>
        <w:tc>
          <w:p w14:paraId="00100090" w14:textId="00100091">
            <w:r>
              <w:t xml:space="preserve">Risk Level</w:t>
            </w:r>
          </w:p>
        </w:tc>
        <w:tc>
          <w:p w14:paraId="00100092" w14:textId="00100093">
            <w:r>
              <w:t xml:space="preserve">Score Range</w:t>
            </w:r>
          </w:p>
        </w:tc>
        <w:tc>
          <w:p w14:paraId="00100094" w14:textId="00100095">
            <w:r>
              <w:t xml:space="preserve">Interpretation</w:t>
            </w:r>
          </w:p>
        </w:tc>
      </w:tr>
      <w:tr>
        <w:trPr/>
        <w:tc>
          <w:p w14:paraId="00100096" w14:textId="00100097">
            <w:r>
              <w:t xml:space="preserve">Low</w:t>
            </w:r>
          </w:p>
        </w:tc>
        <w:tc>
          <w:p w14:paraId="00100098" w14:textId="00100099">
            <w:r>
              <w:t xml:space="preserve">0 – 29</w:t>
            </w:r>
          </w:p>
        </w:tc>
        <w:tc>
          <w:p w14:paraId="0010009A" w14:textId="0010009B">
            <w:r>
              <w:t xml:space="preserve">No significant indicators detected; treat with normal caution</w:t>
            </w:r>
          </w:p>
        </w:tc>
      </w:tr>
      <w:tr>
        <w:trPr/>
        <w:tc>
          <w:p w14:paraId="0010009C" w14:textId="0010009D">
            <w:r>
              <w:t xml:space="preserve">Medium</w:t>
            </w:r>
          </w:p>
        </w:tc>
        <w:tc>
          <w:p w14:paraId="0010009E" w14:textId="0010009F">
            <w:r>
              <w:t xml:space="preserve">30 – 59</w:t>
            </w:r>
          </w:p>
        </w:tc>
        <w:tc>
          <w:p w14:paraId="001000A0" w14:textId="001000A1">
            <w:r>
              <w:t xml:space="preserve">One or two indicators present; verify sender and links before acting</w:t>
            </w:r>
          </w:p>
        </w:tc>
      </w:tr>
      <w:tr>
        <w:trPr/>
        <w:tc>
          <w:p w14:paraId="001000A2" w14:textId="001000A3">
            <w:r>
              <w:t xml:space="preserve">High</w:t>
            </w:r>
          </w:p>
        </w:tc>
        <w:tc>
          <w:p w14:paraId="001000A4" w14:textId="001000A5">
            <w:r>
              <w:t xml:space="preserve">60 – 100</w:t>
            </w:r>
          </w:p>
        </w:tc>
        <w:tc>
          <w:p w14:paraId="001000A6" w14:textId="001000A7">
            <w:r>
              <w:t xml:space="preserve">Multiple strong indicators; do not click links or provide information</w:t>
            </w:r>
          </w:p>
        </w:tc>
      </w:tr>
    </w:tbl>
    <w:p w14:paraId="001000A8" w14:textId="001000A9">
      <w:pPr>
        <w:pStyle w:val="Normal"/>
        <w:spacing w:after="240"/>
      </w:pPr>
      <w:r>
        <w:rPr>
          <w:sz w:val="22"/>
        </w:rPr>
        <w:t xml:space="preserve">Scores are additive and capped at 100. No single indicator is treated as definitive proof of phishing.</w:t>
      </w:r>
    </w:p>
    <w:p w14:paraId="001000AA" w14:textId="001000AB">
      <w:pPr>
        <w:pStyle w:val="Heading1"/>
        <w:spacing w:after="120"/>
      </w:pPr>
      <w:r>
        <w:rPr>
          <w:b/>
          <w:sz w:val="32"/>
        </w:rPr>
        <w:t xml:space="preserve">6. Sample Emails</w:t>
      </w:r>
    </w:p>
    <w:p w14:paraId="001000AC" w14:textId="001000AD">
      <w:pPr>
        <w:pStyle w:val="Normal"/>
        <w:spacing w:after="80"/>
      </w:pPr>
      <w:r>
        <w:rPr>
          <w:sz w:val="22"/>
        </w:rPr>
        <w:t xml:space="preserve">Five fictional demonstration emails are bundled with the application to illustrate detection across all risk levels:</w:t>
      </w:r>
    </w:p>
    <w:tbl>
      <w:tblPr>
        <w:tblW w:w="5000" w:type="pct"/>
        <w:tblBorders>
          <w:top w:val="single" w:sz="4"/>
          <w:left w:val="single" w:sz="4"/>
          <w:bottom w:val="single" w:sz="4"/>
          <w:right w:val="single" w:sz="4"/>
          <w:insideH w:val="single" w:sz="4"/>
          <w:insideV w:val="single" w:sz="4"/>
        </w:tblBorders>
      </w:tblPr>
      <w:tblGrid>
        <w:gridCol w:w="2076"/>
        <w:gridCol w:w="2076"/>
        <w:gridCol w:w="2076"/>
        <w:gridCol w:w="2076"/>
      </w:tblGrid>
      <w:tr>
        <w:trPr>
          <w:tblHeader/>
        </w:trPr>
        <w:tc>
          <w:p w14:paraId="001000AE" w14:textId="001000AF">
            <w:r>
              <w:t xml:space="preserve">Sample</w:t>
            </w:r>
          </w:p>
        </w:tc>
        <w:tc>
          <w:p w14:paraId="001000B0" w14:textId="001000B1">
            <w:r>
              <w:t xml:space="preserve">Expected Score</w:t>
            </w:r>
          </w:p>
        </w:tc>
        <w:tc>
          <w:p w14:paraId="001000B2" w14:textId="001000B3">
            <w:r>
              <w:t xml:space="preserve">Risk Level</w:t>
            </w:r>
          </w:p>
        </w:tc>
        <w:tc>
          <w:p w14:paraId="001000B4" w14:textId="001000B5">
            <w:r>
              <w:t xml:space="preserve">Key Indicators Triggered</w:t>
            </w:r>
          </w:p>
        </w:tc>
      </w:tr>
      <w:tr>
        <w:trPr/>
        <w:tc>
          <w:p w14:paraId="001000B6" w14:textId="001000B7">
            <w:r>
              <w:t xml:space="preserve">A — Credential Harvest</w:t>
            </w:r>
          </w:p>
        </w:tc>
        <w:tc>
          <w:p w14:paraId="001000B8" w14:textId="001000B9">
            <w:r>
              <w:t xml:space="preserve">≥ 75 / 100</w:t>
            </w:r>
          </w:p>
        </w:tc>
        <w:tc>
          <w:p w14:paraId="001000BA" w14:textId="001000BB">
            <w:r>
              <w:t xml:space="preserve">High</w:t>
            </w:r>
          </w:p>
        </w:tc>
        <w:tc>
          <w:p w14:paraId="001000BC" w14:textId="001000BD">
            <w:r>
              <w:t xml:space="preserve">Urgency, credential request, IP-literal URL, brand impersonation (PayPal leet domain), co-occurrence bonus</w:t>
            </w:r>
          </w:p>
        </w:tc>
      </w:tr>
      <w:tr>
        <w:trPr/>
        <w:tc>
          <w:p w14:paraId="001000BE" w14:textId="001000BF">
            <w:r>
              <w:t xml:space="preserve">B — Suspicious Link</w:t>
            </w:r>
          </w:p>
        </w:tc>
        <w:tc>
          <w:p w14:paraId="001000C0" w14:textId="001000C1">
            <w:r>
              <w:t xml:space="preserve">≥ 30 / 100</w:t>
            </w:r>
          </w:p>
        </w:tc>
        <w:tc>
          <w:p w14:paraId="001000C2" w14:textId="001000C3">
            <w:r>
              <w:t xml:space="preserve">Medium</w:t>
            </w:r>
          </w:p>
        </w:tc>
        <w:tc>
          <w:p w14:paraId="001000C4" w14:textId="001000C5">
            <w:r>
              <w:t xml:space="preserve">URL shortener (bit.ly), urgency language</w:t>
            </w:r>
          </w:p>
        </w:tc>
      </w:tr>
      <w:tr>
        <w:trPr/>
        <w:tc>
          <w:p w14:paraId="001000C6" w14:textId="001000C7">
            <w:r>
              <w:t xml:space="preserve">C — Legitimate Internal</w:t>
            </w:r>
          </w:p>
        </w:tc>
        <w:tc>
          <w:p w14:paraId="001000C8" w14:textId="001000C9">
            <w:r>
              <w:t xml:space="preserve">0 / 100</w:t>
            </w:r>
          </w:p>
        </w:tc>
        <w:tc>
          <w:p w14:paraId="001000CA" w14:textId="001000CB">
            <w:r>
              <w:t xml:space="preserve">Low</w:t>
            </w:r>
          </w:p>
        </w:tc>
        <w:tc>
          <w:p w14:paraId="001000CC" w14:textId="001000CD">
            <w:r>
              <w:t xml:space="preserve">No indicators — baseline clean email</w:t>
            </w:r>
          </w:p>
        </w:tc>
      </w:tr>
      <w:tr>
        <w:trPr/>
        <w:tc>
          <w:p w14:paraId="001000CE" w14:textId="001000CF">
            <w:r>
              <w:t xml:space="preserve">D — Display-Name Spoof</w:t>
            </w:r>
          </w:p>
        </w:tc>
        <w:tc>
          <w:p w14:paraId="001000D0" w14:textId="001000D1">
            <w:r>
              <w:t xml:space="preserve">≥ 55 / 100</w:t>
            </w:r>
          </w:p>
        </w:tc>
        <w:tc>
          <w:p w14:paraId="001000D2" w14:textId="001000D3">
            <w:r>
              <w:t xml:space="preserve">Medium–High</w:t>
            </w:r>
          </w:p>
        </w:tc>
        <w:tc>
          <w:p w14:paraId="001000D4" w14:textId="001000D5">
            <w:r>
              <w:t xml:space="preserve">Display-name spoof (FedEx), PII request, URL shortener (tinyurl)</w:t>
            </w:r>
          </w:p>
        </w:tc>
      </w:tr>
      <w:tr>
        <w:trPr/>
        <w:tc>
          <w:p w14:paraId="001000D6" w14:textId="001000D7">
            <w:r>
              <w:t xml:space="preserve">E — Anchor Text Mismatch</w:t>
            </w:r>
          </w:p>
        </w:tc>
        <w:tc>
          <w:p w14:paraId="001000D8" w14:textId="001000D9">
            <w:r>
              <w:t xml:space="preserve">≥ 65 / 100</w:t>
            </w:r>
          </w:p>
        </w:tc>
        <w:tc>
          <w:p w14:paraId="001000DA" w14:textId="001000DB">
            <w:r>
              <w:t xml:space="preserve">High</w:t>
            </w:r>
          </w:p>
        </w:tc>
        <w:tc>
          <w:p w14:paraId="001000DC" w14:textId="001000DD">
            <w:r>
              <w:t xml:space="preserve">Anchor-text mismatch (paypal.com visible / IP href), brand impersonation, urgency</w:t>
            </w:r>
          </w:p>
        </w:tc>
      </w:tr>
    </w:tbl>
    <w:p w14:paraId="001000DE" w14:textId="001000DF">
      <w:pPr>
        <w:pStyle w:val="Heading1"/>
        <w:spacing w:after="120"/>
      </w:pPr>
      <w:r>
        <w:rPr>
          <w:b/>
          <w:sz w:val="32"/>
        </w:rPr>
        <w:t xml:space="preserve">7. Implementation Highlights</w:t>
      </w:r>
    </w:p>
    <w:p w14:paraId="001000E0" w14:textId="001000E1">
      <w:pPr>
        <w:pStyle w:val="Normal"/>
        <w:numPr>
          <w:ilvl w:val="0"/>
          <w:numId w:val="3"/>
        </w:numPr>
        <w:spacing w:after="60"/>
      </w:pPr>
      <w:r>
        <w:rPr>
          <w:sz w:val="22"/>
        </w:rPr>
        <w:t xml:space="preserve">HTML evasion resistance: all text fields are stripped of HTML tags and decoded from HTML entities before analysis, preventing simple keyword-hiding attacks.</w:t>
      </w:r>
    </w:p>
    <w:p w14:paraId="001000E2" w14:textId="001000E3">
      <w:pPr>
        <w:pStyle w:val="Normal"/>
        <w:numPr>
          <w:ilvl w:val="0"/>
          <w:numId w:val="3"/>
        </w:numPr>
        <w:spacing w:after="60"/>
      </w:pPr>
      <w:r>
        <w:rPr>
          <w:sz w:val="22"/>
        </w:rPr>
        <w:t xml:space="preserve">Display-name spoof detection: the sender field is parsed to extract the real email address from "Display Name &lt;address&gt;" format, enabling detection of the most common real-world phishing technique.</w:t>
      </w:r>
    </w:p>
    <w:p w14:paraId="001000E4" w14:textId="001000E5">
      <w:pPr>
        <w:pStyle w:val="Normal"/>
        <w:numPr>
          <w:ilvl w:val="0"/>
          <w:numId w:val="3"/>
        </w:numPr>
        <w:spacing w:after="60"/>
      </w:pPr>
      <w:r>
        <w:rPr>
          <w:sz w:val="22"/>
        </w:rPr>
        <w:t xml:space="preserve">Leet normalisation: domain names are normalised (paypa1 → paypal, g00gle → google) using an explicit digit-to-letter map before brand-name matching.</w:t>
      </w:r>
    </w:p>
    <w:p w14:paraId="001000E6" w14:textId="001000E7">
      <w:pPr>
        <w:pStyle w:val="Normal"/>
        <w:numPr>
          <w:ilvl w:val="0"/>
          <w:numId w:val="3"/>
        </w:numPr>
        <w:spacing w:after="60"/>
      </w:pPr>
      <w:r>
        <w:rPr>
          <w:sz w:val="22"/>
        </w:rPr>
        <w:t xml:space="preserve">Anchor-text mismatch detection: HTML email bodies are parsed to extract all hyperlink (visible_text, href) pairs; a mismatch between a legitimate-looking anchor text and a suspicious href scores 20 pts.</w:t>
      </w:r>
    </w:p>
    <w:p w14:paraId="001000E8" w14:textId="001000E9">
      <w:pPr>
        <w:pStyle w:val="Normal"/>
        <w:numPr>
          <w:ilvl w:val="0"/>
          <w:numId w:val="3"/>
        </w:numPr>
        <w:spacing w:after="60"/>
      </w:pPr>
      <w:r>
        <w:rPr>
          <w:sz w:val="22"/>
        </w:rPr>
        <w:t xml:space="preserve">Proportional scoring: urgency and PII rules scale their weight by match density (1, 2, or 3+ matches) to reduce false positives from emails containing a single incidental keyword.</w:t>
      </w:r>
    </w:p>
    <w:p w14:paraId="001000EA" w14:textId="001000EB">
      <w:pPr>
        <w:pStyle w:val="Normal"/>
        <w:numPr>
          <w:ilvl w:val="0"/>
          <w:numId w:val="3"/>
        </w:numPr>
        <w:spacing w:after="60"/>
      </w:pPr>
      <w:r>
        <w:rPr>
          <w:sz w:val="22"/>
        </w:rPr>
        <w:t xml:space="preserve">Expanded brand coverage: 24 brands across tech, banking, couriers, and government agencies are tracked for sender impersonation.</w:t>
      </w:r>
    </w:p>
    <w:p w14:paraId="001000EC" w14:textId="001000ED">
      <w:pPr>
        <w:pStyle w:val="Normal"/>
        <w:numPr>
          <w:ilvl w:val="0"/>
          <w:numId w:val="3"/>
        </w:numPr>
        <w:spacing w:after="60"/>
      </w:pPr>
      <w:r>
        <w:rPr>
          <w:sz w:val="22"/>
        </w:rPr>
        <w:t xml:space="preserve">CSV export: every analysis result can be downloaded as a structured CSV report containing the score, risk level, all triggered indicators, and the co-occurrence bonus if applied.</w:t>
      </w:r>
    </w:p>
    <w:p w14:paraId="001000EE" w14:textId="001000EF">
      <w:pPr>
        <w:pStyle w:val="Normal"/>
        <w:numPr>
          <w:ilvl w:val="0"/>
          <w:numId w:val="3"/>
        </w:numPr>
        <w:spacing w:after="60"/>
      </w:pPr>
      <w:r>
        <w:rPr>
          <w:sz w:val="22"/>
        </w:rPr>
        <w:t xml:space="preserve">.eml upload: users can upload a raw RFC 2822 .eml file; the parser extracts sender, subject, and body automatically before analysis.</w:t>
      </w:r>
    </w:p>
    <w:p w14:paraId="001000F0" w14:textId="001000F1">
      <w:pPr>
        <w:pStyle w:val="Normal"/>
        <w:numPr>
          <w:ilvl w:val="0"/>
          <w:numId w:val="3"/>
        </w:numPr>
        <w:spacing w:after="60"/>
      </w:pPr>
      <w:r>
        <w:rPr>
          <w:sz w:val="22"/>
        </w:rPr>
        <w:t xml:space="preserve">Bulk CSV analysis: a CSV of multiple emails can be uploaded and scored in one session, with a downloadable results CSV.</w:t>
      </w:r>
    </w:p>
    <w:p w14:paraId="001000F2" w14:textId="001000F3">
      <w:pPr>
        <w:pStyle w:val="Normal"/>
        <w:numPr>
          <w:ilvl w:val="0"/>
          <w:numId w:val="3"/>
        </w:numPr>
        <w:spacing w:after="240"/>
      </w:pPr>
      <w:r>
        <w:rPr>
          <w:sz w:val="22"/>
        </w:rPr>
        <w:t xml:space="preserve">Session dashboard: cumulative metrics (total emails analysed, per-level counts, history table, distribution chart) are maintained in Streamlit session state and reset on page refresh — no persistence.</w:t>
      </w:r>
    </w:p>
    <w:p w14:paraId="001000F4" w14:textId="001000F5">
      <w:pPr>
        <w:pStyle w:val="Heading1"/>
        <w:spacing w:after="120"/>
      </w:pPr>
      <w:r>
        <w:rPr>
          <w:b/>
          <w:sz w:val="32"/>
        </w:rPr>
        <w:t xml:space="preserve">8. Testing</w:t>
      </w:r>
    </w:p>
    <w:p w14:paraId="001000F6" w14:textId="001000F7">
      <w:pPr>
        <w:pStyle w:val="Normal"/>
        <w:spacing w:after="120"/>
      </w:pPr>
      <w:r>
        <w:rPr>
          <w:sz w:val="22"/>
        </w:rPr>
        <w:t xml:space="preserve">The test suite (tests.py) uses Python's built-in unittest module — no external framework is required. Tests import engine.py directly, allowing the full detection engine to be exercised in under one second without a browser or server. An optional property-based test class uses the hypothesis library; it is automatically skipped if hypothesis is not installed.</w:t>
      </w:r>
    </w:p>
    <w:tbl>
      <w:tblPr>
        <w:tblW w:w="5000" w:type="pct"/>
        <w:tblBorders>
          <w:top w:val="single" w:sz="4"/>
          <w:left w:val="single" w:sz="4"/>
          <w:bottom w:val="single" w:sz="4"/>
          <w:right w:val="single" w:sz="4"/>
          <w:insideH w:val="single" w:sz="4"/>
          <w:insideV w:val="single" w:sz="4"/>
        </w:tblBorders>
      </w:tblPr>
      <w:tblGrid>
        <w:gridCol w:w="2768"/>
        <w:gridCol w:w="2768"/>
        <w:gridCol w:w="2768"/>
      </w:tblGrid>
      <w:tr>
        <w:trPr>
          <w:tblHeader/>
        </w:trPr>
        <w:tc>
          <w:p w14:paraId="001000F8" w14:textId="001000F9">
            <w:r>
              <w:t xml:space="preserve">Test Class</w:t>
            </w:r>
          </w:p>
        </w:tc>
        <w:tc>
          <w:p w14:paraId="001000FA" w14:textId="001000FB">
            <w:r>
              <w:t xml:space="preserve">Tests</w:t>
            </w:r>
          </w:p>
        </w:tc>
        <w:tc>
          <w:p w14:paraId="001000FC" w14:textId="001000FD">
            <w:r>
              <w:t xml:space="preserve">Coverage Focus</w:t>
            </w:r>
          </w:p>
        </w:tc>
      </w:tr>
      <w:tr>
        <w:trPr/>
        <w:tc>
          <w:p w14:paraId="001000FE" w14:textId="001000FF">
            <w:r>
              <w:t xml:space="preserve">TestHTMLStripper</w:t>
            </w:r>
          </w:p>
        </w:tc>
        <w:tc>
          <w:p w14:paraId="00100100" w14:textId="00100101">
            <w:r>
              <w:t xml:space="preserve">4</w:t>
            </w:r>
          </w:p>
        </w:tc>
        <w:tc>
          <w:p w14:paraId="00100102" w14:textId="00100103">
            <w:r>
              <w:t xml:space="preserve">Tag removal, entity decoding, empty string, no-op input</w:t>
            </w:r>
          </w:p>
        </w:tc>
      </w:tr>
      <w:tr>
        <w:trPr/>
        <w:tc>
          <w:p w14:paraId="00100104" w14:textId="00100105">
            <w:r>
              <w:t xml:space="preserve">TestAnchorExtractor</w:t>
            </w:r>
          </w:p>
        </w:tc>
        <w:tc>
          <w:p w14:paraId="00100106" w14:textId="00100107">
            <w:r>
              <w:t xml:space="preserve">5</w:t>
            </w:r>
          </w:p>
        </w:tc>
        <w:tc>
          <w:p w14:paraId="00100108" w14:textId="00100109">
            <w:r>
              <w:t xml:space="preserve">Single link, multiple links, no links, plain text, malformed HTML</w:t>
            </w:r>
          </w:p>
        </w:tc>
      </w:tr>
      <w:tr>
        <w:trPr/>
        <w:tc>
          <w:p w14:paraId="0010010A" w14:textId="0010010B">
            <w:r>
              <w:t xml:space="preserve">TestDisplayNameParser</w:t>
            </w:r>
          </w:p>
        </w:tc>
        <w:tc>
          <w:p w14:paraId="0010010C" w14:textId="0010010D">
            <w:r>
              <w:t xml:space="preserve">4</w:t>
            </w:r>
          </w:p>
        </w:tc>
        <w:tc>
          <w:p w14:paraId="0010010E" w14:textId="0010010F">
            <w:r>
              <w:t xml:space="preserve">Bare address, display-name format, angle-brackets only, empty string</w:t>
            </w:r>
          </w:p>
        </w:tc>
      </w:tr>
      <w:tr>
        <w:trPr/>
        <w:tc>
          <w:p w14:paraId="00100110" w14:textId="00100111">
            <w:r>
              <w:t xml:space="preserve">TestLeetNormaliser</w:t>
            </w:r>
          </w:p>
        </w:tc>
        <w:tc>
          <w:p w14:paraId="00100112" w14:textId="00100113">
            <w:r>
              <w:t xml:space="preserve">4</w:t>
            </w:r>
          </w:p>
        </w:tc>
        <w:tc>
          <w:p w14:paraId="00100114" w14:textId="00100115">
            <w:r>
              <w:t xml:space="preserve">paypa1→paypal, g00gle→google, mixed digits, clean domain untouched</w:t>
            </w:r>
          </w:p>
        </w:tc>
      </w:tr>
      <w:tr>
        <w:trPr/>
        <w:tc>
          <w:p w14:paraId="00100116" w14:textId="00100117">
            <w:r>
              <w:t xml:space="preserve">TestUrgencyRule</w:t>
            </w:r>
          </w:p>
        </w:tc>
        <w:tc>
          <w:p w14:paraId="00100118" w14:textId="00100119">
            <w:r>
              <w:t xml:space="preserve">8</w:t>
            </w:r>
          </w:p>
        </w:tc>
        <w:tc>
          <w:p w14:paraId="0010011A" w14:textId="0010011B">
            <w:r>
              <w:t xml:space="preserve">3-match high, 2-match medium, 1-match low, subject-only, body-only, HTML evasion, clean email, edge cases</w:t>
            </w:r>
          </w:p>
        </w:tc>
      </w:tr>
      <w:tr>
        <w:trPr/>
        <w:tc>
          <w:p w14:paraId="0010011C" w14:textId="0010011D">
            <w:r>
              <w:t xml:space="preserve">TestCredentialRule</w:t>
            </w:r>
          </w:p>
        </w:tc>
        <w:tc>
          <w:p w14:paraId="0010011E" w14:textId="0010011F">
            <w:r>
              <w:t xml:space="preserve">7</w:t>
            </w:r>
          </w:p>
        </w:tc>
        <w:tc>
          <w:p w14:paraId="00100120" w14:textId="00100121">
            <w:r>
              <w:t xml:space="preserve">Password, card number, 2-keyword max, subject line, clean, HTML evasion, case-insensitive</w:t>
            </w:r>
          </w:p>
        </w:tc>
      </w:tr>
      <w:tr>
        <w:trPr/>
        <w:tc>
          <w:p w14:paraId="00100122" w14:textId="00100123">
            <w:r>
              <w:t xml:space="preserve">TestSuspiciousURLRule</w:t>
            </w:r>
          </w:p>
        </w:tc>
        <w:tc>
          <w:p w14:paraId="00100124" w14:textId="00100125">
            <w:r>
              <w:t xml:space="preserve">9</w:t>
            </w:r>
          </w:p>
        </w:tc>
        <w:tc>
          <w:p w14:paraId="00100126" w14:textId="00100127">
            <w:r>
              <w:t xml:space="preserve">IP-literal, URL shortener, encoded URL, bit.ly, tinyurl, multiple, clean, subject URL, edge</w:t>
            </w:r>
          </w:p>
        </w:tc>
      </w:tr>
      <w:tr>
        <w:trPr/>
        <w:tc>
          <w:p w14:paraId="00100128" w14:textId="00100129">
            <w:r>
              <w:t xml:space="preserve">TestSenderInconsistencyRule</w:t>
            </w:r>
          </w:p>
        </w:tc>
        <w:tc>
          <w:p w14:paraId="0010012A" w14:textId="0010012B">
            <w:r>
              <w:t xml:space="preserve">8</w:t>
            </w:r>
          </w:p>
        </w:tc>
        <w:tc>
          <w:p w14:paraId="0010012C" w14:textId="0010012D">
            <w:r>
              <w:t xml:space="preserve">Leet domain match, display-name spoof, clean domain, .ru TLD, 24 brands, bare address, empty sender</w:t>
            </w:r>
          </w:p>
        </w:tc>
      </w:tr>
      <w:tr>
        <w:trPr/>
        <w:tc>
          <w:p w14:paraId="0010012E" w14:textId="0010012F">
            <w:r>
              <w:t xml:space="preserve">TestSensitiveInfoRule</w:t>
            </w:r>
          </w:p>
        </w:tc>
        <w:tc>
          <w:p w14:paraId="00100130" w14:textId="00100131">
            <w:r>
              <w:t xml:space="preserve">6</w:t>
            </w:r>
          </w:p>
        </w:tc>
        <w:tc>
          <w:p w14:paraId="00100132" w14:textId="00100133">
            <w:r>
              <w:t xml:space="preserve">SSN, bank account, passport, 2-keyword max, clean, HTML evasion</w:t>
            </w:r>
          </w:p>
        </w:tc>
      </w:tr>
      <w:tr>
        <w:trPr/>
        <w:tc>
          <w:p w14:paraId="00100134" w14:textId="00100135">
            <w:r>
              <w:t xml:space="preserve">TestAnchorMismatchRule</w:t>
            </w:r>
          </w:p>
        </w:tc>
        <w:tc>
          <w:p w14:paraId="00100136" w14:textId="00100137">
            <w:r>
              <w:t xml:space="preserve">7</w:t>
            </w:r>
          </w:p>
        </w:tc>
        <w:tc>
          <w:p w14:paraId="00100138" w14:textId="00100139">
            <w:r>
              <w:t xml:space="preserve">Mismatch detected, same URL no flag, no links, IP href, multiple links, plain text body, edge</w:t>
            </w:r>
          </w:p>
        </w:tc>
      </w:tr>
      <w:tr>
        <w:trPr/>
        <w:tc>
          <w:p w14:paraId="0010013A" w14:textId="0010013B">
            <w:r>
              <w:t xml:space="preserve">TestEmlParser</w:t>
            </w:r>
          </w:p>
        </w:tc>
        <w:tc>
          <w:p w14:paraId="0010013C" w14:textId="0010013D">
            <w:r>
              <w:t xml:space="preserve">5</w:t>
            </w:r>
          </w:p>
        </w:tc>
        <w:tc>
          <w:p w14:paraId="0010013E" w14:textId="0010013F">
            <w:r>
              <w:t xml:space="preserve">Valid .eml parse, missing header graceful, multipart body, malformed bytes, empty file</w:t>
            </w:r>
          </w:p>
        </w:tc>
      </w:tr>
      <w:tr>
        <w:trPr/>
        <w:tc>
          <w:p w14:paraId="00100140" w14:textId="00100141">
            <w:r>
              <w:t xml:space="preserve">TestAnalyzeEmail</w:t>
            </w:r>
          </w:p>
        </w:tc>
        <w:tc>
          <w:p w14:paraId="00100142" w14:textId="00100143">
            <w:r>
              <w:t xml:space="preserve">9</w:t>
            </w:r>
          </w:p>
        </w:tc>
        <w:tc>
          <w:p w14:paraId="00100144" w14:textId="00100145">
            <w:r>
              <w:t xml:space="preserve">Full pipeline: high/medium/low scores, co-occurrence bonus, cap at 100, HTML email, clean email</w:t>
            </w:r>
          </w:p>
        </w:tc>
      </w:tr>
      <w:tr>
        <w:trPr/>
        <w:tc>
          <w:p w14:paraId="00100146" w14:textId="00100147">
            <w:r>
              <w:t xml:space="preserve">TestValidateInputs</w:t>
            </w:r>
          </w:p>
        </w:tc>
        <w:tc>
          <w:p w14:paraId="00100148" w14:textId="00100149">
            <w:r>
              <w:t xml:space="preserve">2</w:t>
            </w:r>
          </w:p>
        </w:tc>
        <w:tc>
          <w:p w14:paraId="0010014A" w14:textId="0010014B">
            <w:r>
              <w:t xml:space="preserve">Valid inputs pass, multiple errors reported together</w:t>
            </w:r>
          </w:p>
        </w:tc>
      </w:tr>
      <w:tr>
        <w:trPr/>
        <w:tc>
          <w:p w14:paraId="0010014C" w14:textId="0010014D">
            <w:r>
              <w:t xml:space="preserve">TestCSVReport</w:t>
            </w:r>
          </w:p>
        </w:tc>
        <w:tc>
          <w:p w14:paraId="0010014E" w14:textId="0010014F">
            <w:r>
              <w:t xml:space="preserve">4</w:t>
            </w:r>
          </w:p>
        </w:tc>
        <w:tc>
          <w:p w14:paraId="00100150" w14:textId="00100151">
            <w:r>
              <w:t xml:space="preserve">All fields present, co-occurrence row included, clean result no-bonus row, CSV parseable</w:t>
            </w:r>
          </w:p>
        </w:tc>
      </w:tr>
      <w:tr>
        <w:trPr/>
        <w:tc>
          <w:p w14:paraId="00100152" w14:textId="00100153">
            <w:r>
              <w:t xml:space="preserve">TestPropertyBased (optional)</w:t>
            </w:r>
          </w:p>
        </w:tc>
        <w:tc>
          <w:p w14:paraId="00100154" w14:textId="00100155">
            <w:r>
              <w:t xml:space="preserve">1 (skipped)</w:t>
            </w:r>
          </w:p>
        </w:tc>
        <w:tc>
          <w:p w14:paraId="00100156" w14:textId="00100157">
            <w:r>
              <w:t xml:space="preserve">hypothesis: score always 0–100, risk level always valid string</w:t>
            </w:r>
          </w:p>
        </w:tc>
      </w:tr>
    </w:tbl>
    <w:p w14:paraId="00100158" w14:textId="00100159">
      <w:pPr>
        <w:pStyle w:val="Normal"/>
        <w:spacing w:after="240"/>
      </w:pPr>
      <w:r>
        <w:rPr>
          <w:sz w:val="22"/>
        </w:rPr>
        <w:t xml:space="preserve">Total: 88 tests — 87 pass, 1 skipped (hypothesis optional). Run with: python3 tests.py</w:t>
      </w:r>
    </w:p>
    <w:p w14:paraId="0010015A" w14:textId="0010015B">
      <w:pPr>
        <w:pStyle w:val="Heading1"/>
        <w:spacing w:after="120"/>
      </w:pPr>
      <w:r>
        <w:rPr>
          <w:b/>
          <w:sz w:val="32"/>
        </w:rPr>
        <w:t xml:space="preserve">9. Security and Privacy</w:t>
      </w:r>
    </w:p>
    <w:tbl>
      <w:tblPr>
        <w:tblW w:w="5000" w:type="pct"/>
        <w:tblBorders>
          <w:top w:val="single" w:sz="4"/>
          <w:left w:val="single" w:sz="4"/>
          <w:bottom w:val="single" w:sz="4"/>
          <w:right w:val="single" w:sz="4"/>
          <w:insideH w:val="single" w:sz="4"/>
          <w:insideV w:val="single" w:sz="4"/>
        </w:tblBorders>
      </w:tblPr>
      <w:tblGrid>
        <w:gridCol w:w="4153"/>
        <w:gridCol w:w="4153"/>
      </w:tblGrid>
      <w:tr>
        <w:trPr>
          <w:tblHeader/>
        </w:trPr>
        <w:tc>
          <w:p w14:paraId="0010015C" w14:textId="0010015D">
            <w:r>
              <w:t xml:space="preserve">Principle</w:t>
            </w:r>
          </w:p>
        </w:tc>
        <w:tc>
          <w:p w14:paraId="0010015E" w14:textId="0010015F">
            <w:r>
              <w:t xml:space="preserve">Implementation</w:t>
            </w:r>
          </w:p>
        </w:tc>
      </w:tr>
      <w:tr>
        <w:trPr/>
        <w:tc>
          <w:p w14:paraId="00100160" w14:textId="00100161">
            <w:r>
              <w:t xml:space="preserve">No data storage</w:t>
            </w:r>
          </w:p>
        </w:tc>
        <w:tc>
          <w:p w14:paraId="00100162" w14:textId="00100163">
            <w:r>
              <w:t xml:space="preserve">Email content is never written to disk, a database, or any persistent store. Session state lives in Streamlit's in-memory dict and is discarded on refresh.</w:t>
            </w:r>
          </w:p>
        </w:tc>
      </w:tr>
      <w:tr>
        <w:trPr/>
        <w:tc>
          <w:p w14:paraId="00100164" w14:textId="00100165">
            <w:r>
              <w:t xml:space="preserve">No network requests</w:t>
            </w:r>
          </w:p>
        </w:tc>
        <w:tc>
          <w:p w14:paraId="00100166" w14:textId="00100167">
            <w:r>
              <w:t xml:space="preserve">The application makes no outbound connections. URLs found in emails are inspected as strings only — they are never fetched or resolved.</w:t>
            </w:r>
          </w:p>
        </w:tc>
      </w:tr>
      <w:tr>
        <w:trPr/>
        <w:tc>
          <w:p w14:paraId="00100168" w14:textId="00100169">
            <w:r>
              <w:t xml:space="preserve">No logging</w:t>
            </w:r>
          </w:p>
        </w:tc>
        <w:tc>
          <w:p w14:paraId="0010016A" w14:textId="0010016B">
            <w:r>
              <w:t xml:space="preserve">No submitted content is written to log files, console output, or monitoring systems.</w:t>
            </w:r>
          </w:p>
        </w:tc>
      </w:tr>
      <w:tr>
        <w:trPr/>
        <w:tc>
          <w:p w14:paraId="0010016C" w14:textId="0010016D">
            <w:r>
              <w:t xml:space="preserve">Local execution</w:t>
            </w:r>
          </w:p>
        </w:tc>
        <w:tc>
          <w:p w14:paraId="0010016E" w14:textId="0010016F">
            <w:r>
              <w:t xml:space="preserve">Runs entirely on the user's machine. No cloud service, API, or external dependency is contacted at runtime.</w:t>
            </w:r>
          </w:p>
        </w:tc>
      </w:tr>
      <w:tr>
        <w:trPr/>
        <w:tc>
          <w:p w14:paraId="00100170" w14:textId="00100171">
            <w:r>
              <w:t xml:space="preserve">Input validation</w:t>
            </w:r>
          </w:p>
        </w:tc>
        <w:tc>
          <w:p w14:paraId="00100172" w14:textId="00100173">
            <w:r>
              <w:t xml:space="preserve">Sender, subject, and body are validated for length and format before analysis. Oversized inputs are rejected with an error message.</w:t>
            </w:r>
          </w:p>
        </w:tc>
      </w:tr>
      <w:tr>
        <w:trPr/>
        <w:tc>
          <w:p w14:paraId="00100174" w14:textId="00100175">
            <w:r>
              <w:t xml:space="preserve">Disclaimer</w:t>
            </w:r>
          </w:p>
        </w:tc>
        <w:tc>
          <w:p w14:paraId="00100176" w14:textId="00100177">
            <w:r>
              <w:t xml:space="preserve">The application clearly states it may produce false positives and false negatives, and does not constitute production-grade email security.</w:t>
            </w:r>
          </w:p>
        </w:tc>
      </w:tr>
    </w:tbl>
    <w:p w14:paraId="00100178" w14:textId="00100179">
      <w:pPr>
        <w:pStyle w:val="Heading1"/>
        <w:spacing w:after="120"/>
      </w:pPr>
      <w:r>
        <w:rPr>
          <w:b/>
          <w:sz w:val="32"/>
        </w:rPr>
        <w:t xml:space="preserve">10. Limitations</w:t>
      </w:r>
    </w:p>
    <w:p w14:paraId="0010017A" w14:textId="0010017B">
      <w:pPr>
        <w:pStyle w:val="Heading2"/>
        <w:spacing w:after="80"/>
      </w:pPr>
      <w:r>
        <w:rPr>
          <w:b/>
          <w:sz w:val="26"/>
        </w:rPr>
        <w:t xml:space="preserve">10.1 False Positives</w:t>
      </w:r>
    </w:p>
    <w:p w14:paraId="0010017C" w14:textId="0010017D">
      <w:pPr>
        <w:pStyle w:val="Normal"/>
        <w:spacing w:after="120"/>
      </w:pPr>
      <w:r>
        <w:rPr>
          <w:sz w:val="22"/>
        </w:rPr>
        <w:t xml:space="preserve">Legitimate emails that may be incorrectly flagged include: subscription expiry notifications (urgency rule), legitimate card-update service announcements (credential rule), small businesses emailing from Gmail while mentioning brand names (sender rule), and medical appointment reminders referencing medical records (PII rule).</w:t>
      </w:r>
    </w:p>
    <w:p w14:paraId="0010017E" w14:textId="0010017F">
      <w:pPr>
        <w:pStyle w:val="Heading2"/>
        <w:spacing w:after="80"/>
      </w:pPr>
      <w:r>
        <w:rPr>
          <w:b/>
          <w:sz w:val="26"/>
        </w:rPr>
        <w:t xml:space="preserve">10.2 False Negatives</w:t>
      </w:r>
    </w:p>
    <w:p w14:paraId="00100180" w14:textId="00100181">
      <w:pPr>
        <w:pStyle w:val="Normal"/>
        <w:spacing w:after="120"/>
      </w:pPr>
      <w:r>
        <w:rPr>
          <w:sz w:val="22"/>
        </w:rPr>
        <w:t xml:space="preserve">Phishing emails that may score Low include: QR-code-only phishing (no text to analyse), non-English phishing (all patterns are English-only), legitimate-looking lookalike domains using real words with no digit substitution (e.g. paypal-security.com), and advanced indirect credential-harvesting campaigns that contain no suspicious keywords.</w:t>
      </w:r>
    </w:p>
    <w:p w14:paraId="00100182" w14:textId="00100183">
      <w:pPr>
        <w:pStyle w:val="Heading2"/>
        <w:spacing w:after="80"/>
      </w:pPr>
      <w:r>
        <w:rPr>
          <w:b/>
          <w:sz w:val="26"/>
        </w:rPr>
        <w:t xml:space="preserve">10.3 General Limitations</w:t>
      </w:r>
    </w:p>
    <w:p w14:paraId="00100184" w14:textId="00100185">
      <w:pPr>
        <w:pStyle w:val="Normal"/>
        <w:spacing w:after="240"/>
      </w:pPr>
      <w:r>
        <w:rPr>
          <w:sz w:val="22"/>
        </w:rPr>
        <w:t xml:space="preserve">Rule weights and classification thresholds are hand-tuned heuristics, not statistically derived from labelled data. The tool has no access to email headers, DKIM/DMARC validation results, or DNS records — all of which are used by production email security systems. This tool is not suitable for automated filtering of real email traffic and does not constitute production-grade security software.</w:t>
      </w:r>
    </w:p>
    <w:p w14:paraId="00100186" w14:textId="00100187">
      <w:pPr>
        <w:pStyle w:val="Heading1"/>
        <w:spacing w:after="120"/>
      </w:pPr>
      <w:r>
        <w:rPr>
          <w:b/>
          <w:sz w:val="32"/>
        </w:rPr>
        <w:t xml:space="preserve">11. Future Improvements</w:t>
      </w:r>
    </w:p>
    <w:tbl>
      <w:tblPr>
        <w:tblW w:w="5000" w:type="pct"/>
        <w:tblBorders>
          <w:top w:val="single" w:sz="4"/>
          <w:left w:val="single" w:sz="4"/>
          <w:bottom w:val="single" w:sz="4"/>
          <w:right w:val="single" w:sz="4"/>
          <w:insideH w:val="single" w:sz="4"/>
          <w:insideV w:val="single" w:sz="4"/>
        </w:tblBorders>
      </w:tblPr>
      <w:tblGrid>
        <w:gridCol w:w="2768"/>
        <w:gridCol w:w="2768"/>
        <w:gridCol w:w="2768"/>
      </w:tblGrid>
      <w:tr>
        <w:trPr>
          <w:tblHeader/>
        </w:trPr>
        <w:tc>
          <w:p w14:paraId="00100188" w14:textId="00100189">
            <w:r>
              <w:t xml:space="preserve">Area</w:t>
            </w:r>
          </w:p>
        </w:tc>
        <w:tc>
          <w:p w14:paraId="0010018A" w14:textId="0010018B">
            <w:r>
              <w:t xml:space="preserve">Proposed Improvement</w:t>
            </w:r>
          </w:p>
        </w:tc>
        <w:tc>
          <w:p w14:paraId="0010018C" w14:textId="0010018D">
            <w:r>
              <w:t xml:space="preserve">Status</w:t>
            </w:r>
          </w:p>
        </w:tc>
      </w:tr>
      <w:tr>
        <w:trPr/>
        <w:tc>
          <w:p w14:paraId="0010018E" w14:textId="0010018F">
            <w:r>
              <w:t xml:space="preserve">Coverage</w:t>
            </w:r>
          </w:p>
        </w:tc>
        <w:tc>
          <w:p w14:paraId="00100190" w14:textId="00100191">
            <w:r>
              <w:t xml:space="preserve">Parse raw .eml files directly via Python's email standard library</w:t>
            </w:r>
          </w:p>
        </w:tc>
        <w:tc>
          <w:p w14:paraId="00100192" w14:textId="00100193">
            <w:r>
              <w:t xml:space="preserve">Implemented</w:t>
            </w:r>
          </w:p>
        </w:tc>
      </w:tr>
      <w:tr>
        <w:trPr/>
        <w:tc>
          <w:p w14:paraId="00100194" w14:textId="00100195">
            <w:r>
              <w:t xml:space="preserve">Detection</w:t>
            </w:r>
          </w:p>
        </w:tc>
        <w:tc>
          <w:p w14:paraId="00100196" w14:textId="00100197">
            <w:r>
              <w:t xml:space="preserve">Email header analysis: SPF/DKIM/DMARC results, Reply-To ≠ From mismatch</w:t>
            </w:r>
          </w:p>
        </w:tc>
        <w:tc>
          <w:p w14:paraId="00100198" w14:textId="00100199">
            <w:r>
              <w:t xml:space="preserve">Planned</w:t>
            </w:r>
          </w:p>
        </w:tc>
      </w:tr>
      <w:tr>
        <w:trPr/>
        <w:tc>
          <w:p w14:paraId="0010019A" w14:textId="0010019B">
            <w:r>
              <w:t xml:space="preserve">Detection</w:t>
            </w:r>
          </w:p>
        </w:tc>
        <w:tc>
          <w:p w14:paraId="0010019C" w14:textId="0010019D">
            <w:r>
              <w:t xml:space="preserve">Anchor text vs href mismatch (visible URL ≠ actual destination)</w:t>
            </w:r>
          </w:p>
        </w:tc>
        <w:tc>
          <w:p w14:paraId="0010019E" w14:textId="0010019F">
            <w:r>
              <w:t xml:space="preserve">Implemented</w:t>
            </w:r>
          </w:p>
        </w:tc>
      </w:tr>
      <w:tr>
        <w:trPr/>
        <w:tc>
          <w:p w14:paraId="001001A0" w14:textId="001001A1">
            <w:r>
              <w:t xml:space="preserve">Detection</w:t>
            </w:r>
          </w:p>
        </w:tc>
        <w:tc>
          <w:p w14:paraId="001001A2" w14:textId="001001A3">
            <w:r>
              <w:t xml:space="preserve">Multi-language urgency and credential patterns</w:t>
            </w:r>
          </w:p>
        </w:tc>
        <w:tc>
          <w:p w14:paraId="001001A4" w14:textId="001001A5">
            <w:r>
              <w:t xml:space="preserve">Planned</w:t>
            </w:r>
          </w:p>
        </w:tc>
      </w:tr>
      <w:tr>
        <w:trPr/>
        <w:tc>
          <w:p w14:paraId="001001A6" w14:textId="001001A7">
            <w:r>
              <w:t xml:space="preserve">Scoring</w:t>
            </w:r>
          </w:p>
        </w:tc>
        <w:tc>
          <w:p w14:paraId="001001A8" w14:textId="001001A9">
            <w:r>
              <w:t xml:space="preserve">Derive weights statistically from a labelled dataset (e.g. Enron corpus + PhishTank)</w:t>
            </w:r>
          </w:p>
        </w:tc>
        <w:tc>
          <w:p w14:paraId="001001AA" w14:textId="001001AB">
            <w:r>
              <w:t xml:space="preserve">Planned</w:t>
            </w:r>
          </w:p>
        </w:tc>
      </w:tr>
      <w:tr>
        <w:trPr/>
        <w:tc>
          <w:p w14:paraId="001001AC" w14:textId="001001AD">
            <w:r>
              <w:t xml:space="preserve">Detection</w:t>
            </w:r>
          </w:p>
        </w:tc>
        <w:tc>
          <w:p w14:paraId="001001AE" w14:textId="001001AF">
            <w:r>
              <w:t xml:space="preserve">Link obfuscation rule: URL shorteners, IP-literal addresses, encoded URLs</w:t>
            </w:r>
          </w:p>
        </w:tc>
        <w:tc>
          <w:p w14:paraId="001001B0" w14:textId="001001B1">
            <w:r>
              <w:t xml:space="preserve">Implemented</w:t>
            </w:r>
          </w:p>
        </w:tc>
      </w:tr>
      <w:tr>
        <w:trPr/>
        <w:tc>
          <w:p w14:paraId="001001B2" w14:textId="001001B3">
            <w:r>
              <w:t xml:space="preserve">Architecture</w:t>
            </w:r>
          </w:p>
        </w:tc>
        <w:tc>
          <w:p w14:paraId="001001B4" w14:textId="001001B5">
            <w:r>
              <w:t xml:space="preserve">Split engine into a standalone engine.py module for cleaner test imports</w:t>
            </w:r>
          </w:p>
        </w:tc>
        <w:tc>
          <w:p w14:paraId="001001B6" w14:textId="001001B7">
            <w:r>
              <w:t xml:space="preserve">Implemented</w:t>
            </w:r>
          </w:p>
        </w:tc>
      </w:tr>
      <w:tr>
        <w:trPr/>
        <w:tc>
          <w:p w14:paraId="001001B8" w14:textId="001001B9">
            <w:r>
              <w:t xml:space="preserve">UI</w:t>
            </w:r>
          </w:p>
        </w:tc>
        <w:tc>
          <w:p w14:paraId="001001BA" w14:textId="001001BB">
            <w:r>
              <w:t xml:space="preserve">Bulk analysis — upload and score multiple emails in one session</w:t>
            </w:r>
          </w:p>
        </w:tc>
        <w:tc>
          <w:p w14:paraId="001001BC" w14:textId="001001BD">
            <w:r>
              <w:t xml:space="preserve">Implemented</w:t>
            </w:r>
          </w:p>
        </w:tc>
      </w:tr>
      <w:tr>
        <w:trPr/>
        <w:tc>
          <w:p w14:paraId="001001BE" w14:textId="001001BF">
            <w:r>
              <w:t xml:space="preserve">Export</w:t>
            </w:r>
          </w:p>
        </w:tc>
        <w:tc>
          <w:p w14:paraId="001001C0" w14:textId="001001C1">
            <w:r>
              <w:t xml:space="preserve">PDF report generation per analysis</w:t>
            </w:r>
          </w:p>
        </w:tc>
        <w:tc>
          <w:p w14:paraId="001001C2" w14:textId="001001C3">
            <w:r>
              <w:t xml:space="preserve">Planned</w:t>
            </w:r>
          </w:p>
        </w:tc>
      </w:tr>
    </w:tbl>
    <w:p w14:paraId="001001C4" w14:textId="001001C5">
      <w:pPr>
        <w:pStyle w:val="Heading1"/>
        <w:spacing w:after="120"/>
      </w:pPr>
      <w:r>
        <w:rPr>
          <w:b/>
          <w:sz w:val="32"/>
        </w:rPr>
        <w:t xml:space="preserve">12. Conclusion</w:t>
      </w:r>
    </w:p>
    <w:p w14:paraId="001001C6" w14:textId="001001C7">
      <w:pPr>
        <w:pStyle w:val="Normal"/>
        <w:spacing w:after="120"/>
      </w:pPr>
      <w:r>
        <w:rPr>
          <w:sz w:val="22"/>
        </w:rPr>
        <w:t xml:space="preserve">PhishGuard successfully demonstrates the core concepts of a Cybersecurity Fundamentals project: threat identification (six categories of phishing indicator), risk quantification (weighted additive scoring with co-occurrence bonus), transparent explainability (per-indicator cards with rationale and advice), and secure-by-design principles (no data storage, no network requests, local execution only).</w:t>
      </w:r>
    </w:p>
    <w:p w14:paraId="001001C8" w14:textId="001001C9">
      <w:pPr>
        <w:pStyle w:val="Normal"/>
        <w:spacing w:after="120"/>
      </w:pPr>
      <w:r>
        <w:rPr>
          <w:sz w:val="22"/>
        </w:rPr>
        <w:t xml:space="preserve">The project was developed incrementally over five stages, with the test suite expanded at each stage to validate all new behaviour. The final application comprises engine.py (779 lines), app.py (419 lines), and tests.py (660 lines) of well-commented Python, plus a complete README — all requirements of the project brief are met.</w:t>
      </w:r>
    </w:p>
    <w:p w14:paraId="001001CA" w14:textId="001001CB">
      <w:pPr>
        <w:pStyle w:val="Normal"/>
        <w:spacing w:after="240"/>
      </w:pPr>
      <w:r>
        <w:rPr>
          <w:sz w:val="22"/>
        </w:rPr>
        <w:t xml:space="preserve">As documented in the Limitations section, this tool is not a production security product. It is an educational demonstration of how rule-based phishing detection works, the trade-offs between precision and recall in heuristic systems, and the importance of explaining automated security decisions to end users.</w:t>
      </w:r>
    </w:p>
    <w:p w14:paraId="001001CC" w14:textId="001001CD">
      <w:pPr>
        <w:pStyle w:val="Heading1"/>
        <w:spacing w:after="120"/>
      </w:pPr>
      <w:r>
        <w:rPr>
          <w:b/>
          <w:sz w:val="32"/>
        </w:rPr>
        <w:t xml:space="preserve">13. References and Tools Used</w:t>
      </w:r>
    </w:p>
    <w:p w14:paraId="001001CE" w14:textId="001001CF">
      <w:pPr>
        <w:pStyle w:val="Normal"/>
        <w:numPr>
          <w:ilvl w:val="0"/>
          <w:numId w:val="4"/>
        </w:numPr>
        <w:spacing w:after="60"/>
      </w:pPr>
      <w:r>
        <w:rPr>
          <w:sz w:val="22"/>
        </w:rPr>
        <w:t xml:space="preserve">IBM Bob — AI development assistant used throughout the project for incremental implementation, code review, and documentation generation.</w:t>
      </w:r>
    </w:p>
    <w:p w14:paraId="001001D0" w14:textId="001001D1">
      <w:pPr>
        <w:pStyle w:val="Normal"/>
        <w:numPr>
          <w:ilvl w:val="0"/>
          <w:numId w:val="4"/>
        </w:numPr>
        <w:spacing w:after="60"/>
      </w:pPr>
      <w:r>
        <w:rPr>
          <w:sz w:val="22"/>
        </w:rPr>
        <w:t xml:space="preserve">Streamlit (streamlit.io) — open-source Python web framework for building data applications.</w:t>
      </w:r>
    </w:p>
    <w:p w14:paraId="001001D2" w14:textId="001001D3">
      <w:pPr>
        <w:pStyle w:val="Normal"/>
        <w:numPr>
          <w:ilvl w:val="0"/>
          <w:numId w:val="4"/>
        </w:numPr>
        <w:spacing w:after="60"/>
      </w:pPr>
      <w:r>
        <w:rPr>
          <w:sz w:val="22"/>
        </w:rPr>
        <w:t xml:space="preserve">pandas (pandas.pydata.org) — Python data analysis library used for session history tables and charts.</w:t>
      </w:r>
    </w:p>
    <w:p w14:paraId="001001D4" w14:textId="001001D5">
      <w:pPr>
        <w:pStyle w:val="Normal"/>
        <w:numPr>
          <w:ilvl w:val="0"/>
          <w:numId w:val="4"/>
        </w:numPr>
        <w:spacing w:after="60"/>
      </w:pPr>
      <w:r>
        <w:rPr>
          <w:sz w:val="22"/>
        </w:rPr>
        <w:t xml:space="preserve">Python unittest (docs.python.org/3/library/unittest.html) — built-in Python testing framework used for the test suite.</w:t>
      </w:r>
    </w:p>
    <w:p w14:paraId="001001D6" w14:textId="001001D7">
      <w:pPr>
        <w:pStyle w:val="Normal"/>
        <w:numPr>
          <w:ilvl w:val="0"/>
          <w:numId w:val="4"/>
        </w:numPr>
        <w:spacing w:after="60"/>
      </w:pPr>
      <w:r>
        <w:rPr>
          <w:sz w:val="22"/>
        </w:rPr>
        <w:t xml:space="preserve">Anti-Phishing Working Group (APWG) — phishing indicator categories and real-world attack patterns referenced for rule design.</w:t>
      </w:r>
    </w:p>
    <w:p w14:paraId="001001D8" w14:textId="001001D9">
      <w:pPr>
        <w:pStyle w:val="Normal"/>
        <w:numPr>
          <w:ilvl w:val="0"/>
          <w:numId w:val="4"/>
        </w:numPr>
        <w:spacing w:after="60"/>
      </w:pPr>
      <w:r>
        <w:rPr>
          <w:sz w:val="22"/>
        </w:rPr>
        <w:t xml:space="preserve">RFC 5321 / RFC 2822 — email address and header length limits used for input validation constants.</w:t>
      </w:r>
    </w:p>
    <w:sectPr>
      <w:pgSz w:w="11906" w:h="16838"/>
      <w:pgMar w:top="1440" w:right="1800" w:bottom="1440" w:left="1800"/>
      <w:docGrid w:type="default"/>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2">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3">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num w:numId="1">
    <w:abstractNumId w:val="0"/>
  </w:num>
  <w:num w:numId="2">
    <w:abstractNumId w:val="1"/>
  </w:num>
  <w:num w:numId="3">
    <w:abstractNumId w:val="2"/>
  </w:num>
  <w:num w:numId="4">
    <w:abstractNumId w:val="3"/>
  </w:num>
</w:numbering>
</file>

<file path=word/settings.xml><?xml version="1.0" encoding="utf-8"?>
<w:settings xmlns:w="http://schemas.openxmlformats.org/wordprocessingml/2006/main">
  <w:characterSpacingControl w:val="doNotCompress"/>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settings>
</file>

<file path=word/styles.xml><?xml version="1.0" encoding="utf-8"?>
<w:styles xmlns:w14="http://schemas.microsoft.com/office/word/2010/wordml" xmlns:mc="http://schemas.openxmlformats.org/markup-compatibility/2006" xmlns:w="http://schemas.openxmlformats.org/wordprocessingml/2006/main" mc:Ignorable="w14">
  <w:docDefaults>
    <w:rPrDefault>
      <w:rPr>
        <w:rFonts w:ascii="Calibri" w:hAnsi="Calibri"/>
        <w:sz w:val="22"/>
        <w:szCs w:val="22"/>
      </w:rPr>
    </w:rPrDefault>
    <w:pPrDefault/>
  </w:docDefaults>
  <w:style w:type="paragraph" w:styleId="Normal" w:default="true">
    <w:name w:val="Normal"/>
    <w:qFormat/>
    <w:pPr>
      <w:spacing w:after="0" w:line="259" w:lineRule="auto"/>
    </w:pPr>
  </w:style>
  <w:style w:type="paragraph" w:styleId="Heading1">
    <w:name w:val="heading 1"/>
    <w:basedOn w:val="Normal"/>
    <w:next w:val="Normal"/>
    <w:uiPriority w:val="9"/>
    <w:qFormat/>
    <w:pPr>
      <w:keepNext/>
      <w:keepLines/>
      <w:spacing w:before="240" w:after="0"/>
      <w:outlineLvl w:val="0"/>
    </w:pPr>
    <w:rPr>
      <w:rFonts w:asciiTheme="majorHAnsi" w:hAnsiTheme="majorHAnsi" w:eastAsiaTheme="majorEastAsia" w:cstheme="majorBidi"/>
      <w:color w:val="2F5496"/>
      <w:sz w:val="32"/>
      <w:szCs w:val="32"/>
    </w:rPr>
  </w:style>
  <w:style w:type="paragraph" w:styleId="Heading2">
    <w:name w:val="heading 2"/>
    <w:basedOn w:val="Normal"/>
    <w:next w:val="Normal"/>
    <w:uiPriority w:val="9"/>
    <w:semiHidden/>
    <w:unhideWhenUsed/>
    <w:qFormat/>
    <w:pPr>
      <w:keepNext/>
      <w:keepLines/>
      <w:spacing w:before="40" w:after="0"/>
      <w:outlineLvl w:val="1"/>
    </w:pPr>
    <w:rPr>
      <w:rFonts w:asciiTheme="majorHAnsi" w:hAnsiTheme="majorHAnsi" w:eastAsiaTheme="majorEastAsia" w:cstheme="majorBidi"/>
      <w:color w:val="2F5496"/>
      <w:sz w:val="26"/>
      <w:szCs w:val="26"/>
    </w:rPr>
  </w:style>
</w:styles>
</file>

<file path=word/_rels/document.xml.rels>&#65279;<?xml version="1.0" encoding="utf-8"?><Relationships xmlns="http://schemas.openxmlformats.org/package/2006/relationships"><Relationship Type="http://schemas.openxmlformats.org/officeDocument/2006/relationships/settings" Target="/word/settings.xml" Id="Rb34f7f4b7acc4d1d" /><Relationship Type="http://schemas.openxmlformats.org/officeDocument/2006/relationships/styles" Target="/word/styles.xml" Id="R199c1c99687c42ae" /><Relationship Type="http://schemas.openxmlformats.org/officeDocument/2006/relationships/theme" Target="/word/theme/theme1.xml" Id="Rc9e837c10017476f" /><Relationship Type="http://schemas.openxmlformats.org/officeDocument/2006/relationships/numbering" Target="/word/numbering.xml" Id="Rbfee5357e14744c8"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majorFont>
      <a:minorFont>
        <a:latin typeface="Calibri"/>
        <a:ea typeface=""/>
        <a:cs typeface=""/>
      </a:minorFont>
    </a:fontScheme>
    <a:fmtScheme name="Office">
      <a:fillStyleLst>
        <a:solidFill>
          <a:schemeClr val="phClr"/>
        </a:solidFill>
        <a:solidFill>
          <a:schemeClr val="phClr"/>
        </a:solidFill>
        <a:solidFill>
          <a:schemeClr val="phClr"/>
        </a:solidFill>
      </a:fillStyleLst>
      <a:lnStyleLst>
        <a:ln w="6350" cap="flat">
          <a:solidFill>
            <a:schemeClr val="phClr"/>
          </a:solidFill>
        </a:ln>
        <a:ln w="12700" cap="flat">
          <a:solidFill>
            <a:schemeClr val="phClr"/>
          </a:solidFill>
        </a:ln>
        <a:ln w="19050" cap="flat">
          <a:solidFill>
            <a:schemeClr val="phClr"/>
          </a:solidFill>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ap:Properties xmlns:ap="http://schemas.openxmlformats.org/officeDocument/2006/extended-properties">
  <ap:Application>OfficeCLI/1.0.158</ap:Application>
</ap:Properties>
</file>

<file path=docProps/core.xml><?xml version="1.0" encoding="utf-8"?>
<cp:coreProperties xmlns:cp="http://schemas.openxmlformats.org/package/2006/metadata/core-properties" xmlns:dc="http://purl.org/dc/elements/1.1/" xmlns:dcterms="http://purl.org/dc/terms/" xmlns:xsi="http://www.w3.org/2001/XMLSchema-instance">
  <dc:creator>OfficeCLI</dc:creator>
  <dcterms:created xsi:type="dcterms:W3CDTF">2026-10-20T12:23:32Z</dcterms:created>
  <cp:lastModifiedBy>OfficeCLI</cp:lastModifiedBy>
  <dcterms:modified xsi:type="dcterms:W3CDTF">2026-10-20T12:23:32Z</dcterms:modified>
</cp:coreProperties>
</file>

<file path=docProps/custom.xml><?xml version="1.0" encoding="utf-8"?>
<op:Properties xmlns:op="http://schemas.openxmlformats.org/officeDocument/2006/custom-properties">
  <op:property fmtid="{D5CDD505-2E9C-101B-9397-08002B2CF9AE}" pid="2" name="OfficeCLI.Version">
    <vt:lpwstr xmlns:vt="http://schemas.openxmlformats.org/officeDocument/2006/docPropsVTypes">1.0.158</vt:lpwstr>
  </op:property>
  <op:property fmtid="{D5CDD505-2E9C-101B-9397-08002B2CF9AE}" pid="3" name="OfficeCLI.LastModified">
    <vt:lpwstr xmlns:vt="http://schemas.openxmlformats.org/officeDocument/2006/docPropsVTypes">2026-10-20T12:24:39Z</vt:lpwstr>
  </op:property>
</op:Properties>
</file>