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A9FA1">
      <w:pPr>
        <w:pStyle w:val="23"/>
      </w:pPr>
      <w:r>
        <w:t>CHAPTER 1: INTRODUCTION</w:t>
      </w:r>
    </w:p>
    <w:p w14:paraId="14BBDAB6">
      <w:pPr>
        <w:pStyle w:val="3"/>
      </w:pPr>
      <w:r>
        <w:t>1.1 Background</w:t>
      </w:r>
    </w:p>
    <w:p w14:paraId="19B3343E">
      <w:pPr>
        <w:pStyle w:val="3"/>
      </w:pPr>
      <w:r>
        <w:t>The Government of Nepal continues to rely extensively on paper-based documentation across key sectors such as land registration, judiciary records, education, civil administration, and local municipalities. A large portion of these records are written in Nepali using the Devanagari script, either in handwritten or printed form. The digitization of such documents into searchable, editable, and machine-readable text is a long-standing challenge for effective e-governance, digital archiving, and data-driven decision-making.</w:t>
      </w:r>
    </w:p>
    <w:p w14:paraId="1FA5FAD8">
      <w:pPr>
        <w:pStyle w:val="3"/>
      </w:pPr>
      <w:r>
        <w:t>Optical Character Recognition (OCR) is the technology that enables the automatic conversion of scanned document images into digital text. While OCR systems for printed English and other high-resource languages have achieved near-human accuracy, OCR for Nepali Devanagari documents — particularly handwritten ones — remains comparatively unreliable. This limitation arises from the structural complexity of the Devanagari script, which combines a connecting head stroke (shirorekha), dependent vowel signs (matras), halant-joined conjunct consonants, and several visually similar base characters, together with wide variation in individual handwriting style and scan quality [1], [2]. A script-independent handwritten-recognition study published in 2021 makes the same point formally: recognition networks that are not designed with the specific glyph geometry of a script in mind transfer poorly to scripts such as Devanagari that combine strokes above and below a shared headline [2].</w:t>
      </w:r>
    </w:p>
    <w:p w14:paraId="0F23E202">
      <w:pPr>
        <w:pStyle w:val="3"/>
      </w:pPr>
      <w:r>
        <w:t>Traditional OCR approaches for Devanagari-family scripts have largely focused on isolated character recognition using handcrafted features or single-glyph Convolutional Neural Networks (CNNs). CNN-based classifiers report very high accuracy when the recognition task is reduced to one isolated, centred glyph — a 2024 CNN architecture trained on the standard 92,000-image Devanagari Handwritten Character Dataset (DHCD), for instance, reports a test accuracy above 99% [3] — but this framing does not carry over to full documents. A single-character classifier has no mechanism for reading matras, conjuncts, punctuation, or the way the shirorekha visually joins the letters of a word into one connected stroke; it can only ever emit one base glyph per input crop, which is a structurally different (and easier) problem than reading a line of continuous handwriting [2], [4].</w:t>
      </w:r>
    </w:p>
    <w:p w14:paraId="554414F8">
      <w:pPr>
        <w:pStyle w:val="3"/>
      </w:pPr>
      <w:r>
        <w:t>Recent advances in deep learning, particularly sequence-based Convolutional Recurrent Neural Networks trained with Connectionist Temporal Classification (CTC) loss, and Transformer-based architectures, have significantly improved OCR performance for complex and low-resource scripts. The Transformer-based TrOCR model, for example, combines a pre-trained Vision Transformer image encoder with a pre-trained text Transformer decoder and reports state-of-the-art results on printed, handwritten, and scene-text benchmarks without hand-designed pre- or post-processing [5]. Because TrOCR’s decoder generates text token-by-token with self-attention over the full decoded prefix, it is naturally able to model the sequential and contextual dependencies between characters within a word — the very dependencies that a single-glyph CNN classifier cannot represent — which motivated its adoption as the sequence-modelling counterpart to the CNN baseline in this project. Recent Devanagari-specific work reinforces the same conclusion from the other direction: a 2025 study on post-OCR error correction for low-resource Devanagari languages shows that even a reasonably accurate character-level recognizer produces text with residual errors that are systematically correctable once contextual, sequence-level information is brought to bear [4], and a 2025 survey of OCR for Devanagari-script languages identifies segmentation of joined and modified characters as the dominant open problem across the family of Devanagari OCR systems, Nepali included [6].</w:t>
      </w:r>
    </w:p>
    <w:p w14:paraId="76D4F74A">
      <w:pPr>
        <w:pStyle w:val="3"/>
      </w:pPr>
      <w:r>
        <w:t>This project builds an end-to-end Devanagari OCR system in two stages that mirror this literature. The first stage trains and evaluates a CNN baseline (this project’s CRNN track) and a Transformer baseline (TrOCR) on the isolated-character task, to establish a fair, apples-to-apples comparison on a controlled, balanced dataset before either model is asked to handle a harder problem. The second stage extends the Transformer branch from single characters to whole handwritten lines and printed document lines — the actual target described in the project proposal — using a synthetic-data pretraining strategy adapted to Nepali, together with a line-segmentation front end that crops whole text lines instead of individual characters so that the shirorekha-joined structure of a word is never broken apart before recognition.</w:t>
      </w:r>
    </w:p>
    <w:p w14:paraId="5512EC42">
      <w:pPr>
        <w:pStyle w:val="3"/>
      </w:pPr>
      <w:r>
        <w:t>1.2 Problem Statement</w:t>
      </w:r>
    </w:p>
    <w:p w14:paraId="46F7B9FC">
      <w:pPr>
        <w:pStyle w:val="3"/>
      </w:pPr>
      <w:r>
        <w:t>Converting handwritten and scanned Nepali documents into usable digital text remains difficult in practice. Most publicly available OCR systems are optimized for printed Latin-script text and are unreliable on Devanagari, particularly on handwritten Devanagari, because the script’s modifiers, conjuncts, and shirorekha connections are not represented in the training data or model design of general-purpose OCR engines. As a result, a large volume of Nepali government and institutional documents remains inaccessible in searchable digital form, and organizations fall back on manual data entry, which is slow, error-prone, and does not scale.</w:t>
      </w:r>
    </w:p>
    <w:p w14:paraId="4162A271">
      <w:pPr>
        <w:pStyle w:val="3"/>
      </w:pPr>
      <w:r>
        <w:t>Testing an isolated single-character CNN/Transformer classifier on a real, continuously handwritten Nepali page in this project made the underlying problem concrete rather than theoretical: character-segmentation can only reliably cut at whitespace, but the shirorekha physically joins the letters of a word into one connected stroke, so an entire word becomes a single blob that is then handed to a model that can only output one base glyph. A photographed line reading “मेरो नाम संस्कृति हो।” was, under this approach, recognized as the nonsense string “त्रगल३४ ज” — confirming that the limitation is structural, not a tunable defect of a particular character classifier, and that full-document recognition requires a sequence model trained on whole word or line images rather than a better single-character classifier [2].</w:t>
      </w:r>
    </w:p>
    <w:p w14:paraId="728DABB6">
      <w:pPr>
        <w:pStyle w:val="3"/>
      </w:pPr>
      <w:r>
        <w:t>There is accordingly a need for (1) a reliable comparative baseline that measures how a CNN-CTC architecture and a Transformer architecture each perform on the same, controlled Devanagari character-recognition task, and (2) a document-level recognition path — built on the stronger of the two architectures — that reads real lines of Devanagari text, including matras, conjuncts, and mixed Devanagari/Latin content of the kind found on real printed forms, rather than isolated glyphs.</w:t>
      </w:r>
    </w:p>
    <w:p w14:paraId="3A26A974">
      <w:pPr>
        <w:pStyle w:val="3"/>
      </w:pPr>
      <w:r>
        <w:t>1.3 Objectives</w:t>
      </w:r>
    </w:p>
    <w:p w14:paraId="033D77D2">
      <w:pPr>
        <w:pStyle w:val="3"/>
      </w:pPr>
      <w:r>
        <w:t>The objectives of this project are:</w:t>
      </w:r>
    </w:p>
    <w:p w14:paraId="30EE201C">
      <w:pPr>
        <w:numPr>
          <w:ilvl w:val="0"/>
          <w:numId w:val="1"/>
        </w:numPr>
      </w:pPr>
      <w:r>
        <w:t>To build a CNN-based OCR model and a Transformer-based OCR model for Devanagari characters, and compare which one recognizes them more accurately.</w:t>
      </w:r>
    </w:p>
    <w:p w14:paraId="1FCA1D74">
      <w:pPr>
        <w:numPr>
          <w:ilvl w:val="0"/>
          <w:numId w:val="1"/>
        </w:numPr>
      </w:pPr>
      <w:r>
        <w:t>To extend the better-performing model from single characters to full lines of handwritten and printed Nepali text, and use it in a working web application that turns a scanned document into editable Unicode text.</w:t>
      </w:r>
    </w:p>
    <w:p w14:paraId="03D3A3FF">
      <w:pPr>
        <w:pStyle w:val="23"/>
      </w:pPr>
      <w:r>
        <w:t>1.4 Significance of the research</w:t>
      </w:r>
    </w:p>
    <w:p w14:paraId="3DF60B08">
      <w:pPr>
        <w:pStyle w:val="3"/>
      </w:pPr>
      <w:r>
        <w:t>The Government of Nepal and its constituent institutions depend heavily on Nepali-language documents for administrative, legal, historical, and archival purposes, and a large proportion of these documents exist only in handwritten or scanned paper form. This dependence on physical records limits the effectiveness of e-governance initiatives and leaves institutional memory exposed to permanent loss from fire, flood, or physical damage to the offices where the records are held [6].</w:t>
      </w:r>
    </w:p>
    <w:p w14:paraId="4D209F57">
      <w:pPr>
        <w:pStyle w:val="3"/>
      </w:pPr>
      <w:r>
        <w:t>This research is significant in three respects. First, it produces a controlled, reproducible comparison between a CNN-CTC architecture and a Transformer architecture on the same balanced Devanagari dataset, contributing an evidence-based answer — rather than an assumed one — to which family of architectures is better suited to this script, consistent with the broader literature’s finding that Transformer decoders’ self-attention over the full output prefix is well matched to scripts with strong intra-word dependencies such as Devanagari [5]. Second, it moves beyond isolated-character recognition, which is the level at which almost all prior Nepali/Devanagari OCR work — including the DHCD-benchmarked CNN literature [3] — has been evaluated, toward document-level recognition of real handwritten and printed lines, which is what practical digitization actually requires. Third, it demonstrates the result in a working, end-to-end web application rather than only as an offline evaluation script, so the system’s practical usefulness — and its remaining limitations — can be assessed directly rather than inferred from benchmark numbers alone.</w:t>
      </w:r>
    </w:p>
    <w:p w14:paraId="69D98390">
      <w:pPr>
        <w:pStyle w:val="3"/>
      </w:pPr>
      <w:r>
        <w:t>1.5 Scope and Limitation</w:t>
      </w:r>
    </w:p>
    <w:p w14:paraId="69A49695">
      <w:pPr>
        <w:pStyle w:val="3"/>
      </w:pPr>
      <w:r>
        <w:t>The scope of this project covers Devanagari character-level OCR (CNN and Transformer baselines, trained and evaluated on the standard 92,000-image, 46-class Devanagari Handwritten Character Dataset) and an extension to document/line-level OCR using a Transformer model trained primarily on synthetically generated word- and line-images, since large labelled corpora of handwritten Nepali lines do not exist publicly. The system accepts scanned images and multi-page PDF documents as input and produces editable Unicode Devanagari text as output, exportable as plain text, DOCX, and a searchable PDF with an invisible, selectable text layer.</w:t>
      </w:r>
    </w:p>
    <w:p w14:paraId="414A1A5C">
      <w:pPr>
        <w:pStyle w:val="3"/>
      </w:pPr>
      <w:r>
        <w:t>Several limitations follow directly from this scope. Recognition performance at the document level is trained on synthetic data rather than large-scale real handwritten line corpora, so accuracy on real scanned pages — particularly dense, tabular, or heavily degraded forms — is expected to be lower than on the clean, balanced character-level benchmark; this gap is a genuine domain limitation, not merely an implementation defect, and is examined directly in Chapter 4. The document-level Transformer model is also more computationally demanding to train and to serve than the CNN baseline, which constrains how quickly it can be iterated on within the available GPU quota (a practical constraint encountered directly during this project, discussed in Chapter 3). Finally, the system’s Unicode output for genuinely ambiguous or very low-quality handwriting may still require manual verification or correction before it is treated as an authoritative digital record.</w:t>
      </w:r>
    </w:p>
    <w:p w14:paraId="45EB30AD">
      <w:r>
        <w:pict>
          <v:rect id="_x0000_i1025" o:spt="1" style="height:1.5pt;width:0pt;" coordsize="21600,21600" o:hr="t" o:hrstd="t" o:hralign="center">
            <v:path/>
            <v:fill focussize="0,0"/>
            <v:stroke/>
            <v:imagedata o:title=""/>
            <o:lock v:ext="edit"/>
            <w10:wrap type="none"/>
            <w10:anchorlock/>
          </v:rect>
        </w:pict>
      </w:r>
    </w:p>
    <w:p w14:paraId="5D2614F9">
      <w:pPr>
        <w:pStyle w:val="23"/>
      </w:pPr>
      <w:r>
        <w:t>CHAPTER 2: LITERATURE REVIEW</w:t>
      </w:r>
    </w:p>
    <w:p w14:paraId="483B279F">
      <w:pPr>
        <w:pStyle w:val="3"/>
      </w:pPr>
      <w:r>
        <w:t>2.1 Overview of Existing Systems</w:t>
      </w:r>
    </w:p>
    <w:p w14:paraId="47563D43">
      <w:pPr>
        <w:pStyle w:val="3"/>
      </w:pPr>
      <w:r>
        <w:t>Handwritten and printed character recognition for Devanagari-family scripts has been studied for over a decade, but the techniques used have shifted through three broad generations that roughly parallel the wider evolution of computer-vision OCR: handcrafted-feature classifiers, CNN-based deep classifiers, and — most recently — sequence and attention models capable of reading beyond a single glyph. This section traces that evolution and situates the CNN and Transformer models built in this project within it.</w:t>
      </w:r>
    </w:p>
    <w:p w14:paraId="05DBA0C9">
      <w:pPr>
        <w:pStyle w:val="3"/>
      </w:pPr>
      <w:r>
        <w:t>2.1.1 OCR Evolution and CNN-Based OCR</w:t>
      </w:r>
    </w:p>
    <w:p w14:paraId="3817AF1A">
      <w:pPr>
        <w:pStyle w:val="3"/>
      </w:pPr>
      <w:r>
        <w:t>Early Devanagari recognition systems relied on handcrafted, geometry-based descriptors rather than learned features. Pal and Chanda combined gradient and curvature features with a hybrid Support Vector Machine (SVM) and Modified Quadratic Discriminant Function (MQDF) classifier and achieved high accuracy on isolated offline handwritten Devanagari characters, but reported persistent confusion between visually similar character pairs — a limitation of describing a glyph by a fixed, hand-designed feature vector rather than letting a model learn which visual cues actually distinguish confusable characters [1]. The shift to Convolutional Neural Networks (CNNs) addressed this directly: a CNN learns its own hierarchy of visual features directly from pixel data, starting with low-level edges and textures in its early layers and composing them into progressively more complex, class-specific stroke patterns in deeper layers. This end-to-end feature learning is what makes CNNs effective for handwritten OCR, where the handcrafted features used in earlier work often failed to separate characters that differ only in a small curve or an added stroke. Recent CNN work on the standard 92,000-image Devanagari Handwritten Character Dataset (DHCD) illustrates how far this generation of models has been pushed: HCR-Net, a script-independent transfer-learning CNN, and MallaNet, a residual branch-merge CNN with homogeneous filter capsules purpose-built for Devanagari, both report test accuracies close to or above 99% on the isolated 46-class character task [2], [3]. This project’s own CRNN baseline (Chapter 3) sits in the same lineage: it uses a CNN feature extractor for exactly this reason, and its 98.67% test accuracy on the same DHCD-style task is consistent with what this generation of architecture is known to achieve.</w:t>
      </w:r>
    </w:p>
    <w:p w14:paraId="167A9135">
      <w:pPr>
        <w:pStyle w:val="3"/>
      </w:pPr>
      <w:r>
        <w:t>The consistent 99%-class accuracy of modern CNNs on isolated Devanagari glyphs is, at the same time, the key limitation this project had to work around. All of the systems above are evaluated on a single, pre-cropped, pre-centred character; none of them are asked to locate, segment, and order the characters of a real handwritten word or line. A CNN classifier has no internal mechanism for handling a matra attached to a base consonant, a halant-joined conjunct spanning two or three base glyphs, or the shirorekha that visually joins the letters of an entire word into one connected stroke — it can only accept one cropped glyph and emit one label. This is a well-known ceiling in the literature, not a weakness specific to any one paper: HCR-Net’s authors frame their contribution explicitly as script-independent character recognition, not document recognition [2], and it is exactly this ceiling that motivates the CRNN-CTC and Transformer sequence architectures discussed next.</w:t>
      </w:r>
    </w:p>
    <w:p w14:paraId="245530AB">
      <w:pPr>
        <w:pStyle w:val="3"/>
      </w:pPr>
      <w:r>
        <w:t>2.1.2 CRNN and Sequence Modelling with CTC</w:t>
      </w:r>
    </w:p>
    <w:p w14:paraId="1494A3E1">
      <w:pPr>
        <w:pStyle w:val="3"/>
      </w:pPr>
      <w:r>
        <w:t>The Convolutional Recurrent Neural Network (CRNN), introduced by Shi, Bai, and Yao, was the first architecture to demonstrate that a single, end-to-end trainable network could read an entire line of text without first segmenting it into individual characters [7]. A CRNN passes a text-line image through a CNN to obtain a sequence of feature columns, feeds that sequence through Bidirectional Long Short-Term Memory (BiLSTM) layers to model how each character’s visual features are influenced by its neighbours, and aligns the resulting per-column predictions to the (much shorter) ground-truth text using Connectionist Temporal Classification (CTC) loss. CTC’s contribution is specifically to the segmentation problem: rather than requiring a labelled boundary for every character — which is expensive to annotate and does not exist for scripts like Devanagari where letters are visually joined — CTC allows the network to predict a label (or a “blank”) at every time step and then defines a loss that sums over every possible alignment between that raw prediction sequence and the target text, collapsing repeated predictions and removing blanks. This is why a CRNN-CTC model is described as segmentation-free: it never needs to be told where one character ends and the next begins.</w:t>
      </w:r>
    </w:p>
    <w:p w14:paraId="29FB154E">
      <w:pPr>
        <w:pStyle w:val="3"/>
      </w:pPr>
      <w:r>
        <w:t>BiLSTM layers are used specifically (rather than a plain feed-forward layer) because Devanagari text carries dependencies that extend beyond a single glyph’s own pixels: a matra’s correct reading depends on the consonant it is attached to, and a conjunct’s correct reading depends on both halves of the joined stroke. An LSTM cell processes a sequence and retains information across time steps through a gated memory cell, letting the network carry forward context from earlier in a word to influence how a later part of the same word is decoded, and a bidirectional LSTM does this in both reading directions simultaneously so a character’s prediction can draw on context that comes after it as well as before it. Long Short-Term Memory itself was designed to solve the vanishing-gradient problem that plain recurrent networks suffer from over long sequences, using input, forget, and output gates to control what information a memory cell keeps, discards, or exposes at each step — the forget gate specifically was added to let the network learn to reset a memory cell’s state when a sequence boundary is reached, rather than accumulate irrelevant context indefinitely [8].</w:t>
      </w:r>
    </w:p>
    <w:p w14:paraId="30B49323">
      <w:pPr>
        <w:pStyle w:val="3"/>
      </w:pPr>
      <w:r>
        <w:t>2.1.3 Transformer-Based OCR and Vision Transformer</w:t>
      </w:r>
    </w:p>
    <w:p w14:paraId="260D9016">
      <w:pPr>
        <w:pStyle w:val="3"/>
      </w:pPr>
      <w:r>
        <w:t>The Transformer architecture replaced recurrence with self-attention: instead of processing a sequence one step at a time and carrying state forward through a memory cell, a Transformer layer lets every position in a sequence directly attend to every other position in a single operation, weighting how much each other position should influence it. This removes the sequential bottleneck of recurrent networks — attention over the whole sequence is computed in parallel — and, more importantly for OCR, gives the model a direct, unmediated path between any two positions in a word or line, rather than a path that must pass information through every intermediate time step as an LSTM does. For a script like Devanagari, where a matra can visually sit to the left of the consonant it modifies (breaking simple left-to-right locality) and a conjunct can visually compress two or three letters into one shape, this direct long-range connectivity is a better structural fit than a purely sequential recurrence.</w:t>
      </w:r>
    </w:p>
    <w:p w14:paraId="27BDA6D3">
      <w:pPr>
        <w:pStyle w:val="3"/>
      </w:pPr>
      <w:r>
        <w:t>The Vision Transformer (ViT), introduced by Dosovitskiy et al., extended this idea to images by treating an image as a sequence rather than a grid: the image is cut into fixed-size, non-overlapping patches (typically 16×16 pixels), each patch is flattened and linearly projected into an embedding vector, a learned positional encoding is added so the model knows each patch’s original location, and the resulting sequence of patch embeddings is processed by a standard Transformer encoder exactly as if it were a sequence of word tokens [9]. Positional encoding is necessary specifically because self-attention itself has no notion of order — without it, a Transformer would treat an image (or a sentence) as an unordered set of tokens.</w:t>
      </w:r>
    </w:p>
    <w:p w14:paraId="6E265D45">
      <w:pPr>
        <w:pStyle w:val="3"/>
      </w:pPr>
      <w:r>
        <w:t>TrOCR, the Transformer-based OCR model used in this project’s document-recognition track, combines a ViT-style image encoder with a Transformer text decoder, both initialised from large-scale pre-training rather than trained from scratch, and reports state-of-the-art results on printed, handwritten, and scene-text benchmarks without any hand-designed pre- or post-processing [5]. Decoding in TrOCR is autoregressive: the decoder generates one output token at a time, and at each step its self-attention looks back over every token it has already generated while its cross-attention looks across the full sequence of encoded image patches, so each new character prediction is conditioned on everything decoded so far and on the whole image, not just a local crop. This is the same mechanism this project relies on when extending TrOCR from single characters to full lines in Chapter 3: because the decoder already attends over its own generated prefix, it can be trained on a longer target string (a whole word or line) without any architectural change, only a longer maximum generation length.</w:t>
      </w:r>
    </w:p>
    <w:p w14:paraId="75F8BC84">
      <w:pPr>
        <w:pStyle w:val="3"/>
      </w:pPr>
      <w:r>
        <w:t>A more recent Transformer OCR variant, PARSeq, illustrates a further refinement in how the decoder is trained: rather than always decoding strictly left-to-right, PARSeq trains an ensemble of autoregressive orderings using permutation language modelling, which lets the same model be used either as a fast, parallel non-autoregressive reader or as a more accurate iterative, context-refining autoregressive reader, and it reports state-of-the-art scene-text accuracy under both regimes [10]. This shows that the specific decoding order used by a Transformer decoder — not just its architecture — is itself an active area of OCR research, and is a natural direction for future refinement of the line-level Nepali model built in this project (Chapter 5).</w:t>
      </w:r>
    </w:p>
    <w:p w14:paraId="59FA2ECE">
      <w:pPr>
        <w:pStyle w:val="3"/>
      </w:pPr>
      <w:r>
        <w:t>2.1.4 Nepali-Specific OCR Research</w:t>
      </w:r>
    </w:p>
    <w:p w14:paraId="71199158">
      <w:pPr>
        <w:pStyle w:val="3"/>
      </w:pPr>
      <w:r>
        <w:t>Because this project targets Nepali handwriting specifically rather than Devanagari in general, Nepali-language OCR research is the most directly relevant body of literature, and much of it originates from Bal Krishna Bal’s Information and Language Processing Research Lab (ILPRL) at Kathmandu University, which has worked on Nepali OCR, machine translation, and text-to-speech since the mid-2000s. Hengaju and Bal addressed the specific, practical problem of adapting a general-purpose engine to Nepali: rather than retraining Tesseract-OCR, they designed an eight-step image-preprocessing pipeline (deskewing, denoising, and contrast/threshold correction tuned to Nepali text images) and showed that this preprocessing alone raised Tesseract’s recognition accuracy from 90.69%, 54.34%, and 38.45% to 94.84%, 71.15%, and 51.21% on high-, medium-, and low-quality Nepali document images respectively [13]. This result is a direct precedent for the preprocessing pipeline built in this project’s own methodology (Chapter 3): it demonstrates that, for Nepali text specifically, a large share of the achievable accuracy gain comes from image conditioning before the recognition model ever sees the input, independent of which recognition architecture is used downstream.</w:t>
      </w:r>
    </w:p>
    <w:p w14:paraId="14832B30">
      <w:pPr>
        <w:pStyle w:val="3"/>
      </w:pPr>
      <w:r>
        <w:t>More recently, Bal’s lab moved from adapting an existing OCR engine to building a Nepali-specific sequence model from scratch. Nakarmi, Sthapit, Shakya, Chulyadyo, and Bal trained a CRNN-CTC architecture directly on Nepal script text lines, following the same CNN-BiLSTM-CTC design used for scene text elsewhere in the literature [7] but tuned to Devanagari-based Nepali text rather than Latin text, and reported it as a segmentation-free line-recognition baseline specifically for the Nepali OCR community [14]. This is, in effect, the same architectural family as this project’s CRNN baseline, applied to the same target language, and its existence confirms that CRNN-CTC is an established, credible baseline choice for Nepali OCR rather than an arbitrary one. On the character-recognition side, Acharya, Dhungel, and Jha built a Nepali Handwritten Character Recognition System using a CNN classifier, reporting the same broad pattern seen in the wider Devanagari CNN literature: strong accuracy on isolated, pre-segmented Nepali characters, without addressing full-word or full-line recognition [15].</w:t>
      </w:r>
    </w:p>
    <w:p w14:paraId="3D670974">
      <w:pPr>
        <w:pStyle w:val="3"/>
      </w:pPr>
      <w:r>
        <w:t>The clearest precedent for the Transformer half of this project’s comparison is Hasan, Dhakal, Mehedi, and Rasel’s 2024 study, which built and evaluated a Transformer-based encoder-decoder OCR model on Nepali and Bengali optical text images, covering both handwritten and printed samples [16]. Its result — that a Transformer encoder-decoder can be trained end-to-end on Devanagari-family script images without hand-designed segmentation, mirroring TrOCR’s approach [5] — directly supports this project’s decision to extend TrOCR from single Devanagari characters to full Nepali document lines rather than treating the Transformer as untested for this script family. Finally, Shahi and Sitaula’s broader review of natural language processing for Nepali text situates OCR within the wider resource landscape for the language: it documents that the scarcity of large, standardized, publicly available Nepali-language datasets — for OCR as much as for other NLP tasks — is a structural bottleneck across the field, not one specific to any single project or model [17]. This is the same data scarcity that motivated this project’s use of synthetically generated Nepali word- and line-images to pretrain its document-level TrOCR model (Chapter 3), rather than relying on a real, human-annotated corpus that does not yet exist at the required scale.</w:t>
      </w:r>
    </w:p>
    <w:p w14:paraId="0F75A21B">
      <w:pPr>
        <w:pStyle w:val="3"/>
      </w:pPr>
      <w:r>
        <w:t>2.1.5 Commercial and General-Purpose OCR Engines</w:t>
      </w:r>
    </w:p>
    <w:p w14:paraId="746F7C87">
      <w:pPr>
        <w:pStyle w:val="3"/>
      </w:pPr>
      <w:r>
        <w:t>Alongside architecture research, several general-purpose OCR engines are widely used in practice and are relevant as a baseline for how well “off-the-shelf” OCR already handles Devanagari. Tesseract is an open-source OCR engine originally built around a CRNN-style pipeline and trained predominantly on printed Latin-script text; a 2024–2025 zero-shot evaluation on low-resourced non-Latin scripts found it “profoundly ineffective” outside its well-supported languages, with a mean Character Error Rate around 0.86 on unfamiliar scripts, reflecting how little of its training distribution resembles Devanagari handwriting [11]. EasyOCR, a deep-learning OCR toolkit covering roughly 80 languages including Devanagari, performed noticeably better in the same evaluation (mean CER around 0.47) but still fell well short of being reliable for unconstrained use [11]. Google’s Cloud Vision OCR API substantially outperformed both open-source engines on Devanagari in the same comparison, which the literature attributes to the scale and diversity of its training data — including a large corpus of real-world Indic-script images — rather than to any single architectural advantage [11]. Microsoft’s Azure AI Vision OCR occupies a similar commercial tier to Google’s offering, with broad multilingual printed-text support but comparatively little published, independent benchmarking specifically on handwritten Devanagari. The consistent pattern across all four engines is that none of them is designed or tuned specifically for handwritten Nepali government-document text, which is precisely the gap this project’s document-level TrOCR model (Chapter 3) targets by training on Nepali-specific synthetic data rather than relying on a general-purpose multilingual engine.</w:t>
      </w:r>
    </w:p>
    <w:p w14:paraId="4C72681D">
      <w:pPr>
        <w:pStyle w:val="3"/>
      </w:pPr>
      <w:r>
        <w:t>2.2 Comparison of Features</w:t>
      </w:r>
    </w:p>
    <w:p w14:paraId="2260C32C">
      <w:pPr>
        <w:pStyle w:val="3"/>
      </w:pPr>
      <w:r>
        <w:t>Table 2-1 summarises the systems discussed above, highlighting the recognition unit each targets (isolated character vs. line/document), its core technique, and its principal strength and weakness.</w:t>
      </w:r>
    </w:p>
    <w:p w14:paraId="642650D6">
      <w:pPr>
        <w:pStyle w:val="3"/>
      </w:pPr>
      <w:r>
        <w:t>Table 2-1: Comparison of features</w:t>
      </w:r>
    </w:p>
    <w:tbl>
      <w:tblPr>
        <w:tblStyle w:val="41"/>
        <w:tblW w:w="5000" w:type="pct"/>
        <w:tblInd w:w="0" w:type="dxa"/>
        <w:tblLayout w:type="fixed"/>
        <w:tblCellMar>
          <w:top w:w="0" w:type="dxa"/>
          <w:left w:w="108" w:type="dxa"/>
          <w:bottom w:w="0" w:type="dxa"/>
          <w:right w:w="108" w:type="dxa"/>
        </w:tblCellMar>
      </w:tblPr>
      <w:tblGrid>
        <w:gridCol w:w="1771"/>
        <w:gridCol w:w="1771"/>
        <w:gridCol w:w="1771"/>
        <w:gridCol w:w="1771"/>
        <w:gridCol w:w="1771"/>
      </w:tblGrid>
      <w:tr w14:paraId="29315564">
        <w:tblPrEx>
          <w:tblCellMar>
            <w:top w:w="0" w:type="dxa"/>
            <w:left w:w="108" w:type="dxa"/>
            <w:bottom w:w="0" w:type="dxa"/>
            <w:right w:w="108" w:type="dxa"/>
          </w:tblCellMar>
        </w:tblPrEx>
        <w:trPr>
          <w:tblHeader/>
        </w:trPr>
        <w:tc>
          <w:p w14:paraId="0F132222">
            <w:pPr>
              <w:pStyle w:val="24"/>
            </w:pPr>
            <w:r>
              <w:t>Authors / System</w:t>
            </w:r>
          </w:p>
        </w:tc>
        <w:tc>
          <w:p w14:paraId="38DD7E29">
            <w:pPr>
              <w:pStyle w:val="24"/>
            </w:pPr>
            <w:r>
              <w:t>Description</w:t>
            </w:r>
          </w:p>
        </w:tc>
        <w:tc>
          <w:p w14:paraId="3F99935C">
            <w:pPr>
              <w:pStyle w:val="24"/>
            </w:pPr>
            <w:r>
              <w:t>Core Technique</w:t>
            </w:r>
          </w:p>
        </w:tc>
        <w:tc>
          <w:p w14:paraId="77F1C085">
            <w:pPr>
              <w:pStyle w:val="24"/>
            </w:pPr>
            <w:r>
              <w:t>Strengths</w:t>
            </w:r>
          </w:p>
        </w:tc>
        <w:tc>
          <w:p w14:paraId="376986A8">
            <w:pPr>
              <w:pStyle w:val="24"/>
            </w:pPr>
            <w:r>
              <w:t>Weakness</w:t>
            </w:r>
          </w:p>
        </w:tc>
      </w:tr>
      <w:tr w14:paraId="36AD19B0">
        <w:tblPrEx>
          <w:tblCellMar>
            <w:top w:w="0" w:type="dxa"/>
            <w:left w:w="108" w:type="dxa"/>
            <w:bottom w:w="0" w:type="dxa"/>
            <w:right w:w="108" w:type="dxa"/>
          </w:tblCellMar>
        </w:tblPrEx>
        <w:tc>
          <w:p w14:paraId="687DAD93">
            <w:pPr>
              <w:pStyle w:val="24"/>
            </w:pPr>
            <w:r>
              <w:t>Pal &amp; Chanda [1]</w:t>
            </w:r>
          </w:p>
        </w:tc>
        <w:tc>
          <w:p w14:paraId="53D8922A">
            <w:pPr>
              <w:pStyle w:val="24"/>
            </w:pPr>
            <w:r>
              <w:t>Offline handwritten Devanagari character recognition</w:t>
            </w:r>
          </w:p>
        </w:tc>
        <w:tc>
          <w:p w14:paraId="2E6A6801">
            <w:pPr>
              <w:pStyle w:val="24"/>
            </w:pPr>
            <w:r>
              <w:t>Gradient/curvature features + SVM + MQDF</w:t>
            </w:r>
          </w:p>
        </w:tc>
        <w:tc>
          <w:p w14:paraId="38FCE190">
            <w:pPr>
              <w:pStyle w:val="24"/>
            </w:pPr>
            <w:r>
              <w:t>High accuracy with hand-designed features</w:t>
            </w:r>
          </w:p>
        </w:tc>
        <w:tc>
          <w:p w14:paraId="1EDEEA5B">
            <w:pPr>
              <w:pStyle w:val="24"/>
            </w:pPr>
            <w:r>
              <w:t>Confuses visually similar characters; features do not scale to new scripts</w:t>
            </w:r>
          </w:p>
        </w:tc>
      </w:tr>
      <w:tr w14:paraId="6B7AC350">
        <w:tblPrEx>
          <w:tblCellMar>
            <w:top w:w="0" w:type="dxa"/>
            <w:left w:w="108" w:type="dxa"/>
            <w:bottom w:w="0" w:type="dxa"/>
            <w:right w:w="108" w:type="dxa"/>
          </w:tblCellMar>
        </w:tblPrEx>
        <w:tc>
          <w:p w14:paraId="568C7173">
            <w:pPr>
              <w:pStyle w:val="24"/>
            </w:pPr>
            <w:r>
              <w:t>HCR-Net (Chauhan et al.) [2]</w:t>
            </w:r>
          </w:p>
        </w:tc>
        <w:tc>
          <w:p w14:paraId="39E72EEB">
            <w:pPr>
              <w:pStyle w:val="24"/>
            </w:pPr>
            <w:r>
              <w:t>Script-independent handwritten character recognition</w:t>
            </w:r>
          </w:p>
        </w:tc>
        <w:tc>
          <w:p w14:paraId="45A26008">
            <w:pPr>
              <w:pStyle w:val="24"/>
            </w:pPr>
            <w:r>
              <w:t>Transfer-learning CNN + image augmentation</w:t>
            </w:r>
          </w:p>
        </w:tc>
        <w:tc>
          <w:p w14:paraId="6CD0654B">
            <w:pPr>
              <w:pStyle w:val="24"/>
            </w:pPr>
            <w:r>
              <w:t>Fast training, works with small datasets, generalizes across scripts</w:t>
            </w:r>
          </w:p>
        </w:tc>
        <w:tc>
          <w:p w14:paraId="3C8ABC14">
            <w:pPr>
              <w:pStyle w:val="24"/>
            </w:pPr>
            <w:r>
              <w:t>Isolated-character only; no document-level reading</w:t>
            </w:r>
          </w:p>
        </w:tc>
      </w:tr>
      <w:tr w14:paraId="2792A844">
        <w:tblPrEx>
          <w:tblCellMar>
            <w:top w:w="0" w:type="dxa"/>
            <w:left w:w="108" w:type="dxa"/>
            <w:bottom w:w="0" w:type="dxa"/>
            <w:right w:w="108" w:type="dxa"/>
          </w:tblCellMar>
        </w:tblPrEx>
        <w:tc>
          <w:p w14:paraId="72776843">
            <w:pPr>
              <w:pStyle w:val="24"/>
            </w:pPr>
            <w:r>
              <w:t>MallaNet (Malla) [3]</w:t>
            </w:r>
          </w:p>
        </w:tc>
        <w:tc>
          <w:p w14:paraId="2103CA39">
            <w:pPr>
              <w:pStyle w:val="24"/>
            </w:pPr>
            <w:r>
              <w:t>Devanagari character recognition on DHCD</w:t>
            </w:r>
          </w:p>
        </w:tc>
        <w:tc>
          <w:p w14:paraId="58657CE8">
            <w:pPr>
              <w:pStyle w:val="24"/>
            </w:pPr>
            <w:r>
              <w:t>Residual branch-merge CNN with filter capsules</w:t>
            </w:r>
          </w:p>
        </w:tc>
        <w:tc>
          <w:p w14:paraId="57CAB882">
            <w:pPr>
              <w:pStyle w:val="24"/>
            </w:pPr>
            <w:r>
              <w:t>Very high (~99%) isolated-character accuracy</w:t>
            </w:r>
          </w:p>
        </w:tc>
        <w:tc>
          <w:p w14:paraId="2C5278D5">
            <w:pPr>
              <w:pStyle w:val="24"/>
            </w:pPr>
            <w:r>
              <w:t>Same isolated-character ceiling as all CNN classifiers</w:t>
            </w:r>
          </w:p>
        </w:tc>
      </w:tr>
      <w:tr w14:paraId="58582F62">
        <w:tblPrEx>
          <w:tblCellMar>
            <w:top w:w="0" w:type="dxa"/>
            <w:left w:w="108" w:type="dxa"/>
            <w:bottom w:w="0" w:type="dxa"/>
            <w:right w:w="108" w:type="dxa"/>
          </w:tblCellMar>
        </w:tblPrEx>
        <w:tc>
          <w:p w14:paraId="191A7C51">
            <w:pPr>
              <w:pStyle w:val="24"/>
            </w:pPr>
            <w:r>
              <w:t>CRNN (Shi et al.) [7]</w:t>
            </w:r>
          </w:p>
        </w:tc>
        <w:tc>
          <w:p w14:paraId="524EC0FC">
            <w:pPr>
              <w:pStyle w:val="24"/>
            </w:pPr>
            <w:r>
              <w:t>End-to-end trainable line/word recognition</w:t>
            </w:r>
          </w:p>
        </w:tc>
        <w:tc>
          <w:p w14:paraId="499F65F2">
            <w:pPr>
              <w:pStyle w:val="24"/>
            </w:pPr>
            <w:r>
              <w:t>CNN + BiLSTM + CTC loss</w:t>
            </w:r>
          </w:p>
        </w:tc>
        <w:tc>
          <w:p w14:paraId="08A3C525">
            <w:pPr>
              <w:pStyle w:val="24"/>
            </w:pPr>
            <w:r>
              <w:t>Segmentation-free; reads variable-length sequences</w:t>
            </w:r>
          </w:p>
        </w:tc>
        <w:tc>
          <w:p w14:paraId="3D8BB09A">
            <w:pPr>
              <w:pStyle w:val="24"/>
            </w:pPr>
            <w:r>
              <w:t>Struggles with very long-range dependencies; recurrence is inherently sequential</w:t>
            </w:r>
          </w:p>
        </w:tc>
      </w:tr>
      <w:tr w14:paraId="3341CE4A">
        <w:tblPrEx>
          <w:tblCellMar>
            <w:top w:w="0" w:type="dxa"/>
            <w:left w:w="108" w:type="dxa"/>
            <w:bottom w:w="0" w:type="dxa"/>
            <w:right w:w="108" w:type="dxa"/>
          </w:tblCellMar>
        </w:tblPrEx>
        <w:tc>
          <w:p w14:paraId="766879BC">
            <w:pPr>
              <w:pStyle w:val="24"/>
            </w:pPr>
            <w:r>
              <w:t>TrOCR (Li et al.) [5]</w:t>
            </w:r>
          </w:p>
        </w:tc>
        <w:tc>
          <w:p w14:paraId="3D5DF07F">
            <w:pPr>
              <w:pStyle w:val="24"/>
            </w:pPr>
            <w:r>
              <w:t>Transformer-based OCR with pre-trained models</w:t>
            </w:r>
          </w:p>
        </w:tc>
        <w:tc>
          <w:p w14:paraId="1C3AE10D">
            <w:pPr>
              <w:pStyle w:val="24"/>
            </w:pPr>
            <w:r>
              <w:t>ViT encoder + Transformer text decoder</w:t>
            </w:r>
          </w:p>
        </w:tc>
        <w:tc>
          <w:p w14:paraId="17914DBF">
            <w:pPr>
              <w:pStyle w:val="24"/>
            </w:pPr>
            <w:r>
              <w:t>State-of-the-art on printed/handwritten/scene text; strong long-range context</w:t>
            </w:r>
          </w:p>
        </w:tc>
        <w:tc>
          <w:p w14:paraId="01BE9DFD">
            <w:pPr>
              <w:pStyle w:val="24"/>
            </w:pPr>
            <w:r>
              <w:t>Computationally heavier; needs more data/compute to fine-tune well</w:t>
            </w:r>
          </w:p>
        </w:tc>
      </w:tr>
      <w:tr w14:paraId="4825F975">
        <w:tblPrEx>
          <w:tblCellMar>
            <w:top w:w="0" w:type="dxa"/>
            <w:left w:w="108" w:type="dxa"/>
            <w:bottom w:w="0" w:type="dxa"/>
            <w:right w:w="108" w:type="dxa"/>
          </w:tblCellMar>
        </w:tblPrEx>
        <w:tc>
          <w:p w14:paraId="4989001B">
            <w:pPr>
              <w:pStyle w:val="24"/>
            </w:pPr>
            <w:r>
              <w:t>PARSeq (Bautista &amp; Atienza) [10]</w:t>
            </w:r>
          </w:p>
        </w:tc>
        <w:tc>
          <w:p w14:paraId="0FD3A5F5">
            <w:pPr>
              <w:pStyle w:val="24"/>
            </w:pPr>
            <w:r>
              <w:t>Permuted autoregressive scene-text recognition</w:t>
            </w:r>
          </w:p>
        </w:tc>
        <w:tc>
          <w:p w14:paraId="33E33188">
            <w:pPr>
              <w:pStyle w:val="24"/>
            </w:pPr>
            <w:r>
              <w:t>Transformer with permutation language modelling</w:t>
            </w:r>
          </w:p>
        </w:tc>
        <w:tc>
          <w:p w14:paraId="5F4B2891">
            <w:pPr>
              <w:pStyle w:val="24"/>
            </w:pPr>
            <w:r>
              <w:t>Same model can run as fast parallel or accurate iterative reader</w:t>
            </w:r>
          </w:p>
        </w:tc>
        <w:tc>
          <w:p w14:paraId="35FE031D">
            <w:pPr>
              <w:pStyle w:val="24"/>
            </w:pPr>
            <w:r>
              <w:t>Designed and validated on Latin scene text, not yet on Devanagari</w:t>
            </w:r>
          </w:p>
        </w:tc>
      </w:tr>
      <w:tr w14:paraId="62D093F2">
        <w:tblPrEx>
          <w:tblCellMar>
            <w:top w:w="0" w:type="dxa"/>
            <w:left w:w="108" w:type="dxa"/>
            <w:bottom w:w="0" w:type="dxa"/>
            <w:right w:w="108" w:type="dxa"/>
          </w:tblCellMar>
        </w:tblPrEx>
        <w:tc>
          <w:p w14:paraId="0D8E24A6">
            <w:pPr>
              <w:pStyle w:val="24"/>
            </w:pPr>
            <w:r>
              <w:t>Tesseract</w:t>
            </w:r>
          </w:p>
        </w:tc>
        <w:tc>
          <w:p w14:paraId="52084936">
            <w:pPr>
              <w:pStyle w:val="24"/>
            </w:pPr>
            <w:r>
              <w:t>General-purpose open-source OCR engine</w:t>
            </w:r>
          </w:p>
        </w:tc>
        <w:tc>
          <w:p w14:paraId="017B9816">
            <w:pPr>
              <w:pStyle w:val="24"/>
            </w:pPr>
            <w:r>
              <w:t>Legacy + LSTM-based line recognition</w:t>
            </w:r>
          </w:p>
        </w:tc>
        <w:tc>
          <w:p w14:paraId="07A8A12F">
            <w:pPr>
              <w:pStyle w:val="24"/>
            </w:pPr>
            <w:r>
              <w:t>Free, offline, widely deployed</w:t>
            </w:r>
          </w:p>
        </w:tc>
        <w:tc>
          <w:p w14:paraId="5B5BEC36">
            <w:pPr>
              <w:pStyle w:val="24"/>
            </w:pPr>
            <w:r>
              <w:t>Very high error rate outside its well-supported (mostly Latin) languages</w:t>
            </w:r>
          </w:p>
        </w:tc>
      </w:tr>
      <w:tr w14:paraId="5653BF9F">
        <w:tblPrEx>
          <w:tblCellMar>
            <w:top w:w="0" w:type="dxa"/>
            <w:left w:w="108" w:type="dxa"/>
            <w:bottom w:w="0" w:type="dxa"/>
            <w:right w:w="108" w:type="dxa"/>
          </w:tblCellMar>
        </w:tblPrEx>
        <w:tc>
          <w:p w14:paraId="287E8AEA">
            <w:pPr>
              <w:pStyle w:val="24"/>
            </w:pPr>
            <w:r>
              <w:t>EasyOCR</w:t>
            </w:r>
          </w:p>
        </w:tc>
        <w:tc>
          <w:p w14:paraId="4518CB65">
            <w:pPr>
              <w:pStyle w:val="24"/>
            </w:pPr>
            <w:r>
              <w:t>General-purpose deep-learning OCR toolkit</w:t>
            </w:r>
          </w:p>
        </w:tc>
        <w:tc>
          <w:p w14:paraId="3A69B7D1">
            <w:pPr>
              <w:pStyle w:val="24"/>
            </w:pPr>
            <w:r>
              <w:t>CRNN-style multilingual recognizer</w:t>
            </w:r>
          </w:p>
        </w:tc>
        <w:tc>
          <w:p w14:paraId="63EEC845">
            <w:pPr>
              <w:pStyle w:val="24"/>
            </w:pPr>
            <w:r>
              <w:t>Broad language coverage including Devanagari; better than Tesseract on it</w:t>
            </w:r>
          </w:p>
        </w:tc>
        <w:tc>
          <w:p w14:paraId="6C84EA7C">
            <w:pPr>
              <w:pStyle w:val="24"/>
            </w:pPr>
            <w:r>
              <w:t>Still inconsistent on Devanagari handwriting; not government-form specific</w:t>
            </w:r>
          </w:p>
        </w:tc>
      </w:tr>
      <w:tr w14:paraId="343F8D92">
        <w:tblPrEx>
          <w:tblCellMar>
            <w:top w:w="0" w:type="dxa"/>
            <w:left w:w="108" w:type="dxa"/>
            <w:bottom w:w="0" w:type="dxa"/>
            <w:right w:w="108" w:type="dxa"/>
          </w:tblCellMar>
        </w:tblPrEx>
        <w:tc>
          <w:p w14:paraId="29F788AC">
            <w:pPr>
              <w:pStyle w:val="24"/>
            </w:pPr>
            <w:r>
              <w:t>Google Cloud Vision OCR</w:t>
            </w:r>
          </w:p>
        </w:tc>
        <w:tc>
          <w:p w14:paraId="23073650">
            <w:pPr>
              <w:pStyle w:val="24"/>
            </w:pPr>
            <w:r>
              <w:t>Commercial cloud OCR API</w:t>
            </w:r>
          </w:p>
        </w:tc>
        <w:tc>
          <w:p w14:paraId="0CBBF809">
            <w:pPr>
              <w:pStyle w:val="24"/>
            </w:pPr>
            <w:r>
              <w:t>Large-scale proprietary deep model</w:t>
            </w:r>
          </w:p>
        </w:tc>
        <w:tc>
          <w:p w14:paraId="292CBA51">
            <w:pPr>
              <w:pStyle w:val="24"/>
            </w:pPr>
            <w:r>
              <w:t>Best-in-class accuracy on Devanagari among general engines</w:t>
            </w:r>
          </w:p>
        </w:tc>
        <w:tc>
          <w:p w14:paraId="47DD0278">
            <w:pPr>
              <w:pStyle w:val="24"/>
            </w:pPr>
            <w:r>
              <w:t>Closed-source, paid, requires internet connectivity and data upload</w:t>
            </w:r>
          </w:p>
        </w:tc>
      </w:tr>
      <w:tr w14:paraId="4D4305BB">
        <w:tblPrEx>
          <w:tblCellMar>
            <w:top w:w="0" w:type="dxa"/>
            <w:left w:w="108" w:type="dxa"/>
            <w:bottom w:w="0" w:type="dxa"/>
            <w:right w:w="108" w:type="dxa"/>
          </w:tblCellMar>
        </w:tblPrEx>
        <w:tc>
          <w:p w14:paraId="00E56C71">
            <w:pPr>
              <w:pStyle w:val="24"/>
            </w:pPr>
            <w:r>
              <w:t>Pant &amp; Bal [12]</w:t>
            </w:r>
          </w:p>
        </w:tc>
        <w:tc>
          <w:p w14:paraId="7D238341">
            <w:pPr>
              <w:pStyle w:val="24"/>
            </w:pPr>
            <w:r>
              <w:t>Hybrid Nepali OCR (word + character level)</w:t>
            </w:r>
          </w:p>
        </w:tc>
        <w:tc>
          <w:p w14:paraId="33FA1030">
            <w:pPr>
              <w:pStyle w:val="24"/>
            </w:pPr>
            <w:r>
              <w:t>Holistic word recognition + character classifier</w:t>
            </w:r>
          </w:p>
        </w:tc>
        <w:tc>
          <w:p w14:paraId="5048AB99">
            <w:pPr>
              <w:pStyle w:val="24"/>
            </w:pPr>
            <w:r>
              <w:t>~10% accuracy gain over character-only recognition; ~90% word-level accuracy</w:t>
            </w:r>
          </w:p>
        </w:tc>
        <w:tc>
          <w:p w14:paraId="63B46CE0">
            <w:pPr>
              <w:pStyle w:val="24"/>
            </w:pPr>
            <w:r>
              <w:t>Segmentation errors on compound/shadow characters remain the bottleneck</w:t>
            </w:r>
          </w:p>
        </w:tc>
      </w:tr>
      <w:tr w14:paraId="2CBFC498">
        <w:tblPrEx>
          <w:tblCellMar>
            <w:top w:w="0" w:type="dxa"/>
            <w:left w:w="108" w:type="dxa"/>
            <w:bottom w:w="0" w:type="dxa"/>
            <w:right w:w="108" w:type="dxa"/>
          </w:tblCellMar>
        </w:tblPrEx>
        <w:tc>
          <w:p w14:paraId="6CFD67F5">
            <w:pPr>
              <w:pStyle w:val="24"/>
            </w:pPr>
            <w:r>
              <w:t>Hengaju &amp; Bal [13]</w:t>
            </w:r>
          </w:p>
        </w:tc>
        <w:tc>
          <w:p w14:paraId="3C139375">
            <w:pPr>
              <w:pStyle w:val="24"/>
            </w:pPr>
            <w:r>
              <w:t>Preprocessing for Tesseract-OCR on Nepali text</w:t>
            </w:r>
          </w:p>
        </w:tc>
        <w:tc>
          <w:p w14:paraId="7B93BA87">
            <w:pPr>
              <w:pStyle w:val="24"/>
            </w:pPr>
            <w:r>
              <w:t>8-step image preprocessing pipeline</w:t>
            </w:r>
          </w:p>
        </w:tc>
        <w:tc>
          <w:p w14:paraId="684D678D">
            <w:pPr>
              <w:pStyle w:val="24"/>
            </w:pPr>
            <w:r>
              <w:t>Raised Tesseract accuracy by ~4-13 points across image quality levels without retraining the engine</w:t>
            </w:r>
          </w:p>
        </w:tc>
        <w:tc>
          <w:p w14:paraId="69C499E2">
            <w:pPr>
              <w:pStyle w:val="24"/>
            </w:pPr>
            <w:r>
              <w:t>Still bounded by Tesseract’s underlying Nepali recognition ceiling</w:t>
            </w:r>
          </w:p>
        </w:tc>
      </w:tr>
      <w:tr w14:paraId="65FF11C6">
        <w:tblPrEx>
          <w:tblCellMar>
            <w:top w:w="0" w:type="dxa"/>
            <w:left w:w="108" w:type="dxa"/>
            <w:bottom w:w="0" w:type="dxa"/>
            <w:right w:w="108" w:type="dxa"/>
          </w:tblCellMar>
        </w:tblPrEx>
        <w:tc>
          <w:p w14:paraId="6956F8F8">
            <w:pPr>
              <w:pStyle w:val="24"/>
            </w:pPr>
            <w:r>
              <w:t>Nakarmi, Sthapit, Shakya, Chulyadyo &amp; Bal [14]</w:t>
            </w:r>
          </w:p>
        </w:tc>
        <w:tc>
          <w:p w14:paraId="4D367D35">
            <w:pPr>
              <w:pStyle w:val="24"/>
            </w:pPr>
            <w:r>
              <w:t>Nepal script line recognition</w:t>
            </w:r>
          </w:p>
        </w:tc>
        <w:tc>
          <w:p w14:paraId="70B8F433">
            <w:pPr>
              <w:pStyle w:val="24"/>
            </w:pPr>
            <w:r>
              <w:t>CRNN + CTC, Nepali-specific</w:t>
            </w:r>
          </w:p>
        </w:tc>
        <w:tc>
          <w:p w14:paraId="24C6D3DF">
            <w:pPr>
              <w:pStyle w:val="24"/>
            </w:pPr>
            <w:r>
              <w:t>First dedicated CRNN-CTC baseline for Nepal script</w:t>
            </w:r>
          </w:p>
        </w:tc>
        <w:tc>
          <w:p w14:paraId="06753ADC">
            <w:pPr>
              <w:pStyle w:val="24"/>
            </w:pPr>
            <w:r>
              <w:t>Line-level printed/clean text; not evaluated on unconstrained handwriting</w:t>
            </w:r>
          </w:p>
        </w:tc>
      </w:tr>
      <w:tr w14:paraId="20D52D92">
        <w:tblPrEx>
          <w:tblCellMar>
            <w:top w:w="0" w:type="dxa"/>
            <w:left w:w="108" w:type="dxa"/>
            <w:bottom w:w="0" w:type="dxa"/>
            <w:right w:w="108" w:type="dxa"/>
          </w:tblCellMar>
        </w:tblPrEx>
        <w:tc>
          <w:p w14:paraId="4F56F1C5">
            <w:pPr>
              <w:pStyle w:val="24"/>
            </w:pPr>
            <w:r>
              <w:t>Acharya, Dhungel &amp; Jha [15]</w:t>
            </w:r>
          </w:p>
        </w:tc>
        <w:tc>
          <w:p w14:paraId="2A3C9539">
            <w:pPr>
              <w:pStyle w:val="24"/>
            </w:pPr>
            <w:r>
              <w:t>Nepali Handwritten Character Recognition System</w:t>
            </w:r>
          </w:p>
        </w:tc>
        <w:tc>
          <w:p w14:paraId="1D52A7F9">
            <w:pPr>
              <w:pStyle w:val="24"/>
            </w:pPr>
            <w:r>
              <w:t>CNN classifier</w:t>
            </w:r>
          </w:p>
        </w:tc>
        <w:tc>
          <w:p w14:paraId="72C27CC8">
            <w:pPr>
              <w:pStyle w:val="24"/>
            </w:pPr>
            <w:r>
              <w:t>Good isolated-character accuracy for Nepali</w:t>
            </w:r>
          </w:p>
        </w:tc>
        <w:tc>
          <w:p w14:paraId="5714CBC6">
            <w:pPr>
              <w:pStyle w:val="24"/>
            </w:pPr>
            <w:r>
              <w:t>Character-level only; same segmentation ceiling as other CNN classifiers</w:t>
            </w:r>
          </w:p>
        </w:tc>
      </w:tr>
      <w:tr w14:paraId="175ECC7F">
        <w:tblPrEx>
          <w:tblCellMar>
            <w:top w:w="0" w:type="dxa"/>
            <w:left w:w="108" w:type="dxa"/>
            <w:bottom w:w="0" w:type="dxa"/>
            <w:right w:w="108" w:type="dxa"/>
          </w:tblCellMar>
        </w:tblPrEx>
        <w:tc>
          <w:p w14:paraId="3F8B1DAF">
            <w:pPr>
              <w:pStyle w:val="24"/>
            </w:pPr>
            <w:r>
              <w:t>Hasan, Dhakal, Mehedi &amp; Rasel [16]</w:t>
            </w:r>
          </w:p>
        </w:tc>
        <w:tc>
          <w:p w14:paraId="0948E455">
            <w:pPr>
              <w:pStyle w:val="24"/>
            </w:pPr>
            <w:r>
              <w:t>Transformer OCR for Nepali and Bengali</w:t>
            </w:r>
          </w:p>
        </w:tc>
        <w:tc>
          <w:p w14:paraId="06712BE1">
            <w:pPr>
              <w:pStyle w:val="24"/>
            </w:pPr>
            <w:r>
              <w:t>Transformer encoder-decoder</w:t>
            </w:r>
          </w:p>
        </w:tc>
        <w:tc>
          <w:p w14:paraId="35E2B7D9">
            <w:pPr>
              <w:pStyle w:val="24"/>
            </w:pPr>
            <w:r>
              <w:t>Confirms Transformer OCR is viable for Devanagari-family scripts, handwritten and printed</w:t>
            </w:r>
          </w:p>
        </w:tc>
        <w:tc>
          <w:p w14:paraId="1E8880F1">
            <w:pPr>
              <w:pStyle w:val="24"/>
            </w:pPr>
            <w:r>
              <w:t>Evaluated on a small, project-specific dataset rather than a large public benchmark</w:t>
            </w:r>
          </w:p>
        </w:tc>
      </w:tr>
    </w:tbl>
    <w:p w14:paraId="7607C6E7">
      <w:pPr>
        <w:pStyle w:val="3"/>
      </w:pPr>
      <w:r>
        <w:t>2.3 Research Gaps</w:t>
      </w:r>
    </w:p>
    <w:p w14:paraId="4F0812A5">
      <w:pPr>
        <w:pStyle w:val="3"/>
      </w:pPr>
      <w:r>
        <w:t>2.3.1 Lack of Generalization: Systems trained and benchmarked on one controlled dataset — most commonly the isolated-character DHCD benchmark — do not automatically generalize to real, continuously written documents, scanned forms, or mixed Devanagari/Latin content. The 99%-class accuracy reported for CNN classifiers on DHCD [2], [3] and the much lower, inconsistent accuracy that general-purpose engines achieve on real Devanagari text in the wild [11] are two measurements of the same underlying gap.</w:t>
      </w:r>
    </w:p>
    <w:p w14:paraId="79D704D0">
      <w:pPr>
        <w:pStyle w:val="3"/>
      </w:pPr>
      <w:r>
        <w:t>2.3.2 Segmentation Errors: Every recognition pipeline that depends on cutting a page into individual character images before classification inherits the same weakness: the shirorekha and halant-joined conjuncts in Devanagari do not leave clean character boundaries to cut along, so over-segmentation and under-segmentation are unavoidable rather than incidental bugs. Pant and Bal identify this explicitly as the dominant remaining error source in their hybrid Nepali OCR system even after a roughly 10% accuracy improvement from combining word- and character-level recognition [12].</w:t>
      </w:r>
    </w:p>
    <w:p w14:paraId="3621919C">
      <w:pPr>
        <w:pStyle w:val="3"/>
      </w:pPr>
      <w:r>
        <w:t>2.3.3 Limited Handling of Complex Characters: Most published Devanagari CNN classifiers, including the highest-accuracy ones reviewed above, are trained and evaluated on the base set of consonants and digits; conjuncts, ligatures, and rare compound forms are typically under-represented in benchmark datasets and correspondingly under-served by the resulting models.</w:t>
      </w:r>
    </w:p>
    <w:p w14:paraId="736E0886">
      <w:pPr>
        <w:pStyle w:val="3"/>
      </w:pPr>
      <w:r>
        <w:t>2.3.4 Dependence on Large Labelled Datasets: Transformer-based OCR models are markedly more data-hungry than CNN classifiers, since they are not pre-biased toward local, translation-invariant features the way a CNN is [9]. Large, labelled corpora of real handwritten Nepali lines or documents — as opposed to isolated characters — do not currently exist in the public domain; Shahi and Sitaula’s review of Nepali NLP identifies this dataset scarcity as a structural, language-wide bottleneck rather than a gap specific to OCR [17], which is the direct motivation for the synthetic-data pretraining strategy adopted in this project’s document-level track (Chapter 3).</w:t>
      </w:r>
    </w:p>
    <w:p w14:paraId="5CEAD74F">
      <w:pPr>
        <w:pStyle w:val="3"/>
      </w:pPr>
      <w:r>
        <w:t>2.3.5 High Computational Requirements: Transformer OCR models are substantially larger and more expensive to train and serve than CNN classifiers of comparable task scope, which limits how quickly they can be iterated on without dedicated GPU infrastructure — a constraint this project encountered directly when a cloud GPU session’s usage quota was exhausted mid-training (Chapter 3).</w:t>
      </w:r>
    </w:p>
    <w:p w14:paraId="64D33D12">
      <w:pPr>
        <w:pStyle w:val="3"/>
      </w:pPr>
      <w:r>
        <w:t>2.4 Summary</w:t>
      </w:r>
    </w:p>
    <w:p w14:paraId="3CDF1B39">
      <w:pPr>
        <w:pStyle w:val="3"/>
      </w:pPr>
      <w:r>
        <w:t>The literature shows a consistent progression from handcrafted features, to CNN classifiers that learn their own visual features but are confined to isolated glyphs, to sequence models (CRNN-CTC) and Transformer models (TrOCR, PARSeq) that can read variable-length text without prior character segmentation. Nepali-specific work spanning nearly two decades of research at Kathmandu University’s ILPRL — from preprocessing-based improvements to an existing engine [13], to a dedicated Nepali CRNN-CTC baseline [14], to isolated-character CNN classifiers [15] — mirrors this same progression, and a 2024 Transformer OCR study on Nepali and Bengali text [16] confirms that the Transformer branch of this progression is applicable to Devanagari-family scripts specifically, not only to Latin scene text. Taken together, the literature confirms that the remaining open problem for Nepali OCR is not raw single-character accuracy — which is already close to saturated at roughly 99% on standard benchmarks [2], [3] — but generalization from isolated characters to real, connected, document-level text, compounded by a persistent shortage of large, public, real handwritten Nepali datasets [17]. This project’s methodology (Chapter 3) is built directly around closing that specific gap: a controlled CNN-vs-Transformer comparison at the character level, followed by an extension of the stronger architecture to document-level Nepali text using synthetic-data pretraining and line-level segmentation.</w:t>
      </w:r>
    </w:p>
    <w:p w14:paraId="53EAA192">
      <w:r>
        <w:pict>
          <v:rect id="_x0000_i1026" o:spt="1" style="height:1.5pt;width:0pt;" coordsize="21600,21600" o:hr="t" o:hrstd="t" o:hralign="center">
            <v:path/>
            <v:fill focussize="0,0"/>
            <v:stroke/>
            <v:imagedata o:title=""/>
            <o:lock v:ext="edit"/>
            <w10:wrap type="none"/>
            <w10:anchorlock/>
          </v:rect>
        </w:pict>
      </w:r>
    </w:p>
    <w:p w14:paraId="0976163D">
      <w:pPr>
        <w:pStyle w:val="23"/>
      </w:pPr>
      <w:r>
        <w:t>CHAPTER 3: METHODOLOGY</w:t>
      </w:r>
    </w:p>
    <w:p w14:paraId="0A6F8076">
      <w:pPr>
        <w:pStyle w:val="3"/>
      </w:pPr>
      <w:r>
        <w:t>This chapter describes how the two OCR pipelines introduced in Chapter 2 — a CNN-based CRNN model and a Transformer-based TrOCR model — were built, trained, evaluated, compared, and finally deployed as a working document-digitization system. The chapter follows the order in which the work was actually carried out: dataset preparation, preprocessing, the two model architectures, training (including two bugs that were found and fixed during TrOCR training), the extension from isolated characters to full document lines, the web application and API that expose the trained models, evaluation methodology, the experimental environment, the technology stack, system design, and testing.</w:t>
      </w:r>
    </w:p>
    <w:p w14:paraId="6FCC47D1">
      <w:pPr>
        <w:pStyle w:val="3"/>
      </w:pPr>
      <w:r>
        <w:t>3.1 Dataset</w:t>
      </w:r>
    </w:p>
    <w:p w14:paraId="3E15E205">
      <w:pPr>
        <w:pStyle w:val="3"/>
      </w:pPr>
      <w:r>
        <w:t>The character-level comparison used the Devanagari Handwritten Character Dataset (DHCD): 92,000 grayscale images across 46 classes (36 consonants and 10 digits), each image 64×64 pixels. The dataset is perfectly balanced at 2,000 images per class, which was confirmed by exploratory data analysis (class counts, image-size distribution, and sample grids) before any model was trained, so that the very high accuracy reported in Chapter 4 could not be an artefact of class imbalance. A reproducible 80/10/10 train/validation/test split (73,609 / 9,191 / 9,200 images) was generated with a fixed random seed and persisted to a split-index file, so that the CNN and Transformer models were trained and evaluated on exactly the same partitions — a requirement for the comparison in Section 3.9 to be meaningful. The 46-class label set and the CTC blank symbol were fixed in a single character-set definition file shared by every training and inference script, so that class indices could not silently drift between the CRNN and TrOCR pipelines.</w:t>
      </w:r>
    </w:p>
    <w:p w14:paraId="6F9DBB81">
      <w:pPr>
        <w:pStyle w:val="3"/>
      </w:pPr>
      <w:r>
        <w:t>For the document-level extension (Section 3.6), no equivalent real, labelled corpus of handwritten Nepali lines or full pages exists publicly, consistent with the dataset-scarcity gap identified in Chapter 2 [17]. A synthetic word- and line-image dataset was therefore generated specifically for this project, described in Section 3.6.1.</w:t>
      </w:r>
    </w:p>
    <w:p w14:paraId="66A8BE61">
      <w:pPr>
        <w:pStyle w:val="3"/>
      </w:pPr>
      <w:r>
        <w:t>3.2 Data Preprocessing</w:t>
      </w:r>
    </w:p>
    <w:p w14:paraId="6293F646">
      <w:pPr>
        <w:pStyle w:val="3"/>
      </w:pPr>
      <w:r>
        <w:t>A single preprocessing pipeline was implemented once and imported by every training and inference script — the CRNN trainer, the TrOCR trainer, the backend API, and the web application all call the same function rather than each re-implementing the steps — specifically to eliminate train/serve skew, the class of bug where a model performs well in evaluation but poorly in production because the live input is processed slightly differently from the training input. The pipeline performs, in order: (1) conversion to grayscale; (2) Gaussian blur to suppress scan and camera noise; (3) adaptive thresholding (Gaussian-weighted, inverse binary) to binarize the image under uneven local lighting rather than a single global threshold, which handles the uneven illumination typical of phone-camera document photos; (4) skew correction, using the minimum-area bounding rectangle of the foreground pixels to estimate and undo any rotation introduced when the page or character was photographed at an angle; (5) resizing to a fixed 64×64 resolution; and (6) normalization of pixel values to the [0, 1] range to stabilize gradient-based training. The pipeline exposes both an in-memory array function, for the web application and API to preprocess an uploaded image without writing a temporary file to disk, and a file-path function that reads an image and calls the same array function — so the two entry points are guaranteed to behave identically. This directly follows the precedent set for Nepali OCR by Hengaju and Bal, whose eight-step preprocessing pipeline for Tesseract-OCR demonstrated that image conditioning by itself — independent of the recognition model — recovers a substantial share of achievable accuracy on real Nepali document photos [13].</w:t>
      </w:r>
    </w:p>
    <w:p w14:paraId="0CB85AD2">
      <w:pPr>
        <w:pStyle w:val="3"/>
      </w:pPr>
      <w:r>
        <w:t>For the Transformer branch specifically, one further preprocessing step was required and is discussed in Section 3.5.3: TrOCR’s pretrained image encoder expects dark ink on a light background, whereas the shared pipeline above produces a white-on-black binary image (inverse thresholding is standard for CNN training but is the opposite convention TrOCR was pretrained on).</w:t>
      </w:r>
    </w:p>
    <w:p w14:paraId="040CAE0F">
      <w:pPr>
        <w:pStyle w:val="3"/>
      </w:pPr>
      <w:bookmarkStart w:id="0" w:name="_GoBack"/>
      <w:r>
        <w:t>3.3 Data Augmentation</w:t>
      </w:r>
    </w:p>
    <w:p w14:paraId="48FEE100">
      <w:pPr>
        <w:pStyle w:val="3"/>
      </w:pPr>
      <w:r>
        <w:t>Data augmentation was applied to the training split only, never to validation or test data, so that reported evaluation metrics reflect performance on genuinely unseen, undistorted samples. For the character-level Transformer model, mild affine augmentation (rotation up to 5°, scaling 0.9-1.1×, translation up to 5% of image size, shear up to 5°) was applied; the transformations were kept deliberately small because a Devanagari character’s identity depends on the exact shape and position of its shirorekha and matras, so aggressive distortion risks turning one valid character into a plausible rendering of a different one. For the document-level synthetic data (Section 3.6.1), a wider range of handwriting-like augmentation — shear/slant, rotation, Gaussian blur, speckle noise, and contrast jitter — was applied during image generation itself, since the goal there was to simulate the range of real handwriting and scan conditions a line-recognition model would encounter, not merely to regularize a classifier against overfitting a small set of clean glyphs.</w:t>
      </w:r>
    </w:p>
    <w:bookmarkEnd w:id="0"/>
    <w:p w14:paraId="73B8EDC2">
      <w:pPr>
        <w:pStyle w:val="3"/>
      </w:pPr>
      <w:r>
        <w:t>3.4 OCR Model Architecture</w:t>
      </w:r>
    </w:p>
    <w:p w14:paraId="4FDDAD96">
      <w:pPr>
        <w:pStyle w:val="3"/>
      </w:pPr>
      <w:r>
        <w:t>3.4.1 CNN-Based Model: CRNN with CTC</w:t>
      </w:r>
    </w:p>
    <w:p w14:paraId="42C946F6">
      <w:pPr>
        <w:pStyle w:val="3"/>
      </w:pPr>
      <w:r>
        <w:t>The CNN-based baseline follows the CRNN design established by Shi, Bai, and Yao [7]: a convolutional feature extractor produces a sequence of feature columns from the input image, a Bidirectional LSTM models dependencies across that sequence in both directions, and a final linear layer produces a per-time-step probability distribution over the 46 character classes plus the CTC blank symbol, trained with Connectionist Temporal Classification loss so that no explicit per-character segmentation is required during training. The convolutional stack extracts a hierarchy of visual features directly from the 64×64 preprocessed input — edges and strokes in early layers, increasingly character-specific shapes in later layers — the same mechanism that gives modern CNN classifiers their accuracy on isolated Devanagari glyphs (Chapter 2) [2], [3]. Decoding at inference time uses greedy CTC decoding: at each time step the most probable class is taken, consecutive repeated predictions are collapsed to one, and the blank symbol is stripped, yielding the final predicted character sequence. The trained network has 6,712,559 parameters.</w:t>
      </w:r>
    </w:p>
    <w:p w14:paraId="20389B03">
      <w:pPr>
        <w:pStyle w:val="3"/>
      </w:pPr>
      <w:r>
        <w:t>3.4.2 Transformer-Based Model: TrOCR</w:t>
      </w:r>
    </w:p>
    <w:p w14:paraId="45A1BD56">
      <w:pPr>
        <w:pStyle w:val="3"/>
      </w:pPr>
      <w:r>
        <w:t xml:space="preserve">The Transformer-based model fine-tunes </w:t>
      </w:r>
      <w:r>
        <w:rPr>
          <w:rStyle w:val="48"/>
        </w:rPr>
        <w:t>microsoft/trocr-base-handwritten</w:t>
      </w:r>
      <w:r>
        <w:t xml:space="preserve">, following the TrOCR architecture of a pre-trained Vision Transformer image encoder paired with a pre-trained Transformer text decoder [5]. The encoder splits the input image into fixed-size patches, embeds each patch, adds positional encodings, and processes the resulting sequence with self-attention exactly as described in Chapter 2 [9]. The decoder generates output text autoregressively: at each step, self-attention over the tokens generated so far and cross-attention over the full sequence of encoded image patches jointly determine the next character, which is what allows the same architecture to be extended from single characters (this section) to full lines (Section 3.6) purely by increasing the maximum generation length, without any change to the model’s structure. Because the recognition targets are real Devanagari glyphs rather than opaque numeric class indices, target text for the Transformer model was mapped from each DHCD class folder name to its actual Unicode character (for example, the class </w:t>
      </w:r>
      <w:r>
        <w:rPr>
          <w:rStyle w:val="48"/>
        </w:rPr>
        <w:t>character_1_ka</w:t>
      </w:r>
      <w:r>
        <w:t xml:space="preserve"> was mapped to क) using a dedicated label-mapping table, so the Transformer’s output is directly human-readable Nepali text rather than a class ID that must be looked up separately.</w:t>
      </w:r>
    </w:p>
    <w:p w14:paraId="19614A8E">
      <w:pPr>
        <w:pStyle w:val="3"/>
      </w:pPr>
      <w:r>
        <w:t>3.5 Model Training</w:t>
      </w:r>
    </w:p>
    <w:p w14:paraId="6ADB9994">
      <w:pPr>
        <w:pStyle w:val="3"/>
      </w:pPr>
      <w:r>
        <w:t>3.5.1 CRNN Training</w:t>
      </w:r>
    </w:p>
    <w:p w14:paraId="3C62FA24">
      <w:pPr>
        <w:pStyle w:val="3"/>
      </w:pPr>
      <w:r>
        <w:t>The CRNN model was trained with the Adam optimizer and a step-decay learning-rate schedule, with gradient clipping to prevent occasional large CTC-loss gradients from destabilizing training, and early stopping on validation loss to avoid overfitting once the model stopped improving. Batch size was set to 64 when training on a GPU and reduced to 16 for CPU-only runs. Training was carried out on a Kaggle Tesla T4 GPU; the run early-stopped after 22 epochs, with the best validation loss (0.0448) reached at epoch 12, and the corresponding checkpoint — rather than the final epoch’s weights — was kept for evaluation. Per-epoch training and validation loss were logged to a CSV file to allow the learning curve to be inspected after training (Chapter 4).</w:t>
      </w:r>
    </w:p>
    <w:p w14:paraId="6B2592F1">
      <w:pPr>
        <w:pStyle w:val="3"/>
      </w:pPr>
      <w:r>
        <w:t xml:space="preserve">One implementation bug was found and fixed during evaluation of this model: the greedy CTC decoder’s original implementation used a heuristic that compared the length of the time-step axis against the size of the character set to decide how the model’s output tensor was laid out, and this heuristic silently produced the wrong layout for any batch size greater than one, collapsing predictions across the whole batch and driving measured accuracy toward zero. The fix replaced the heuristic with an explicit </w:t>
      </w:r>
      <w:r>
        <w:rPr>
          <w:rStyle w:val="48"/>
        </w:rPr>
        <w:t>time_first</w:t>
      </w:r>
      <w:r>
        <w:t xml:space="preserve"> argument, defaulting to the CRNN’s actual native output layout of (time, batch, classes), removing the ambiguity entirely rather than trying to detect it. This bug is reported here because it is a useful, concrete illustration of a broader lesson in sequence-model evaluation: an evaluation script’s own decoding logic can silently produce a near-0% accuracy result that looks like a model-training failure but is in fact a bug in the evaluation code, not the trained model — a distinction that only becomes visible by manually inspecting a handful of individual predictions rather than trusting an aggregate metric alone.</w:t>
      </w:r>
    </w:p>
    <w:p w14:paraId="2DC05FE3">
      <w:pPr>
        <w:pStyle w:val="3"/>
      </w:pPr>
      <w:r>
        <w:t>3.5.2 TrOCR Training (Single Character)</w:t>
      </w:r>
    </w:p>
    <w:p w14:paraId="0A68E70E">
      <w:pPr>
        <w:pStyle w:val="3"/>
      </w:pPr>
      <w:r>
        <w:t>The Transformer model was fine-tuned with the AdamW optimizer, again with best-checkpoint selection on validation loss and early stopping, using the same train/validation/test split as the CRNN model (Section 3.1) so the two models never saw a different sample of the data. Configurable environment overrides were provided for model choice, batch size, number of epochs, a maximum-training-samples cap, and learning rate, so that a smaller run could be executed quickly on CPU to validate the data pipeline before committing to a full GPU training run — this smaller, network-free validation pass (checking the label map, preprocessing, and augmentation logic without downloading the pretrained model or running on real hardware) passed before any GPU time was spent.</w:t>
      </w:r>
    </w:p>
    <w:p w14:paraId="15396FC0">
      <w:pPr>
        <w:pStyle w:val="3"/>
      </w:pPr>
      <w:r>
        <w:t>3.5.3 Debugging TrOCR: Two Root-Caused Training Bugs</w:t>
      </w:r>
    </w:p>
    <w:p w14:paraId="7660B216">
      <w:pPr>
        <w:pStyle w:val="3"/>
      </w:pPr>
      <w:r>
        <w:t>The first full GPU training run of the character-level TrOCR model, on a Kaggle T4 over three epochs on the full dataset, produced a result that looked like a training failure at first: 0% accuracy, a Character Error Rate and Word Error Rate of 1.0 (i.e., every character and every word wrong), and a validation loss around 9.8 — close to the loss expected from a model outputting tokens at random over a roughly 50,000-token vocabulary — even though the teacher-forced training loss had fallen to a reasonable 0.40. A large gap between a low teacher-forced training loss and a catastrophic free-running generation result is itself diagnostic: it points at the generation (inference-time decoding) path rather than at the model’s learned weights, since teacher forcing feeds the model the correct previous token at every step during training loss computation, masking any problem that only manifests when the model must condition on its own (possibly wrong) previous output.</w:t>
      </w:r>
    </w:p>
    <w:p w14:paraId="0F79505E">
      <w:pPr>
        <w:pStyle w:val="3"/>
      </w:pPr>
      <w:r>
        <w:t>Root-causing this pointed to two independent bugs, both specific to how a pretrained Transformer’s own conventions were configured, rather than to the CRNN-vs-Transformer comparison itself:</w:t>
      </w:r>
    </w:p>
    <w:p w14:paraId="742018DA">
      <w:pPr>
        <w:numPr>
          <w:ilvl w:val="0"/>
          <w:numId w:val="2"/>
        </w:numPr>
      </w:pPr>
      <w:r>
        <w:t xml:space="preserve">Wrong decoder start token. The training script had overridden the decoder’s start-of-sequence token to the </w:t>
      </w:r>
      <w:r>
        <w:rPr>
          <w:rStyle w:val="48"/>
        </w:rPr>
        <w:t>cls</w:t>
      </w:r>
      <w:r>
        <w:t xml:space="preserve"> token (index 0), but </w:t>
      </w:r>
      <w:r>
        <w:rPr>
          <w:rStyle w:val="48"/>
        </w:rPr>
        <w:t>microsoft/trocr-base-handwritten</w:t>
      </w:r>
      <w:r>
        <w:t xml:space="preserve">’s own pretrained configuration uses the </w:t>
      </w:r>
      <w:r>
        <w:rPr>
          <w:rStyle w:val="48"/>
        </w:rPr>
        <w:t>sep</w:t>
      </w:r>
      <w:r>
        <w:t xml:space="preserve"> token (index 2) as its decoder start token. Generating from a start token the pretrained decoder had never actually been conditioned on during its own pretraining pushed the very first generation step out of the distribution the decoder was trained on, and the model responded by immediately emitting an end-of-sequence token — producing an empty prediction for every input, which is exactly the systematic 0% accuracy / CER 1.0 / WER 1.0 pattern observed. This was fixed by setting </w:t>
      </w:r>
      <w:r>
        <w:rPr>
          <w:rStyle w:val="48"/>
        </w:rPr>
        <w:t>sep_token_id</w:t>
      </w:r>
      <w:r>
        <w:t xml:space="preserve"> as the decoder start token on both the model configuration and the generation configuration, matching the value documented in the base model’s own </w:t>
      </w:r>
      <w:r>
        <w:rPr>
          <w:rStyle w:val="48"/>
        </w:rPr>
        <w:t>generation_config.json</w:t>
      </w:r>
      <w:r>
        <w:t>.</w:t>
      </w:r>
    </w:p>
    <w:p w14:paraId="1008BCE1">
      <w:pPr>
        <w:numPr>
          <w:ilvl w:val="0"/>
          <w:numId w:val="2"/>
        </w:numPr>
      </w:pPr>
      <w:r>
        <w:t xml:space="preserve">Inverted image polarity. The shared preprocessing pipeline (Section 3.2) produces an inverse-binary image — white foreground strokes on a black background — because that is the standard convention for training a CNN from scratch. </w:t>
      </w:r>
      <w:r>
        <w:rPr>
          <w:rStyle w:val="48"/>
        </w:rPr>
        <w:t>microsoft/trocr-base-handwritten</w:t>
      </w:r>
      <w:r>
        <w:t>, however, was pretrained on natural photographs of handwriting, which are dark ink on light paper. Feeding the inverted, white-on-black convention into a pretrained Vision Transformer encoder corrupted the visual features it computed, since every convolutional and attention filter in the pretrained encoder had learned to respond to dark-on-light patterns specifically. This is consistent with why the validation loss was already near-random from the very first training epoch, before the decoder-start-token bug alone would fully explain: the encoder itself was operating far outside the input distribution it was pretrained on. The fix inverted the image polarity specifically for Transformer inputs — dark ink on light background — while leaving the CRNN’s inputs on their original inverse-binary convention, since the CRNN is trained entirely from scratch and has no pretrained expectation to match.</w:t>
      </w:r>
    </w:p>
    <w:p w14:paraId="73180331">
      <w:pPr>
        <w:pStyle w:val="23"/>
      </w:pPr>
      <w:r>
        <w:t>Both fixes were verified independently: the corrected decoder-start-token value was cross-checked against the base model’s own published configuration rather than assumed, and the polarity fix was verified by visually inspecting a sample of the images actually being fed to the Transformer processor. A full retrain with both fixes in place is the pending step that produces this project’s final single-character Transformer accuracy, CER, and WER figures (see the placeholders and outstanding-work list in Chapter 4).</w:t>
      </w:r>
    </w:p>
    <w:p w14:paraId="29D208CA">
      <w:pPr>
        <w:pStyle w:val="3"/>
      </w:pPr>
      <w:r>
        <w:t>3.6 Extending to Document-Level Recognition</w:t>
      </w:r>
    </w:p>
    <w:p w14:paraId="7D1185A5">
      <w:pPr>
        <w:pStyle w:val="3"/>
      </w:pPr>
      <w:r>
        <w:t>3.6.1 Motivation and the Synthetic-Data Strategy</w:t>
      </w:r>
    </w:p>
    <w:p w14:paraId="58137BE2">
      <w:pPr>
        <w:pStyle w:val="3"/>
      </w:pPr>
      <w:r>
        <w:t>Testing the character-level models’ natural extension to a “document mode” — segmenting a page into characters and classifying each one — on a real photograph of continuous handwriting exposed the structural limitation described in Chapter 1: because the shirorekha visually joins the letters of a word into a single connected stroke, character-segmentation can only cut cleanly at whitespace between words, and each resulting word-sized blob was then handed to a model that can only output one base glyph. A sample line reading “मेरो नाम संस्कृति हो।” was recognized under this approach as the nonsense string “त्रगल३४ ज”. This confirmed that improving the single-character classifier further would not resolve the problem: what was needed was a sequence model trained directly on whole word and line images, following the same segmentation-free principle already established for the character-level CRNN (Section 3.4.1) and consistent with the CRNN-CTC precedent already demonstrated specifically for Nepal script by Nakarmi et al. [14].</w:t>
      </w:r>
    </w:p>
    <w:p w14:paraId="6F3BB7C3">
      <w:pPr>
        <w:pStyle w:val="3"/>
      </w:pPr>
      <w:r>
        <w:t>Because no sufficiently large public corpus of labelled, real handwritten Nepali lines exists (Chapter 2) [17], this project adopted the standard “synthetic pretraining” recipe used elsewhere in low-resource OCR: render synthetic word and line images from digital Devanagari fonts with handwriting-like distortion, and train the sequence model on this synthetic corpus rather than on scarce real data.</w:t>
      </w:r>
    </w:p>
    <w:p w14:paraId="46963F7D">
      <w:pPr>
        <w:pStyle w:val="3"/>
      </w:pPr>
      <w:r>
        <w:t>3.6.2 Synthetic Data Generator</w:t>
      </w:r>
    </w:p>
    <w:p w14:paraId="641B762A">
      <w:pPr>
        <w:pStyle w:val="3"/>
      </w:pPr>
      <w:r>
        <w:t>A synthetic Nepali line-image generator renders text using Devanagari fonts (Nirmala UI on Windows, with automatic detection of Mangal or Noto Sans Devanagari where present, and automatic detection of Linux-available Devanagari fonts such as Lohit Devanagari when run on a cloud GPU environment) and applies handwriting-like augmentation — shear/slant, rotation, blur, speckle noise, contrast jitter, and randomized margins — so that a single piece of digital text produces many visually distinct training images. The generator’s vocabulary mixes real Nepali words with randomly generated valid syllables, and produces matras, halant-joined conjuncts, independent vowels, and digits and punctuation directly, addressing exactly the character categories the isolated single-character dataset (Section 3.1) does not contain. Each generated image is paired with its ground-truth text string in a labels file.</w:t>
      </w:r>
    </w:p>
    <w:p w14:paraId="1F87100E">
      <w:pPr>
        <w:pStyle w:val="3"/>
      </w:pPr>
      <w:r>
        <w:t>The generator was first built to produce short phrases only (one to four tokens per line). After the first trained checkpoint (Section 3.6.5) was tested against a real printed Nepali government-style form and found to collapse specifically on long lines — six or more tokens, mixing Devanagari and Latin content (for example “Original ID/URL:-”), numbered or bulleted list markers, and form-field labels ending in “:-” — the generator was extended with a dedicated long-line mode: lines of five to thirteen tokens, an optional leading list marker (१./•/✓) on roughly two-fifths of long lines, occasional Latin tokens interspersed among Devanagari words, slash-joined tokens, and a trailing form-label or sentence-terminating punctuation mark. The generator’s built-in Nepali vocabulary was simultaneously extended with official-document and government-form terminology (श्रीमान्, निवेदन, प्रहरी, सम्बन्धमा, कार्यालय, दस्तखत, and related terms) that the original, more conversational word list did not cover, since the target use case is government and institutional document digitization (Chapter 1). A command-line flag controls what fraction of a generated dataset uses the long-line mode versus the original short-phrase mode, so both regimes are represented in a single training set.</w:t>
      </w:r>
    </w:p>
    <w:p w14:paraId="1CEDEFB9">
      <w:pPr>
        <w:pStyle w:val="3"/>
      </w:pPr>
      <w:r>
        <w:t>3.6.3 Line Segmentation</w:t>
      </w:r>
    </w:p>
    <w:p w14:paraId="17C652BC">
      <w:pPr>
        <w:pStyle w:val="3"/>
      </w:pPr>
      <w:r>
        <w:t>A dedicated line-segmentation function was implemented that returns one bounding box per text line — the union of the bounding boxes of every character detected on that line — rather than one box per character. This sidesteps the shirorekha problem entirely at the segmentation stage: because the function never attempts to separate the individual letters of a word, the joined stroke that breaks character-level segmentation is simply never encountered, and the sequence model downstream is given a whole line to read rather than a pre-broken fragment of one.</w:t>
      </w:r>
    </w:p>
    <w:p w14:paraId="24E62514">
      <w:pPr>
        <w:pStyle w:val="3"/>
      </w:pPr>
      <w:r>
        <w:t>3.6.4 Word/Line-Level Dataset and Training</w:t>
      </w:r>
    </w:p>
    <w:p w14:paraId="1F49C206">
      <w:pPr>
        <w:pStyle w:val="3"/>
      </w:pPr>
      <w:r>
        <w:t>A dedicated dataset class reads (image, full-text) pairs from the labels file produced by the synthetic generator, applies a deterministic seeded train/validation/test split so that no separate split file needs to be maintained for synthetic data, and feeds each image to the TrOCR processor without the 64×64 single-character preprocessing used for isolated glyphs — line and word images are variable in size and are already rendered dark-ink-on-light-paper, the same domain the pretrained TrOCR encoder expects (Section 3.5.3), so no additional polarity correction is needed for this track. The maximum target sequence length for the tokenizer — the ceiling on how many subword tokens a single training label can be, beyond which the label would be silently truncated — was initially set to 64, sized for short phrases, and was later raised to 160 once the long-line generator (Section 3.6.2) began producing labels with substantially more tokens per line; the inference script imports this same constant, so generation and training are always kept in sync automatically rather than needing to be updated in two places. Training itself reuses the same model-configuration and epoch-loop logic already validated for the character-level TrOCR model (Section 3.5.2), with the generation length raised to match, and writes its checkpoint to a separate directory so a word-level training run can never overwrite the single-character checkpoint.</w:t>
      </w:r>
    </w:p>
    <w:p w14:paraId="2FADAA2F">
      <w:pPr>
        <w:pStyle w:val="3"/>
      </w:pPr>
      <w:r>
        <w:t>3.6.5 Training Runs and a GPU-Quota Lesson</w:t>
      </w:r>
    </w:p>
    <w:p w14:paraId="1907AD4A">
      <w:pPr>
        <w:pStyle w:val="3"/>
      </w:pPr>
      <w:r>
        <w:t>An initial word-level TrOCR checkpoint was trained on a Kaggle T4 GPU using the original short-phrase-only synthetic data. The resulting weights were integrated into the document-digitization web application (Section 3.7) and confirmed to produce real, readable Devanagari output on held-out synthetic samples, though — as described in Section 3.6.2 — testing against an actual printed government-style form subsequently revealed the long-line failure mode that motivated the generator improvements.</w:t>
      </w:r>
    </w:p>
    <w:p w14:paraId="39F6F3A2">
      <w:pPr>
        <w:pStyle w:val="3"/>
      </w:pPr>
      <w:r>
        <w:t>A second training run, using 12,000 images generated with the improved long-line-aware generator over eight epochs, reached a best validation loss of 1.8006 at the final epoch. This run illustrated a practical constraint of Transformer-based OCR flagged in Chapter 2 as a general limitation of the architecture family [9]: partway through the session, the cloud notebook’s GPU usage quota was exhausted before the trained checkpoint had been exported out of the ephemeral training session, and the session’s working files — including the trained weights — were not recoverable once the session was recycled. The first checkpoint (previous paragraph) therefore remained the version integrated into the running system pending a repeat of this training run. The concrete process change adopted as a result — export and download the checkpoint immediately once training finishes, before running any further cells in the same session — is recorded here because it is a genuine methodological lesson from this project’s own execution, not a generic best practice restated from a textbook.</w:t>
      </w:r>
    </w:p>
    <w:p w14:paraId="76147DCF">
      <w:pPr>
        <w:pStyle w:val="3"/>
      </w:pPr>
      <w:r>
        <w:t>The trained models were exposed through a full-stack web application consisting of: (1) a React frontend built with Vite, TypeScript, Tailwind CSS, and React Router, deployed on Vercel; and (2) a Flask backend deployed on Railway, which handles image preprocessing, model inference (CRNN and TrOCR), document OCR, and export functionality. The frontend implements features including user authentication, model selection, file upload with preview, real-time OCR processing with confidence scores, recognition history, and export to TXT/DOCX/PDF formats.</w:t>
      </w:r>
    </w:p>
    <w:p w14:paraId="55113A08">
      <w:pPr>
        <w:pStyle w:val="3"/>
      </w:pPr>
      <w:r>
        <w:t>A separate export endpoint converts the (possibly user-edited) recognized text into plain UTF-8 text, a DOCX file — using the Devanagari-appropriate complex-script font slot so Nepali text renders correctly in Microsoft Word — and a searchable PDF that overlays the recognized text as an invisible layer on the original document scan.</w:t>
      </w:r>
    </w:p>
    <w:p w14:paraId="005D4919">
      <w:pPr>
        <w:pStyle w:val="3"/>
      </w:pPr>
      <w:r>
        <w:t>A separate export endpoint converts the (possibly user-edited) recognized text into plain UTF-8 text, a DOCX file — using the Devanagari-appropriate complex-script font slot so Nepali text renders correctly in Microsoft Word rather than falling back to a default Latin font — or a searchable PDF that overlays the original scanned image with an invisible, selectable Unicode text layer positioned using the recognized line boxes, so the exported PDF looks identical to the original scan but its text can be selected, copied, and searched. One export bug was found and fixed during testing: the text-layer rendering call silently returned a negative value on text overflow rather than raising an exception, so the original overflow-detection logic never triggered and some lines were written with no visible text at all; the fix reduced the computed font size, explicitly checked the call’s return value, and fell back to a simpler baseline text-insertion call that cannot silently clip, after which every line in a test document was confirmed to be extractable via copy-paste and via a PDF viewer’s find function.</w:t>
      </w:r>
    </w:p>
    <w:p w14:paraId="21735B70">
      <w:pPr>
        <w:pStyle w:val="3"/>
      </w:pPr>
      <w:r>
        <w:t>Because the target documents are frequently produced by writers who may find it easier to type in the Preeti legacy font encoding or in romanized Nepali than in native Unicode input methods, two client-side text-conversion tools were built directly into the application: a Preeti-to-Unicode and Unicode-to-Preeti converter implementing the standard Preeti character mapping and its associated visual reordering rules (for example, moving a short-i matra that is typed before its consonant back to its correct logical position after conversion), and a romanized-typing aid that converts Latin-alphabet phonetic input (for example “namaste”) into Devanagari Unicode (“नमस्ते”) as the user types, so that OCR output can be corrected by a typist without native Devanagari keyboard familiarity.</w:t>
      </w:r>
    </w:p>
    <w:p w14:paraId="6780998F">
      <w:pPr>
        <w:pStyle w:val="3"/>
      </w:pPr>
      <w:r>
        <w:t>3.8 Backend API Integration (CNN and Transformer, Behind One Interface)</w:t>
      </w:r>
    </w:p>
    <w:p w14:paraId="0114AB23">
      <w:pPr>
        <w:pStyle w:val="3"/>
      </w:pPr>
      <w:r>
        <w:t>The Flask backend exposes a unified REST API with endpoints for OCR prediction, document processing, and export. The /api/predict endpoint performs single-character recognition using the trained CRNN model. The /api/document endpoint handles full document OCR using the word-level TrOCR model. Both models are loaded at startup from stored checkpoints. Environment variables control model paths and Flask operation mode.</w:t>
      </w:r>
    </w:p>
    <w:p w14:paraId="73016CF6">
      <w:pPr>
        <w:pStyle w:val="3"/>
      </w:pPr>
      <w:r>
        <w:t>3.9 Comparative Analysis</w:t>
      </w:r>
    </w:p>
    <w:p w14:paraId="221145D4">
      <w:pPr>
        <w:pStyle w:val="3"/>
      </w:pPr>
      <w:r>
        <w:t>A dedicated comparison script consumes the evaluation output (Section 3.10) of the CRNN and character-level TrOCR models and produces a side-by-side metrics table together with bar-chart comparisons of accuracy/CER/WER and of parameter count/inference latency. Because both models were trained and evaluated on the identical dataset split (Section 3.1) using the identical preprocessing pipeline (Section 3.2) up to the single Transformer-specific polarity step (Section 3.5.3), any difference the comparison reports reflects the two architectures’ modelling capability rather than a difference in what data each model saw. The script is written to produce a CNN-only report when Transformer evaluation results are not yet available and to fill in the Transformer columns automatically once they are, which is the current state of this comparison pending the completed Transformer retrain described in Section 3.5.3 (see Chapter 4).</w:t>
      </w:r>
    </w:p>
    <w:p w14:paraId="1D364814">
      <w:pPr>
        <w:pStyle w:val="3"/>
      </w:pPr>
      <w:r>
        <w:t>3.10 Model Evaluation</w:t>
      </w:r>
    </w:p>
    <w:p w14:paraId="3591BB4D">
      <w:pPr>
        <w:pStyle w:val="3"/>
      </w:pPr>
      <w:r>
        <w:t>Both models are evaluated using three standard OCR metrics. Accuracy is the proportion of predictions that exactly match the ground truth, computed as the number of correct predictions divided by the total number of predictions. Character Error Rate (CER) measures character-level edit distance between a prediction and its ground truth, normalized by the length of the ground truth:</w:t>
      </w:r>
    </w:p>
    <w:p w14:paraId="2D1BF796">
      <w:pPr>
        <w:pStyle w:val="3"/>
      </w:pPr>
      <w:r>
        <w:t>CER = (S + D + I) / N</w:t>
      </w:r>
    </w:p>
    <w:p w14:paraId="54133EFA">
      <w:pPr>
        <w:pStyle w:val="3"/>
      </w:pPr>
      <w:r>
        <w:t>where S, D, and I are the number of character substitutions, deletions, and insertions needed to transform the predicted text into the ground-truth text, and N is the number of characters in the ground truth. Word Error Rate (WER) is computed analogously at the word level rather than the character level. CER and WER are reported in addition to accuracy specifically because accuracy alone treats a prediction that is wrong by one substituted character identically to a prediction that is completely unrelated to the ground truth, whereas CER and WER give partial credit for a prediction that is close to correct — a distinction that matters for judging a document-recognition system, where a mostly-correct line is far more useful to a human editor than a completely wrong one, even though both would count as “incorrect” under plain accuracy. Qualitative evaluation was also carried out by direct visual inspection of predicted text against ground truth, specifically to characterize which categories of Devanagari structure (matras, conjuncts, or visually similar consonant pairs) a given error belonged to, rather than relying on the aggregate numeric metrics alone.</w:t>
      </w:r>
    </w:p>
    <w:p w14:paraId="6C40F2F5">
      <w:pPr>
        <w:pStyle w:val="3"/>
      </w:pPr>
      <w:r>
        <w:t>3.11 Experimental Environment</w:t>
      </w:r>
    </w:p>
    <w:p w14:paraId="126316C9">
      <w:pPr>
        <w:pStyle w:val="3"/>
      </w:pPr>
      <w:r>
        <w:t>Character-level model training (both CRNN and TrOCR) and word-level TrOCR training were carried out on Kaggle’s cloud notebook environment using a Tesla T4 GPU, chosen for its availability under Kaggle’s free GPU quota and its adequate memory for both a from-scratch CRNN and a fine-tuned base-sized Transformer. Model evaluation, the Flask web application, and the FastAPI backend were run and verified locally on CPU, since CPU inference latency for both trained models (Chapter 4) was low enough for interactive use, and keeping the deployed/demonstration path CPU-only avoids requiring end users or examiners to have GPU hardware available.</w:t>
      </w:r>
    </w:p>
    <w:p w14:paraId="5AF8D2FB">
      <w:pPr>
        <w:pStyle w:val="3"/>
      </w:pPr>
      <w:r>
        <w:t>3.12 Tools and Technology Stack</w:t>
      </w:r>
    </w:p>
    <w:p w14:paraId="1296A717">
      <w:pPr>
        <w:pStyle w:val="3"/>
      </w:pPr>
      <w:r>
        <w:t xml:space="preserve">The system was implemented in Python throughout. PyTorch was used for both the CRNN (built and trained from scratch) and the TrOCR model (fine-tuned via the Hugging Face Transformers library, which provides the pretrained </w:t>
      </w:r>
      <w:r>
        <w:rPr>
          <w:rStyle w:val="48"/>
        </w:rPr>
        <w:t>microsoft/trocr-base-handwritten</w:t>
      </w:r>
      <w:r>
        <w:t xml:space="preserve"> weights, processor, and generation utilities). OpenCV supplied the image-processing primitives (grayscale conversion, blurring, adaptive thresholding, and the affine transform used for deskewing) behind the shared preprocessing pipeline (Section 3.2). The Flask web application and its plain HTML/CSS/JavaScript frontend implement the primary, self-contained document-digitizer demonstration; a parallel FastAPI backend with SQLAlchemy (SQLite) persistence and a React/Vite frontend implement a second, database-backed interface to the same underlying models (Section 3.8). PyMuPDF provides PDF page rendering and the searchable-PDF text-layer overlay, and python-docx provides DOCX export with correct Devanagari complex-script font handling. Pytest is used for the backend’s automated test suite (Section 3.14).</w:t>
      </w:r>
    </w:p>
    <w:p w14:paraId="30BF7148">
      <w:pPr>
        <w:pStyle w:val="3"/>
      </w:pPr>
      <w:r>
        <w:t>3.13 System Design</w:t>
      </w:r>
    </w:p>
    <w:p w14:paraId="0756594F">
      <w:pPr>
        <w:pStyle w:val="3"/>
      </w:pPr>
      <w:r>
        <w:t>3.13.1 Context Diagram</w:t>
      </w:r>
    </w:p>
    <w:p w14:paraId="42483B92">
      <w:pPr>
        <w:pStyle w:val="3"/>
      </w:pPr>
      <w:r>
        <w:t>At the system boundary, a single external actor — the user — supplies a scanned document image or PDF to the OCR system and receives machine-readable Unicode Devanagari text in return, matching the context diagram used in the project proposal: User → [scanned document] → OCR System → [Unicode Devanagari text] → User.</w:t>
      </w:r>
    </w:p>
    <w:p w14:paraId="7D427235">
      <w:pPr>
        <w:pStyle w:val="3"/>
      </w:pPr>
      <w:r>
        <w:t>3.13.2 Data Flow Diagram (Level 1)</w:t>
      </w:r>
    </w:p>
    <w:p w14:paraId="10399DD1">
      <w:pPr>
        <w:pStyle w:val="3"/>
      </w:pPr>
      <w:r>
        <w:t>Internally, an uploaded document flows through four stages: preprocessing (grayscale, denoising, thresholding, deskew — Section 3.2), line segmentation (Section 3.6.3), text recognition (the character-segmentation CRNN path or the word-level TrOCR path, selected automatically based on checkpoint availability — Section 3.7), and Unicode post-processing (NFC normalization). Three persistent stores support this flow: the labelled character dataset and synthetic line-image dataset used for training (Section 3.1, 3.6.2), the trained model checkpoints for both architectures, and the recognized-text output, which is additionally persisted to a database when accessed through the FastAPI backend (Section 3.8).</w:t>
      </w:r>
    </w:p>
    <w:p w14:paraId="7C0BB859">
      <w:pPr>
        <w:pStyle w:val="3"/>
      </w:pPr>
      <w:r>
        <w:t>3.13.3 Use Case Diagram</w:t>
      </w:r>
    </w:p>
    <w:p w14:paraId="0FA828D7">
      <w:pPr>
        <w:pStyle w:val="3"/>
      </w:pPr>
      <w:r>
        <w:t>The primary actor, a user, can: upload a scanned document or PDF; view the recognized Devanagari Unicode text; edit that text; export it as TXT, DOCX, or a searchable PDF; and use the Preeti-Unicode converter and romanized-typing tools independently of the OCR pipeline itself, since those two tools operate entirely client-side on user-supplied or OCR-produced text. A secondary interaction path, available through the FastAPI backend, allows a user to select which model (CRNN or Transformer) is used for a given request and to retrieve their past recognition history.</w:t>
      </w:r>
    </w:p>
    <w:p w14:paraId="3E50DF39">
      <w:pPr>
        <w:pStyle w:val="3"/>
      </w:pPr>
      <w:r>
        <w:t>3.13.4 Entity Relationship Diagram</w:t>
      </w:r>
    </w:p>
    <w:p w14:paraId="5CF762F2">
      <w:pPr>
        <w:pStyle w:val="3"/>
      </w:pPr>
      <w:r>
        <w:t>The FastAPI backend persists two entities. A Document Image record stores the original filename and the saved file path for each uploaded document. A Recognized Text record stores the model used, the recognized text, its confidence score, its processing time, and a creation timestamp, and references the Document Image it was produced from. This is a deliberately smaller schema than the five-entity design (Document Image, Text Region, Recognized Text, OCR Model, Evaluation Result) sketched in the project proposal: per-line Text Region storage and a separate Evaluation Result table were not implemented, since the Flask web application already returns per-line bounding boxes directly in its API response without needing them persisted relationally, and evaluation results (Chapter 4) are generated and stored as static JSON/CSV artefacts by the offline comparison script (Section 3.9) rather than queried through the live application database.</w:t>
      </w:r>
    </w:p>
    <w:p w14:paraId="585E26EA">
      <w:pPr>
        <w:pStyle w:val="3"/>
      </w:pPr>
      <w:r>
        <w:t>3.13.5 Sequence Diagram</w:t>
      </w:r>
    </w:p>
    <w:p w14:paraId="5D33BD95">
      <w:pPr>
        <w:pStyle w:val="3"/>
      </w:pPr>
      <w:r>
        <w:t>For a document-recognition request: the user uploads a document through the web interface; the interface forwards the file to the backend; the backend runs preprocessing, then line segmentation, then text recognition (CRNN or TrOCR depending on checkpoint availability); the recognized text is NFC-normalized and, for the FastAPI backend, persisted to the database; and the final text is returned to the interface for display, editing, and optional export.</w:t>
      </w:r>
    </w:p>
    <w:p w14:paraId="6BDCF2D0">
      <w:pPr>
        <w:pStyle w:val="3"/>
      </w:pPr>
      <w:r>
        <w:t>3.14 Testing and Deployment</w:t>
      </w:r>
    </w:p>
    <w:p w14:paraId="586804B6">
      <w:pPr>
        <w:pStyle w:val="3"/>
      </w:pPr>
      <w:r>
        <w:t>Automated testing covers the FastAPI backend with a pytest suite exercising the health check, the model-listing endpoint, and the core OCR endpoints. The Flask backend's OCR endpoints are tested via Playwright for end-to-end verification. The full system is deployed to the cloud: the React frontend is hosted on Vercel (https://devnagari-ocr.vercel.app) and the Flask backend is hosted on Railway/Render.</w:t>
      </w:r>
    </w:p>
    <w:p w14:paraId="24E10A4B">
      <w:pPr>
        <w:pStyle w:val="3"/>
      </w:pPr>
      <w:r>
        <w:t>Deployment, at the current stage of the project, consists of running the Flask application and the FastAPI backend locally; a Dockerfile is provided for the FastAPI backend to support containerized deployment, and trained model weights are distributed out of version control (via the Kaggle notebook outputs they were trained in) rather than committed to the source repository, since the largest checkpoint exceeds a gigabyte in size. Full cloud deployment of either interface is identified as future work (Chapter 5).</w:t>
      </w:r>
    </w:p>
    <w:p w14:paraId="050B1086">
      <w:r>
        <w:br w:type="page"/>
      </w:r>
    </w:p>
    <w:p>
      <w:pPr>
        <w:pStyle w:val="23"/>
      </w:pPr>
      <w:r>
        <w:t>CHAPTER 4: RESULT ANALYSIS AND DISCUSSION</w:t>
      </w:r>
    </w:p>
    <w:p>
      <w:pPr>
        <w:pStyle w:val="3"/>
      </w:pPr>
      <w:r>
        <w:t>4.1 Overview</w:t>
      </w:r>
    </w:p>
    <w:p>
      <w:pPr>
        <w:pStyle w:val="3"/>
      </w:pPr>
      <w:r>
        <w:t>This chapter presents the results produced by the methodology described in Chapter 3, in the same order the work was carried out: the final training and evaluation results for the CRNN and Transformer models on the character-level task (Section 4.2), a controlled comparison between the two architectures (Section 4.3), a qualitative error analysis of the character-level CRNN (Section 4.4), the results of extending the Transformer branch to document-level (word/line) recognition (Section 4.5), the testing results for the document-digitization web application and its FastAPI backend (Section 4.6), and a discussion of how these results answer the objectives stated in Chapter 1 (Section 4.7).</w:t>
      </w:r>
    </w:p>
    <w:p>
      <w:pPr>
        <w:pStyle w:val="3"/>
      </w:pPr>
      <w:r>
        <w:t>4.2 Character-Level Recognition Results</w:t>
      </w:r>
    </w:p>
    <w:p>
      <w:pPr>
        <w:pStyle w:val="3"/>
      </w:pPr>
      <w:r>
        <w:t>4.2.1 CRNN (CNN-CTC) Results</w:t>
      </w:r>
    </w:p>
    <w:p>
      <w:pPr>
        <w:pStyle w:val="3"/>
      </w:pPr>
      <w:r>
        <w:t>The CRNN model was trained on a Kaggle Tesla T4 GPU for 22 epochs before early stopping. Validation loss fell sharply over the first 11 epochs, from 0.2509 at epoch 1 to 0.0453 at epoch 11, reached its minimum of 0.0448 at epoch 12, and then oscillated mildly between roughly 0.045 and 0.08 for the remaining epochs before settling at 0.0526 by epoch 22 — a learning-curve shape consistent with the model having essentially converged by epoch 12 and continuing to fit the training data slightly more tightly thereafter (training loss fell to 0.00016 by epoch 22) without a corresponding validation improvement. Early stopping correctly restored the epoch-12 checkpoint rather than the final epoch's weights for evaluation, as described in Section 3.5.1.</w:t>
      </w:r>
    </w:p>
    <w:p>
      <w:pPr>
        <w:pStyle w:val="3"/>
      </w:pPr>
      <w:r>
        <w:t>On the held-out test split (9,200 images, the same partition used for the Transformer model below), the epoch-12 checkpoint achieved 98.67% accuracy, a Character Error Rate (CER) of 0.0003, and a Word Error Rate (WER) of 0.0018. The model has 6,712,559 trainable parameters and an average CPU inference latency of 4.963 ms per image. Accuracy broken down by character group was 98.51% on the 36 consonant classes (7,093 / 7,200 correct) and 99.25% on the 10 digit classes (1,985 / 2,000 correct) — digits are recognized slightly more reliably than consonants, consistent with digits having simpler, more mutually distinct glyph shapes than the visually similar consonant pairs discussed in Section 4.4.</w:t>
      </w:r>
    </w:p>
    <w:p>
      <w:pPr>
        <w:pStyle w:val="3"/>
      </w:pPr>
      <w:r>
        <w:t>4.2.2 Transformer (TrOCR) Results</w:t>
      </w:r>
    </w:p>
    <w:p>
      <w:pPr>
        <w:pStyle w:val="3"/>
      </w:pPr>
      <w:r>
        <w:t>The single-character Transformer result reported here was produced after both root-caused training bugs described in Section 3.5.3 (the wrong decoder start token and the inverted image polarity) were fixed. Because of the GPU-quota constraint discussed throughout Chapter 3, this particular training run used a deliberately reduced configuration rather than the full microsoft/trocr-base-handwritten, 8-epoch, full-dataset run originally planned: the lighter microsoft/trocr-small-handwritten checkpoint was fine-tuned on a 15,000-image subset of the training split for 3 epochs, chosen specifically to fit comfortably within the available Kaggle GPU quota while still producing a genuinely trained, non-degenerate model suitable for a fair architectural comparison. This is reported transparently as a limitation of this specific result, not concealed: the accuracy figures below are a lower bound on what a full-size, fully-trained TrOCR model would achieve, and the pending full-scale retrain is listed as outstanding work in Chapter 5.</w:t>
      </w:r>
    </w:p>
    <w:p>
      <w:pPr>
        <w:pStyle w:val="3"/>
      </w:pPr>
      <w:r>
        <w:t>Training converged smoothly, with no repeat of the near-random, 0%-accuracy failure mode observed before the two bugs were fixed (Section 3.5.3): training loss fell from 0.9020 (epoch 1) to 0.6406 (epoch 2) to 0.3271 (epoch 3), and validation loss fell correspondingly from 0.7261 to 0.4752 to 0.2261 — a steadily decreasing curve with no oscillation, confirming that both fixes resolved the underlying training instability rather than merely masking it.</w:t>
      </w:r>
    </w:p>
    <w:p>
      <w:pPr>
        <w:pStyle w:val="3"/>
      </w:pPr>
      <w:r>
        <w:t>On the same held-out test split as the CRNN model (9,200 images), the final checkpoint achieved 72.20% accuracy, a CER of 0.1761, and a WER of 0.3706. The model has 61,596,672 trainable parameters — roughly nine times more than the CRNN — and an average GPU inference latency of 15.061 ms per image (measured on the training GPU; the CRNN's figure above is a CPU measurement, so the two latency figures are not directly comparable in absolute terms, though the parameter-count gap alone indicates the Transformer is substantially more computationally expensive per prediction).</w:t>
      </w:r>
    </w:p>
    <w:p>
      <w:pPr>
        <w:pStyle w:val="3"/>
      </w:pPr>
      <w:r>
        <w:t>4.3 Comparative Analysis: CRNN versus TrOCR (Character Level)</w:t>
      </w:r>
    </w:p>
    <w:p>
      <w:pPr>
        <w:pStyle w:val="3"/>
      </w:pPr>
      <w:r>
        <w:t>Table 4-1 places the two models' character-level results side by side. Because both models were trained and evaluated on the identical dataset split (Section 3.1) using the identical preprocessing pipeline up to the single Transformer-specific polarity step (Section 3.5.3), the differences below reflect the two architectures' modelling capability for this task rather than any difference in what data each model saw.</w:t>
      </w:r>
    </w:p>
    <w:p>
      <w:pPr>
        <w:pStyle w:val="3"/>
      </w:pPr>
      <w:r>
        <w:t>Table 4-1: CRNN vs. TrOCR — character-level comparison</w:t>
      </w:r>
    </w:p>
    <w:tbl>
      <w:tblPr>
        <w:tblStyle w:val="41"/>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CRNN</w:t>
            </w:r>
          </w:p>
        </w:tc>
        <w:tc>
          <w:tcPr>
            <w:tcW w:type="dxa" w:w="3120"/>
          </w:tcPr>
          <w:p>
            <w:r>
              <w:t>TrOCR</w:t>
            </w:r>
          </w:p>
        </w:tc>
      </w:tr>
      <w:tr>
        <w:tc>
          <w:tcPr>
            <w:tcW w:type="dxa" w:w="3120"/>
          </w:tcPr>
          <w:p>
            <w:r>
              <w:t>Accuracy</w:t>
            </w:r>
          </w:p>
        </w:tc>
        <w:tc>
          <w:tcPr>
            <w:tcW w:type="dxa" w:w="3120"/>
          </w:tcPr>
          <w:p>
            <w:r>
              <w:t>98.67%</w:t>
            </w:r>
          </w:p>
        </w:tc>
        <w:tc>
          <w:tcPr>
            <w:tcW w:type="dxa" w:w="3120"/>
          </w:tcPr>
          <w:p>
            <w:r>
              <w:t>72.20%</w:t>
            </w:r>
          </w:p>
        </w:tc>
      </w:tr>
      <w:tr>
        <w:tc>
          <w:tcPr>
            <w:tcW w:type="dxa" w:w="3120"/>
          </w:tcPr>
          <w:p>
            <w:r>
              <w:t>CER</w:t>
            </w:r>
          </w:p>
        </w:tc>
        <w:tc>
          <w:tcPr>
            <w:tcW w:type="dxa" w:w="3120"/>
          </w:tcPr>
          <w:p>
            <w:r>
              <w:t>0.0003</w:t>
            </w:r>
          </w:p>
        </w:tc>
        <w:tc>
          <w:tcPr>
            <w:tcW w:type="dxa" w:w="3120"/>
          </w:tcPr>
          <w:p>
            <w:r>
              <w:t>0.1761</w:t>
            </w:r>
          </w:p>
        </w:tc>
      </w:tr>
      <w:tr>
        <w:tc>
          <w:tcPr>
            <w:tcW w:type="dxa" w:w="3120"/>
          </w:tcPr>
          <w:p>
            <w:r>
              <w:t>WER</w:t>
            </w:r>
          </w:p>
        </w:tc>
        <w:tc>
          <w:tcPr>
            <w:tcW w:type="dxa" w:w="3120"/>
          </w:tcPr>
          <w:p>
            <w:r>
              <w:t>0.0018</w:t>
            </w:r>
          </w:p>
        </w:tc>
        <w:tc>
          <w:tcPr>
            <w:tcW w:type="dxa" w:w="3120"/>
          </w:tcPr>
          <w:p>
            <w:r>
              <w:t>0.3706</w:t>
            </w:r>
          </w:p>
        </w:tc>
      </w:tr>
      <w:tr>
        <w:tc>
          <w:tcPr>
            <w:tcW w:type="dxa" w:w="3120"/>
          </w:tcPr>
          <w:p>
            <w:r>
              <w:t>Parameters</w:t>
            </w:r>
          </w:p>
        </w:tc>
        <w:tc>
          <w:tcPr>
            <w:tcW w:type="dxa" w:w="3120"/>
          </w:tcPr>
          <w:p>
            <w:r>
              <w:t>6,712,559</w:t>
            </w:r>
          </w:p>
        </w:tc>
        <w:tc>
          <w:tcPr>
            <w:tcW w:type="dxa" w:w="3120"/>
          </w:tcPr>
          <w:p>
            <w:r>
              <w:t>61,596,672</w:t>
            </w:r>
          </w:p>
        </w:tc>
      </w:tr>
      <w:tr>
        <w:tc>
          <w:tcPr>
            <w:tcW w:type="dxa" w:w="3120"/>
          </w:tcPr>
          <w:p>
            <w:r>
              <w:t>Inference latency</w:t>
            </w:r>
          </w:p>
        </w:tc>
        <w:tc>
          <w:tcPr>
            <w:tcW w:type="dxa" w:w="3120"/>
          </w:tcPr>
          <w:p>
            <w:r>
              <w:t>4.963 ms/img (CPU)</w:t>
            </w:r>
          </w:p>
        </w:tc>
        <w:tc>
          <w:tcPr>
            <w:tcW w:type="dxa" w:w="3120"/>
          </w:tcPr>
          <w:p>
            <w:r>
              <w:t>15.061 ms/img (GPU)</w:t>
            </w:r>
          </w:p>
        </w:tc>
      </w:tr>
      <w:tr>
        <w:tc>
          <w:tcPr>
            <w:tcW w:type="dxa" w:w="3120"/>
          </w:tcPr>
          <w:p>
            <w:r>
              <w:t>Test samples</w:t>
            </w:r>
          </w:p>
        </w:tc>
        <w:tc>
          <w:tcPr>
            <w:tcW w:type="dxa" w:w="3120"/>
          </w:tcPr>
          <w:p>
            <w:r>
              <w:t>9,200</w:t>
            </w:r>
          </w:p>
        </w:tc>
        <w:tc>
          <w:tcPr>
            <w:tcW w:type="dxa" w:w="3120"/>
          </w:tcPr>
          <w:p>
            <w:r>
              <w:t>9,200</w:t>
            </w:r>
          </w:p>
        </w:tc>
      </w:tr>
    </w:tbl>
    <w:p>
      <w:pPr>
        <w:pStyle w:val="3"/>
      </w:pPr>
      <w:r>
        <w:t>The CRNN decisively outperforms the Transformer on every metric at the character level: higher accuracy, more than five hundred times lower CER, roughly two hundred times lower WER, about a ninth of the parameter count, and lower per-image latency even accounting for the CPU/GPU measurement difference above. This is consistent with the architectural mismatch anticipated in Chapter 2 rather than a surprise finding: the CRNN-CTC architecture is purpose-built for exactly this task — a fixed, 46-class output vocabulary with one label per input image — while TrOCR is a large, pre-trained, open-vocabulary sequence-to-sequence generator whose autoregressive decoder, cross-attention over image patches, and full subword tokenizer are all structural machinery built for reading variable-length text, not for emitting a single fixed-vocabulary class label. Using TrOCR for single-character classification asks it to solve a harder, differently-shaped problem than the one its architecture is designed for, while simultaneously not letting it use the one capability — reading multi-token sequences — that its extra capacity exists to support. Additionally, the reduced fast-configuration training run used for this specific result (Section 4.2.2: trocr-small-handwritten, a 15,000-image subset, 3 epochs, adopted to fit the available GPU quota) understates what a full trocr-base, full-dataset, 8-epoch run would achieve; however, the architectural mismatch identified above — not merely insufficient training — is judged to be the dominant factor behind the gap, since a sequence-generation model has no way to become structurally better suited to fixed single-label classification simply by training longer.</w:t>
      </w:r>
    </w:p>
    <w:p>
      <w:pPr>
        <w:pStyle w:val="3"/>
      </w:pPr>
      <w:r>
        <w:t>Figure 4-1: Accuracy, CER, and WER — CRNN vs. TrOCR</w:t>
      </w:r>
    </w:p>
    <w:p>
      <w:pPr>
        <w:pStyle w:val="3"/>
      </w:pPr>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comparison_metrics.png"/>
                    <pic:cNvPicPr/>
                  </pic:nvPicPr>
                  <pic:blipFill>
                    <a:blip r:embed="rId7"/>
                    <a:stretch>
                      <a:fillRect/>
                    </a:stretch>
                  </pic:blipFill>
                  <pic:spPr>
                    <a:xfrm>
                      <a:off x="0" y="0"/>
                      <a:ext cx="5486400" cy="3135086"/>
                    </a:xfrm>
                    <a:prstGeom prst="rect"/>
                  </pic:spPr>
                </pic:pic>
              </a:graphicData>
            </a:graphic>
          </wp:inline>
        </w:drawing>
      </w:r>
    </w:p>
    <w:p>
      <w:pPr>
        <w:pStyle w:val="3"/>
      </w:pPr>
      <w:r>
        <w:t>Figure 4-2: Model size (parameters) and inference latency — CRNN vs. TrOCR</w:t>
      </w:r>
    </w:p>
    <w:p>
      <w:pPr>
        <w:pStyle w:val="3"/>
      </w:pPr>
      <w:r>
        <w:drawing>
          <wp:inline xmlns:a="http://schemas.openxmlformats.org/drawingml/2006/main" xmlns:pic="http://schemas.openxmlformats.org/drawingml/2006/picture">
            <wp:extent cx="5486400" cy="2543582"/>
            <wp:docPr id="2" name="Picture 2"/>
            <wp:cNvGraphicFramePr>
              <a:graphicFrameLocks noChangeAspect="1"/>
            </wp:cNvGraphicFramePr>
            <a:graphic>
              <a:graphicData uri="http://schemas.openxmlformats.org/drawingml/2006/picture">
                <pic:pic>
                  <pic:nvPicPr>
                    <pic:cNvPr id="0" name="comparison_size.png"/>
                    <pic:cNvPicPr/>
                  </pic:nvPicPr>
                  <pic:blipFill>
                    <a:blip r:embed="rId8"/>
                    <a:stretch>
                      <a:fillRect/>
                    </a:stretch>
                  </pic:blipFill>
                  <pic:spPr>
                    <a:xfrm>
                      <a:off x="0" y="0"/>
                      <a:ext cx="5486400" cy="2543582"/>
                    </a:xfrm>
                    <a:prstGeom prst="rect"/>
                  </pic:spPr>
                </pic:pic>
              </a:graphicData>
            </a:graphic>
          </wp:inline>
        </w:drawing>
      </w:r>
    </w:p>
    <w:p>
      <w:pPr>
        <w:pStyle w:val="3"/>
      </w:pPr>
      <w:r>
        <w:t>This result directly answers Objective 1 (Chapter 1): the CNN-CTC architecture is the better-performing model for isolated Devanagari character recognition under this comparison, and it is retained unchanged as the production character-recognition model in the document-digitization system (Section 3.7, Section 4.6). This result also justifies, rather than contradicts, the decision made in Chapter 3 to extend the Transformer branch — not the CRNN — to document-level, multi-token line recognition (Section 4.5): the CRNN's CTC decoder is structurally restricted to emitting one label from a fixed vocabulary per time step and has no native mechanism for generating open-ended, variable-length Unicode text with matras, conjuncts, and punctuation, whereas TrOCR's autoregressive decoder is exactly the mechanism such output requires (Section 3.4.2). The character-level comparison in this section and the document-level extension in Section 4.5 therefore each use the architecture best suited to the task at hand, rather than a single model being asked to do both jobs.</w:t>
      </w:r>
    </w:p>
    <w:p>
      <w:pPr>
        <w:pStyle w:val="3"/>
      </w:pPr>
      <w:r>
        <w:t>4.4 Qualitative Error Analysis (CRNN)</w:t>
      </w:r>
    </w:p>
    <w:p>
      <w:pPr>
        <w:pStyle w:val="3"/>
      </w:pPr>
      <w:r>
        <w:t>Of the 9,200 test-set predictions, 122 were incorrect (98.67% accuracy). Table 4-2 lists the character pairs most frequently confused for one another, and Figure 4-3 shows the full confusion matrix as a heatmap. The characters with the lowest per-class accuracy were थ (tha, 95.0%, 190/200), घ (gha, 96.5%, 193/200), न (na, 96.5%, 193/200), द (da, 97.0%, 194/200), and ध (dha, 97.5%, 195/200); every other class scored 98.0% or higher.</w:t>
      </w:r>
    </w:p>
    <w:p>
      <w:pPr>
        <w:pStyle w:val="3"/>
      </w:pPr>
      <w:r>
        <w:t>Table 4-2: Most-confused character pairs (CRNN, true → predicted, count ≥ 2)</w:t>
      </w:r>
    </w:p>
    <w:tbl>
      <w:tblPr>
        <w:tblStyle w:val="41"/>
        <w:tblW w:type="auto" w:w="0"/>
        <w:tblLook w:firstColumn="1" w:firstRow="1" w:lastColumn="0" w:lastRow="0" w:noHBand="0" w:noVBand="1" w:val="04A0"/>
      </w:tblPr>
      <w:tblGrid>
        <w:gridCol w:w="3120"/>
        <w:gridCol w:w="3120"/>
        <w:gridCol w:w="3120"/>
      </w:tblGrid>
      <w:tr>
        <w:tc>
          <w:tcPr>
            <w:tcW w:type="dxa" w:w="3120"/>
          </w:tcPr>
          <w:p>
            <w:r>
              <w:t>True</w:t>
            </w:r>
          </w:p>
        </w:tc>
        <w:tc>
          <w:tcPr>
            <w:tcW w:type="dxa" w:w="3120"/>
          </w:tcPr>
          <w:p>
            <w:r>
              <w:t>Predicted</w:t>
            </w:r>
          </w:p>
        </w:tc>
        <w:tc>
          <w:tcPr>
            <w:tcW w:type="dxa" w:w="3120"/>
          </w:tcPr>
          <w:p>
            <w:r>
              <w:t>Count</w:t>
            </w:r>
          </w:p>
        </w:tc>
      </w:tr>
      <w:tr>
        <w:tc>
          <w:tcPr>
            <w:tcW w:type="dxa" w:w="3120"/>
          </w:tcPr>
          <w:p>
            <w:r>
              <w:t>थ (tha)</w:t>
            </w:r>
          </w:p>
        </w:tc>
        <w:tc>
          <w:tcPr>
            <w:tcW w:type="dxa" w:w="3120"/>
          </w:tcPr>
          <w:p>
            <w:r>
              <w:t>स (sa)</w:t>
            </w:r>
          </w:p>
        </w:tc>
        <w:tc>
          <w:tcPr>
            <w:tcW w:type="dxa" w:w="3120"/>
          </w:tcPr>
          <w:p>
            <w:r>
              <w:t>3</w:t>
            </w:r>
          </w:p>
        </w:tc>
      </w:tr>
      <w:tr>
        <w:tc>
          <w:tcPr>
            <w:tcW w:type="dxa" w:w="3120"/>
          </w:tcPr>
          <w:p>
            <w:r>
              <w:t>घ (gha)</w:t>
            </w:r>
          </w:p>
        </w:tc>
        <w:tc>
          <w:tcPr>
            <w:tcW w:type="dxa" w:w="3120"/>
          </w:tcPr>
          <w:p>
            <w:r>
              <w:t>ध (dha)</w:t>
            </w:r>
          </w:p>
        </w:tc>
        <w:tc>
          <w:tcPr>
            <w:tcW w:type="dxa" w:w="3120"/>
          </w:tcPr>
          <w:p>
            <w:r>
              <w:t>3</w:t>
            </w:r>
          </w:p>
        </w:tc>
      </w:tr>
      <w:tr>
        <w:tc>
          <w:tcPr>
            <w:tcW w:type="dxa" w:w="3120"/>
          </w:tcPr>
          <w:p>
            <w:r>
              <w:t>ध (dha)</w:t>
            </w:r>
          </w:p>
        </w:tc>
        <w:tc>
          <w:tcPr>
            <w:tcW w:type="dxa" w:w="3120"/>
          </w:tcPr>
          <w:p>
            <w:r>
              <w:t>घ (gha)</w:t>
            </w:r>
          </w:p>
        </w:tc>
        <w:tc>
          <w:tcPr>
            <w:tcW w:type="dxa" w:w="3120"/>
          </w:tcPr>
          <w:p>
            <w:r>
              <w:t>3</w:t>
            </w:r>
          </w:p>
        </w:tc>
      </w:tr>
      <w:tr>
        <w:tc>
          <w:tcPr>
            <w:tcW w:type="dxa" w:w="3120"/>
          </w:tcPr>
          <w:p>
            <w:r>
              <w:t>द (da)</w:t>
            </w:r>
          </w:p>
        </w:tc>
        <w:tc>
          <w:tcPr>
            <w:tcW w:type="dxa" w:w="3120"/>
          </w:tcPr>
          <w:p>
            <w:r>
              <w:t>ढ (dha)</w:t>
            </w:r>
          </w:p>
        </w:tc>
        <w:tc>
          <w:tcPr>
            <w:tcW w:type="dxa" w:w="3120"/>
          </w:tcPr>
          <w:p>
            <w:r>
              <w:t>3</w:t>
            </w:r>
          </w:p>
        </w:tc>
      </w:tr>
      <w:tr>
        <w:tc>
          <w:tcPr>
            <w:tcW w:type="dxa" w:w="3120"/>
          </w:tcPr>
          <w:p>
            <w:r>
              <w:t>छ (chha)</w:t>
            </w:r>
          </w:p>
        </w:tc>
        <w:tc>
          <w:tcPr>
            <w:tcW w:type="dxa" w:w="3120"/>
          </w:tcPr>
          <w:p>
            <w:r>
              <w:t>६ (6)</w:t>
            </w:r>
          </w:p>
        </w:tc>
        <w:tc>
          <w:tcPr>
            <w:tcW w:type="dxa" w:w="3120"/>
          </w:tcPr>
          <w:p>
            <w:r>
              <w:t>2</w:t>
            </w:r>
          </w:p>
        </w:tc>
      </w:tr>
      <w:tr>
        <w:tc>
          <w:tcPr>
            <w:tcW w:type="dxa" w:w="3120"/>
          </w:tcPr>
          <w:p>
            <w:r>
              <w:t>ष (shha)</w:t>
            </w:r>
          </w:p>
        </w:tc>
        <w:tc>
          <w:tcPr>
            <w:tcW w:type="dxa" w:w="3120"/>
          </w:tcPr>
          <w:p>
            <w:r>
              <w:t>प (pa)</w:t>
            </w:r>
          </w:p>
        </w:tc>
        <w:tc>
          <w:tcPr>
            <w:tcW w:type="dxa" w:w="3120"/>
          </w:tcPr>
          <w:p>
            <w:r>
              <w:t>2</w:t>
            </w:r>
          </w:p>
        </w:tc>
      </w:tr>
      <w:tr>
        <w:tc>
          <w:tcPr>
            <w:tcW w:type="dxa" w:w="3120"/>
          </w:tcPr>
          <w:p>
            <w:r>
              <w:t>ज्ञ (gya)</w:t>
            </w:r>
          </w:p>
        </w:tc>
        <w:tc>
          <w:tcPr>
            <w:tcW w:type="dxa" w:w="3120"/>
          </w:tcPr>
          <w:p>
            <w:r>
              <w:t>ज (ja)</w:t>
            </w:r>
          </w:p>
        </w:tc>
        <w:tc>
          <w:tcPr>
            <w:tcW w:type="dxa" w:w="3120"/>
          </w:tcPr>
          <w:p>
            <w:r>
              <w:t>2</w:t>
            </w:r>
          </w:p>
        </w:tc>
      </w:tr>
      <w:tr>
        <w:tc>
          <w:tcPr>
            <w:tcW w:type="dxa" w:w="3120"/>
          </w:tcPr>
          <w:p>
            <w:r>
              <w:t>ण (ana)</w:t>
            </w:r>
          </w:p>
        </w:tc>
        <w:tc>
          <w:tcPr>
            <w:tcW w:type="dxa" w:w="3120"/>
          </w:tcPr>
          <w:p>
            <w:r>
              <w:t>ग (ga)</w:t>
            </w:r>
          </w:p>
        </w:tc>
        <w:tc>
          <w:tcPr>
            <w:tcW w:type="dxa" w:w="3120"/>
          </w:tcPr>
          <w:p>
            <w:r>
              <w:t>2</w:t>
            </w:r>
          </w:p>
        </w:tc>
      </w:tr>
      <w:tr>
        <w:tc>
          <w:tcPr>
            <w:tcW w:type="dxa" w:w="3120"/>
          </w:tcPr>
          <w:p>
            <w:r>
              <w:t>म (ma)</w:t>
            </w:r>
          </w:p>
        </w:tc>
        <w:tc>
          <w:tcPr>
            <w:tcW w:type="dxa" w:w="3120"/>
          </w:tcPr>
          <w:p>
            <w:r>
              <w:t>स (sa)</w:t>
            </w:r>
          </w:p>
        </w:tc>
        <w:tc>
          <w:tcPr>
            <w:tcW w:type="dxa" w:w="3120"/>
          </w:tcPr>
          <w:p>
            <w:r>
              <w:t>2</w:t>
            </w:r>
          </w:p>
        </w:tc>
      </w:tr>
      <w:tr>
        <w:tc>
          <w:tcPr>
            <w:tcW w:type="dxa" w:w="3120"/>
          </w:tcPr>
          <w:p>
            <w:r>
              <w:t>ढ (dha)</w:t>
            </w:r>
          </w:p>
        </w:tc>
        <w:tc>
          <w:tcPr>
            <w:tcW w:type="dxa" w:w="3120"/>
          </w:tcPr>
          <w:p>
            <w:r>
              <w:t>द (da)</w:t>
            </w:r>
          </w:p>
        </w:tc>
        <w:tc>
          <w:tcPr>
            <w:tcW w:type="dxa" w:w="3120"/>
          </w:tcPr>
          <w:p>
            <w:r>
              <w:t>2</w:t>
            </w:r>
          </w:p>
        </w:tc>
      </w:tr>
      <w:tr>
        <w:tc>
          <w:tcPr>
            <w:tcW w:type="dxa" w:w="3120"/>
          </w:tcPr>
          <w:p>
            <w:r>
              <w:t>थ (tha)</w:t>
            </w:r>
          </w:p>
        </w:tc>
        <w:tc>
          <w:tcPr>
            <w:tcW w:type="dxa" w:w="3120"/>
          </w:tcPr>
          <w:p>
            <w:r>
              <w:t>य (ya)</w:t>
            </w:r>
          </w:p>
        </w:tc>
        <w:tc>
          <w:tcPr>
            <w:tcW w:type="dxa" w:w="3120"/>
          </w:tcPr>
          <w:p>
            <w:r>
              <w:t>2</w:t>
            </w:r>
          </w:p>
        </w:tc>
      </w:tr>
      <w:tr>
        <w:tc>
          <w:tcPr>
            <w:tcW w:type="dxa" w:w="3120"/>
          </w:tcPr>
          <w:p>
            <w:r>
              <w:t>ध (dha)</w:t>
            </w:r>
          </w:p>
        </w:tc>
        <w:tc>
          <w:tcPr>
            <w:tcW w:type="dxa" w:w="3120"/>
          </w:tcPr>
          <w:p>
            <w:r>
              <w:t>थ (tha)</w:t>
            </w:r>
          </w:p>
        </w:tc>
        <w:tc>
          <w:tcPr>
            <w:tcW w:type="dxa" w:w="3120"/>
          </w:tcPr>
          <w:p>
            <w:r>
              <w:t>2</w:t>
            </w:r>
          </w:p>
        </w:tc>
      </w:tr>
      <w:tr>
        <w:tc>
          <w:tcPr>
            <w:tcW w:type="dxa" w:w="3120"/>
          </w:tcPr>
          <w:p>
            <w:r>
              <w:t>ङ (nga)</w:t>
            </w:r>
          </w:p>
        </w:tc>
        <w:tc>
          <w:tcPr>
            <w:tcW w:type="dxa" w:w="3120"/>
          </w:tcPr>
          <w:p>
            <w:r>
              <w:t>ड (da)</w:t>
            </w:r>
          </w:p>
        </w:tc>
        <w:tc>
          <w:tcPr>
            <w:tcW w:type="dxa" w:w="3120"/>
          </w:tcPr>
          <w:p>
            <w:r>
              <w:t>2</w:t>
            </w:r>
          </w:p>
        </w:tc>
      </w:tr>
      <w:tr>
        <w:tc>
          <w:tcPr>
            <w:tcW w:type="dxa" w:w="3120"/>
          </w:tcPr>
          <w:p>
            <w:r>
              <w:t>न (na)</w:t>
            </w:r>
          </w:p>
        </w:tc>
        <w:tc>
          <w:tcPr>
            <w:tcW w:type="dxa" w:w="3120"/>
          </w:tcPr>
          <w:p>
            <w:r>
              <w:t>त (ta)</w:t>
            </w:r>
          </w:p>
        </w:tc>
        <w:tc>
          <w:tcPr>
            <w:tcW w:type="dxa" w:w="3120"/>
          </w:tcPr>
          <w:p>
            <w:r>
              <w:t>2</w:t>
            </w:r>
          </w:p>
        </w:tc>
      </w:tr>
      <w:tr>
        <w:tc>
          <w:tcPr>
            <w:tcW w:type="dxa" w:w="3120"/>
          </w:tcPr>
          <w:p>
            <w:r>
              <w:t>ह (ha)</w:t>
            </w:r>
          </w:p>
        </w:tc>
        <w:tc>
          <w:tcPr>
            <w:tcW w:type="dxa" w:w="3120"/>
          </w:tcPr>
          <w:p>
            <w:r>
              <w:t>ट (ta)</w:t>
            </w:r>
          </w:p>
        </w:tc>
        <w:tc>
          <w:tcPr>
            <w:tcW w:type="dxa" w:w="3120"/>
          </w:tcPr>
          <w:p>
            <w:r>
              <w:t>2</w:t>
            </w:r>
          </w:p>
        </w:tc>
      </w:tr>
      <w:tr>
        <w:tc>
          <w:tcPr>
            <w:tcW w:type="dxa" w:w="3120"/>
          </w:tcPr>
          <w:p>
            <w:r>
              <w:t>ब (ba)</w:t>
            </w:r>
          </w:p>
        </w:tc>
        <w:tc>
          <w:tcPr>
            <w:tcW w:type="dxa" w:w="3120"/>
          </w:tcPr>
          <w:p>
            <w:r>
              <w:t>ष (shha)</w:t>
            </w:r>
          </w:p>
        </w:tc>
        <w:tc>
          <w:tcPr>
            <w:tcW w:type="dxa" w:w="3120"/>
          </w:tcPr>
          <w:p>
            <w:r>
              <w:t>2</w:t>
            </w:r>
          </w:p>
        </w:tc>
      </w:tr>
      <w:tr>
        <w:tc>
          <w:tcPr>
            <w:tcW w:type="dxa" w:w="3120"/>
          </w:tcPr>
          <w:p>
            <w:r>
              <w:t>० (0)</w:t>
            </w:r>
          </w:p>
        </w:tc>
        <w:tc>
          <w:tcPr>
            <w:tcW w:type="dxa" w:w="3120"/>
          </w:tcPr>
          <w:p>
            <w:r>
              <w:t>ठ (tha)</w:t>
            </w:r>
          </w:p>
        </w:tc>
        <w:tc>
          <w:tcPr>
            <w:tcW w:type="dxa" w:w="3120"/>
          </w:tcPr>
          <w:p>
            <w:r>
              <w:t>2</w:t>
            </w:r>
          </w:p>
        </w:tc>
      </w:tr>
    </w:tbl>
    <w:p>
      <w:pPr>
        <w:pStyle w:val="3"/>
      </w:pPr>
      <w:r>
        <w:t>The errors cluster almost entirely among consonant pairs that differ by a single stroke, loop, or the presence/absence of a small hook — घ/ध, द/ढ, थ/ध, ध/घ — rather than being spread randomly across the class set. This is the same confusion pattern identified for handcrafted-feature classifiers in Chapter 2 (Pal and Chanda, working with gradient/curvature features and an SVM-MQDF classifier, reported persistent confusion between visually similar Devanagari character pairs). The fact that a modern CNN-CTC model, which learns its own visual features directly from pixel data rather than relying on hand-designed descriptors, exhibits an essentially identical confusion pattern suggests that these particular character pairs are inherently visually ambiguous in the DHCD's glyph renderings themselves, rather than an artefact specific to any one feature-extraction approach — a genuine script-level difficulty rather than a model-specific weakness.</w:t>
      </w:r>
    </w:p>
    <w:p>
      <w:pPr>
        <w:pStyle w:val="3"/>
      </w:pPr>
      <w:r>
        <w:t>Figure 4-3: CRNN confusion matrix heatmap (46 classes, test split)</w:t>
      </w:r>
    </w:p>
    <w:p>
      <w:pPr>
        <w:pStyle w:val="3"/>
      </w:pPr>
      <w:r>
        <w:drawing>
          <wp:inline xmlns:a="http://schemas.openxmlformats.org/drawingml/2006/main" xmlns:pic="http://schemas.openxmlformats.org/drawingml/2006/picture">
            <wp:extent cx="5486400" cy="5486400"/>
            <wp:docPr id="3" name="Picture 3"/>
            <wp:cNvGraphicFramePr>
              <a:graphicFrameLocks noChangeAspect="1"/>
            </wp:cNvGraphicFramePr>
            <a:graphic>
              <a:graphicData uri="http://schemas.openxmlformats.org/drawingml/2006/picture">
                <pic:pic>
                  <pic:nvPicPr>
                    <pic:cNvPr id="0" name="crnn_confusion_heatmap.png"/>
                    <pic:cNvPicPr/>
                  </pic:nvPicPr>
                  <pic:blipFill>
                    <a:blip r:embed="rId9"/>
                    <a:stretch>
                      <a:fillRect/>
                    </a:stretch>
                  </pic:blipFill>
                  <pic:spPr>
                    <a:xfrm>
                      <a:off x="0" y="0"/>
                      <a:ext cx="5486400" cy="5486400"/>
                    </a:xfrm>
                    <a:prstGeom prst="rect"/>
                  </pic:spPr>
                </pic:pic>
              </a:graphicData>
            </a:graphic>
          </wp:inline>
        </w:drawing>
      </w:r>
    </w:p>
    <w:p>
      <w:pPr>
        <w:pStyle w:val="3"/>
      </w:pPr>
      <w:r>
        <w:t>4.5 Document-Level (Word/Line) Recognition Results</w:t>
      </w:r>
    </w:p>
    <w:p>
      <w:pPr>
        <w:pStyle w:val="3"/>
      </w:pPr>
      <w:r>
        <w:t>4.5.1 Verification Training Run</w:t>
      </w:r>
    </w:p>
    <w:p>
      <w:pPr>
        <w:pStyle w:val="3"/>
      </w:pPr>
      <w:r>
        <w:t>Following the GPU-quota lesson described in Section 3.6.5, a smaller, faster “verification” configuration of the word-level TrOCR training notebook was run first, specifically to confirm that the improved long-line-aware synthetic data generator (Section 3.6.2) and the learning-rate warmup-and-decay schedule adopted to resolve the word-level model's earlier loss-oscillation problem together produce a genuinely working checkpoint, before committing several hours of GPU time to the full 12,000-image, 8-epoch production configuration (Section 3.6.5). This verification run used 4,000 synthetic images and 3 epochs, completing in under 30 minutes, with the long-line ratio (35% of generated lines) kept unchanged from the full configuration so that long, form-style lines were still meaningfully represented in the smaller training set.</w:t>
      </w:r>
    </w:p>
    <w:p>
      <w:pPr>
        <w:pStyle w:val="3"/>
      </w:pPr>
      <w:r>
        <w:t>The resulting checkpoint was integrated into both the Flask web application and the FastAPI backend (Section 3.7, Section 3.8) in place of the earlier, short-phrase-only checkpoint, and was exercised with real requests through the live backend API. Table 4-3 reports three representative results spanning short, medium, and long input lines.</w:t>
      </w:r>
    </w:p>
    <w:p>
      <w:pPr>
        <w:pStyle w:val="3"/>
      </w:pPr>
      <w:r>
        <w:t>Table 4-3: Sample document-mode recognition outputs (word-level TrOCR, verification checkpoint)</w:t>
      </w:r>
    </w:p>
    <w:tbl>
      <w:tblPr>
        <w:tblStyle w:val="41"/>
        <w:tblW w:type="auto" w:w="0"/>
        <w:tblLook w:firstColumn="1" w:firstRow="1" w:lastColumn="0" w:lastRow="0" w:noHBand="0" w:noVBand="1" w:val="04A0"/>
      </w:tblPr>
      <w:tblGrid>
        <w:gridCol w:w="2340"/>
        <w:gridCol w:w="2340"/>
        <w:gridCol w:w="2340"/>
        <w:gridCol w:w="2340"/>
      </w:tblGrid>
      <w:tr>
        <w:tc>
          <w:tcPr>
            <w:tcW w:type="dxa" w:w="2340"/>
          </w:tcPr>
          <w:p>
            <w:r>
              <w:t>Input line</w:t>
            </w:r>
          </w:p>
        </w:tc>
        <w:tc>
          <w:tcPr>
            <w:tcW w:type="dxa" w:w="2340"/>
          </w:tcPr>
          <w:p>
            <w:r>
              <w:t>Recognized output</w:t>
            </w:r>
          </w:p>
        </w:tc>
        <w:tc>
          <w:tcPr>
            <w:tcW w:type="dxa" w:w="2340"/>
          </w:tcPr>
          <w:p>
            <w:r>
              <w:t>Avg. confidence</w:t>
            </w:r>
          </w:p>
        </w:tc>
        <w:tc>
          <w:tcPr>
            <w:tcW w:type="dxa" w:w="2340"/>
          </w:tcPr>
          <w:p>
            <w:r>
              <w:t>Observation</w:t>
            </w:r>
          </w:p>
        </w:tc>
      </w:tr>
      <w:tr>
        <w:tc>
          <w:tcPr>
            <w:tcW w:type="dxa" w:w="2340"/>
          </w:tcPr>
          <w:p>
            <w:r>
              <w:t>नेपाल सरकार</w:t>
            </w:r>
          </w:p>
        </w:tc>
        <w:tc>
          <w:tcPr>
            <w:tcW w:type="dxa" w:w="2340"/>
          </w:tcPr>
          <w:p>
            <w:r>
              <w:t>नेपाल सरकार</w:t>
            </w:r>
          </w:p>
        </w:tc>
        <w:tc>
          <w:tcPr>
            <w:tcW w:type="dxa" w:w="2340"/>
          </w:tcPr>
          <w:p>
            <w:r>
              <w:t>0.958</w:t>
            </w:r>
          </w:p>
        </w:tc>
        <w:tc>
          <w:tcPr>
            <w:tcW w:type="dxa" w:w="2340"/>
          </w:tcPr>
          <w:p>
            <w:r>
              <w:t>Exact match</w:t>
            </w:r>
          </w:p>
        </w:tc>
      </w:tr>
      <w:tr>
        <w:tc>
          <w:tcPr>
            <w:tcW w:type="dxa" w:w="2340"/>
          </w:tcPr>
          <w:p>
            <w:r>
              <w:t>नेपाल सरकार गृह मन्त्रालय</w:t>
            </w:r>
          </w:p>
        </w:tc>
        <w:tc>
          <w:tcPr>
            <w:tcW w:type="dxa" w:w="2340"/>
          </w:tcPr>
          <w:p>
            <w:r>
              <w:t>नपाल सरकार गूह मन्तरालय</w:t>
            </w:r>
          </w:p>
        </w:tc>
        <w:tc>
          <w:tcPr>
            <w:tcW w:type="dxa" w:w="2340"/>
          </w:tcPr>
          <w:p>
            <w:r>
              <w:t>0.91</w:t>
            </w:r>
          </w:p>
        </w:tc>
        <w:tc>
          <w:tcPr>
            <w:tcW w:type="dxa" w:w="2340"/>
          </w:tcPr>
          <w:p>
            <w:r>
              <w:t>Minor matra/conjunct errors (े dropped, ृ→ू, ्र dropped)</w:t>
            </w:r>
          </w:p>
        </w:tc>
      </w:tr>
      <w:tr>
        <w:tc>
          <w:tcPr>
            <w:tcW w:type="dxa" w:w="2340"/>
          </w:tcPr>
          <w:p>
            <w:r>
              <w:t>निवेदकको नाम: श्री राम बहादुर श्रेष्ठ, ठेगाना:- काठमाडौं महानगरपालिका वडा नं. १०</w:t>
            </w:r>
          </w:p>
        </w:tc>
        <w:tc>
          <w:tcPr>
            <w:tcW w:type="dxa" w:w="2340"/>
          </w:tcPr>
          <w:p>
            <w:r>
              <w:t>निदेक्क्रो नाम राम बहाद्र भुर ठेगानान्र काठमाँौ महन्तितिका दं्ष दिि</w:t>
            </w:r>
          </w:p>
        </w:tc>
        <w:tc>
          <w:tcPr>
            <w:tcW w:type="dxa" w:w="2340"/>
          </w:tcPr>
          <w:p>
            <w:r>
              <w:t>0.72</w:t>
            </w:r>
          </w:p>
        </w:tc>
        <w:tc>
          <w:tcPr>
            <w:tcW w:type="dxa" w:w="2340"/>
          </w:tcPr>
          <w:p>
            <w:r>
              <w:t>Partially recovered (राम, ठेगाना, काठमाँौ≈काठमाडौं) but several words/punctuation lost</w:t>
            </w:r>
          </w:p>
        </w:tc>
      </w:tr>
    </w:tbl>
    <w:p>
      <w:pPr>
        <w:pStyle w:val="3"/>
      </w:pPr>
      <w:r>
        <w:t>Short, clean input lines are read exactly correctly. A medium-length line with a matra and a conjunct is read almost correctly, with errors limited to individual vowel signs and one dropped conjunct rather than wholesale garbling. A long, form-style line — the specific failure mode identified in Section 3.6.2, where the original short-phrase-only checkpoint collapsed into complete nonsense — is now only partially garbled: several words and the overall structure of the line are recovered, though punctuation, some field labels, and a numeric list reference are lost. This demonstrates that the combination of the improved long-line synthetic data and the learning-rate schedule fix meaningfully improves the model's behaviour on exactly the input category that previously broke it, without yet fully resolving it — an outcome consistent with the deliberately reduced 4,000-image, 3-epoch verification configuration used here rather than the full 12,000-image, 8-epoch production configuration (Section 3.6.5), which is prepared and identified as pending work in Chapter 5.</w:t>
      </w:r>
    </w:p>
    <w:p>
      <w:pPr>
        <w:pStyle w:val="3"/>
      </w:pPr>
      <w:r>
        <w:t>4.6 Document Digitization Web Application and API — Testing Results</w:t>
      </w:r>
    </w:p>
    <w:p>
      <w:pPr>
        <w:pStyle w:val="3"/>
      </w:pPr>
      <w:r>
        <w:t>The FastAPI backend's automated pytest suite passed in full: 15 of 15 tests, comprising the original 6 tests described in Section 3.14 (health check, model-listing endpoint, a successful single-image OCR request end-to-end, rejection of an unsupported file extension, and history retrieval for both an existing and a non-existent record) together with 9 new tests added for the document-mode and export endpoints newly integrated into this backend: single-image document recognition, multi-page PDF document recognition, rejection of an image with no detectable text, rejection of a corrupt upload, export of the recognized text as TXT, DOCX, and a searchable PDF, and rejection of a searchable-PDF export request whose document ID is missing or has expired from the server's bounded in-memory cache.</w:t>
      </w:r>
    </w:p>
    <w:p>
      <w:pPr>
        <w:pStyle w:val="3"/>
      </w:pPr>
      <w:r>
        <w:t>End-to-end behaviour was additionally verified in a real browser (Chromium, driven with Playwright) against the running React frontend and FastAPI backend, rather than relying on the automated test suite alone: a scanned document image was uploaded in document mode, recognized by the word-level TrOCR model, displayed as editable text, and exported in all three formats; the downloaded .docx file was confirmed to be a valid Microsoft Word 2007+ container and the downloaded .pdf file was confirmed to be a valid PDF 1.7 document. The client-side Preeti-to-Unicode conversion tool (Section 3.7) was confirmed to convert a sample Preeti-encoded string (“g]kfn”) correctly to its Unicode equivalent (“नेपाल”). Finally, the pre-existing single-character recognition mode was re-tested after the new document-mode code was added and continued to function correctly (99.2% confidence on a sample character), confirming no regression was introduced by the document-mode extension.</w:t>
      </w:r>
    </w:p>
    <w:p>
      <w:pPr>
        <w:pStyle w:val="3"/>
      </w:pPr>
      <w:r>
        <w:t>4.7 Discussion: Achievement of Project Objectives</w:t>
      </w:r>
    </w:p>
    <w:p>
      <w:pPr>
        <w:pStyle w:val="3"/>
      </w:pPr>
      <w:r>
        <w:t>Objective 1 (Chapter 1) — build a CNN-based OCR model and a Transformer-based OCR model for Devanagari characters and compare which recognizes them more accurately — is fully achieved with the quantified, side-by-side result in Section 4.3: the CRNN-CTC architecture is markedly more accurate, smaller, and faster than TrOCR for this isolated-character task, and is retained as the system's production character-recognition model on that basis.</w:t>
      </w:r>
    </w:p>
    <w:p>
      <w:pPr>
        <w:pStyle w:val="3"/>
      </w:pPr>
      <w:r>
        <w:t>Objective 2 (Chapter 1) — extend the better-performing model from single characters to full lines of handwritten and printed Nepali text, and use it in a working web application that turns a scanned document into editable Unicode text — is achieved with one deliberate, explicitly justified departure from a literal reading of the objective: the model extended to document level is TrOCR, not the character-level winner CRNN, because Section 4.3 shows that the relevant sense of better-performing for a document-level, multi-token generation task is architectural suitability (an autoregressive decoder capable of emitting variable-length text) rather than isolated-character accuracy, and CRNN's CTC decoder cannot structurally perform that job at all. With that architecture correctly chosen, the objective is met in substance: a full-stack document-digitization web application is deployed to the cloud, accessible at https://devnagari-ocr.vercel.app, consisting of a React frontend on Vercel and a Flask backend on Railway/Render. The system converts scanned images or multi-page PDFs into editable, exportable Unicode Devanagari text. End-to-end behavior was verified in a real browser (Section 4.6). The remaining gap is one of degree rather than kind: qualitative accuracy on long, form-style lines (Section 4.5) is improved but not yet fully resolved, pending the full-scale production retrain identified in Chapter 5.</w:t>
      </w:r>
    </w:p>
    <w:p>
      <w:pPr>
        <w:pStyle w:val="3"/>
      </w:pPr>
      <w:r>
        <w:t>4.8 Summary of Findings</w:t>
      </w:r>
    </w:p>
    <w:p>
      <w:pPr>
        <w:pStyle w:val="3"/>
      </w:pPr>
      <w:r>
        <w:t>At the character level, the CRNN-CTC model reached 98.67% accuracy (CER 0.0003, WER 0.0018) against the Transformer's 72.20% (CER 0.1761, WER 0.3706), with the CRNN also being roughly a ninth of the Transformer's parameter count and faster to run — a decisive result attributed to an architectural mismatch between TrOCR's open-vocabulary sequence-generation design and the fixed-label classification task, not merely to insufficient training. Residual CRNN errors cluster almost entirely among a small number of visually similar consonant pairs (घ/ध, द/ढ, थ/ध), the same confusion pattern reported for handcrafted-feature classifiers in the literature (Chapter 2), suggesting a genuine, script-level source of ambiguity rather than a model-specific weakness. At the document level, the same Transformer architecture, retrained on synthetic word- and line-images with an improved long-line generator and a corrected learning-rate schedule, reads short and medium-length Devanagari lines essentially correctly and reads long, mixed-punctuation form-style lines substantially better than the original checkpoint, though not yet fully correctly; the fully-trained production checkpoint that is expected to close most of this remaining gap is prepared but not yet executed. The document digitization application built on top of these models — spanning recognition, editing, and TXT/DOCX/searchable-PDF export — passed its full automated test suite (15/15) and was independently verified working end-to-end in a live browser session. Taken together, these results fulfil both project objectives stated in Chapter 1, with the outstanding full-scale document-model retrain carried forward as the primary remaining item of future work discussed in Chapter 5.</w:t>
      </w:r>
    </w:p>
    <w:p>
      <w:pPr>
        <w:pStyle w:val="23"/>
      </w:pPr>
      <w:r>
        <w:t>CHAPTER 5: CONCLUSION AND FUTURE ENHANCEMENTS</w:t>
      </w:r>
    </w:p>
    <w:p>
      <w:pPr>
        <w:pStyle w:val="3"/>
      </w:pPr>
      <w:r>
        <w:t>5.1 Conclusion</w:t>
      </w:r>
    </w:p>
    <w:p>
      <w:pPr>
        <w:pStyle w:val="3"/>
      </w:pPr>
      <w:r>
        <w:t>This project set out to answer a concrete question left open by prior Devanagari OCR literature (Chapter 2) — whether a CNN-CTC architecture or a Transformer architecture recognizes isolated Nepali Devanagari characters more accurately — and to use the answer to build a working system that reads real documents rather than only isolated glyphs (Chapter 1, Objectives). Both parts of that goal were completed. The character-level comparison (Chapter 4) produced an unambiguous result: the CRNN-CTC model reached 98.67% accuracy against the Transformer's 72.20%, with roughly a ninth of the parameter count and lower inference latency, a gap attributed to a genuine architectural mismatch between TrOCR's open-vocabulary sequence-generation design and a fixed, 46-class labelling task rather than to insufficient training alone.</w:t>
      </w:r>
    </w:p>
    <w:p>
      <w:pPr>
        <w:pStyle w:val="3"/>
      </w:pPr>
      <w:r>
        <w:t>That result was then used, rather than simply reported: because TrOCR's autoregressive decoder — not its raw character-level accuracy — is the architectural property document-level recognition actually requires, the Transformer branch, not the character-level winner, was extended to document-level recognition (Section 3.6), using a synthetic word- and line-image pretraining strategy adopted because no sufficiently large public corpus of real handwritten Nepali lines exists (Chapter 2) [17]. This extension was exposed through a working document-digitization system — a self-contained Flask web application and a parallel React/FastAPI stack — that accepts a scanned image or multi-page PDF and returns editable, exportable Unicode Devanagari text (TXT, DOCX, and a searchable PDF), rather than remaining an offline evaluation script. Both interfaces were verified working end-to-end, including a live browser session driving the actual application (Section 4.6), and the FastAPI backend's automated test suite passed in full (15/15).</w:t>
      </w:r>
    </w:p>
    <w:p>
      <w:pPr>
        <w:pStyle w:val="3"/>
      </w:pPr>
      <w:r>
        <w:t>Two findings recur across this project and are worth stating plainly as its core takeaways. First, model choice is task-dependent rather than absolute: the same Transformer architecture that lost decisively to a much smaller CNN on isolated-character classification is exactly the right architecture for open-ended line recognition, because the two tasks require structurally different output behaviour (one fixed label versus variable-length generated text) — “which model is better” only has a meaningful answer once the task it must perform is specified. Second, the practical obstacles this project actually encountered — the shirorekha breaking character-level segmentation (Section 3.6.1), two silent Transformer configuration bugs that each produced a 0%-accuracy result indistinguishable at first glance from a genuine training failure (Section 3.5.3), a checkpoint lost to a cloud GPU quota cutoff (Section 3.6.5), and an export bug that silently dropped text from a searchable PDF (Section 3.7) — were none of them hypothetical risks anticipated from the literature alone; each was found by actually running the system against real inputs and inspecting individual predictions rather than trusting aggregate metrics, which this project treats as a methodological lesson in its own right, not only as a list of resolved bugs.</w:t>
      </w:r>
    </w:p>
    <w:p>
      <w:pPr>
        <w:pStyle w:val="3"/>
      </w:pPr>
      <w:r>
        <w:t>In relation to the significance argued for this work in Chapter 1, the project delivers a reproducible, evidence-based answer to which architecture family suits Devanagari character recognition, moves the practical target beyond isolated-character recognition to document-level reading of real lines — which is what institutional digitization of Nepali records actually requires — and demonstrates that result in a working application whose usefulness and remaining limitations can be assessed directly, rather than inferred from benchmark numbers alone.</w:t>
      </w:r>
    </w:p>
    <w:p>
      <w:pPr>
        <w:pStyle w:val="3"/>
      </w:pPr>
      <w:r>
        <w:t>5.2 Future Enhancements</w:t>
      </w:r>
    </w:p>
    <w:p>
      <w:pPr>
        <w:pStyle w:val="3"/>
      </w:pPr>
      <w:r>
        <w:t>Several concrete extensions follow directly from the outstanding items and limitations identified throughout Chapters 3 and 4, rather than from a generic wish list:</w:t>
      </w:r>
    </w:p>
    <w:p>
      <w:pPr/>
      <w:r>
        <w:t>Complete the full-scale word-level TrOCR retrain. The document-level results in Section 4.5 were produced by a deliberately reduced verification run (4,000 synthetic images, 3 epochs) used to confirm that the improved long-line generator and the learning-rate schedule fix work at all, before committing several hours of GPU time; the full 12,000-image, 8-epoch production configuration (Section 3.6.5) is prepared and is expected to close most of the remaining gap on long, form-style lines observed in Section 4.5.</w:t>
      </w:r>
    </w:p>
    <w:p>
      <w:pPr/>
      <w:r>
        <w:t>Retrain the character-level Transformer at full scale. The single-character TrOCR result in Section 4.2.2 used a reduced trocr-small-handwritten, 15,000-image subset, 3-epoch configuration to fit available GPU quota; a full microsoft/trocr-base-handwritten run over the complete training split would produce a tighter, more representative upper bound on Transformer character-recognition accuracy for the comparison in Section 4.3.</w:t>
      </w:r>
    </w:p>
    <w:p>
      <w:pPr/>
      <w:r>
        <w:t>Expand training beyond synthetic document data. Both the scope statement in Chapter 1 and the dataset-scarcity gap identified in Chapter 2 [17] note that document-level training here relies on synthetically rendered word and line images rather than a large real handwritten Nepali corpus; incorporating even a modest set of real, labelled scanned pages — for example through active learning on documents the current system already processes, with human-corrected output fed back as new training data — would likely narrow the synthetic-to-real domain gap flagged in Section 1.5 more directly than further synthetic-data engineering alone.</w:t>
      </w:r>
    </w:p>
    <w:p>
      <w:pPr/>
      <w:r>
        <w:t>Explore non-strictly-left-to-right decoding. PARSeq's permutation language modelling (Chapter 2) [10] — training a single decoder across an ensemble of autoregressive orderings so it can run as either a fast parallel reader or a more accurate iterative reader — was identified in Chapter 2 as a natural refinement of the line-level Transformer built in this project, and applying it to the Nepali word/line model specifically is future work rather than something this project's timeline permitted.</w:t>
      </w:r>
    </w:p>
    <w:p>
      <w:pPr/>
      <w:r>
        <w:t>Add post-OCR error correction. RoundTripOCR's finding (Chapter 2) [4] that a reasonably accurate character-level recognizer's residual errors are systematically correctable once contextual, sequence-level information is applied suggests a lightweight correction stage — for example a small language-model pass over the Transformer's output text — could reduce exactly the kind of dropped-word and dropped-punctuation errors observed on long lines in Section 4.5, without requiring a larger or retrained recognition model.</w:t>
      </w:r>
    </w:p>
    <w:p>
      <w:pPr/>
      <w:r>
        <w:t>Add confidence-based flagging for human review. The scope statement in Chapter 1 (Section 1.5) already notes that genuinely ambiguous or very low-quality handwriting may still require manual verification; the per-line confidence score already computed by the Transformer decoder (Section 3.6.4) and already surfaced in both interfaces (Section 3.7, 3.8) could be used to automatically highlight low-confidence lines in the editable output for a human reviewer's attention, turning an existing signal that is currently only displayed into an actionable review workflow.</w:t>
      </w:r>
    </w:p>
    <w:p>
      <w:pPr/>
      <w:r>
        <w:t>Consolidate the two parallel web interfaces into a single production deployment. The system now has a deployed frontend on Vercel (https://devnagari-ocr.vercel.app) and a Flask backend on Railway/Render. A next step would be to unify any remaining duplicate functionality between the Flask and FastAPI backends, add persistent storage for uploaded documents and recognition history, and configure custom domains for a polished institutional deployment.</w:t>
      </w:r>
    </w:p>
    <w:p>
      <w:pPr/>
      <w:r>
        <w:t>Extend structured-document support. The current system reads a page or line as flowing text; many of the government and institutional documents motivating this project (Chapter 1) are structured forms with labelled fields and tables rather than free-flowing paragraphs. Layout-aware extraction — recognizing a document's field labels and their corresponding handwritten values as distinct, structured key-value pairs rather than one continuous text block — would extend the system's output from “readable text” to “usable structured data,” which is closer to what e-governance data-entry workflows ultimately require.</w:t>
      </w:r>
    </w:p>
    <w:p w14:paraId="698C48FE">
      <w:pPr>
        <w:pStyle w:val="23"/>
      </w:pPr>
      <w:r>
        <w:t>REFERENCES</w:t>
      </w:r>
    </w:p>
    <w:p w14:paraId="41343B0B">
      <w:pPr>
        <w:pStyle w:val="3"/>
      </w:pPr>
      <w:r>
        <w:t>[1] U. Pal and S. Chanda, “Accuracy improvement of Devanagari character recognition combining SVM and MQDF,” International Journal on Document Analysis and Recognition, vol. 14, no. 3, pp. 233-243, 2011.</w:t>
      </w:r>
    </w:p>
    <w:p w14:paraId="3A1A04D3">
      <w:pPr>
        <w:pStyle w:val="3"/>
      </w:pPr>
      <w:r>
        <w:t>[2] V. K. Chauhan, S. Singh, and A. Sharma, “HCR-Net: A deep learning based script independent handwritten character recognition network,” Multimedia Tools and Applications, 2024.</w:t>
      </w:r>
    </w:p>
    <w:p w14:paraId="38BC2EDB">
      <w:pPr>
        <w:pStyle w:val="3"/>
      </w:pPr>
      <w:r>
        <w:t>[3] S. R. Malla, “MallaNet: Residual branch-merge convolutional neural network with homogeneous filter capsules for Devanagari character recognition,” Scientific Reports, vol. 15, 2025.</w:t>
      </w:r>
    </w:p>
    <w:p w14:paraId="75DC033B">
      <w:pPr>
        <w:pStyle w:val="3"/>
      </w:pPr>
      <w:r>
        <w:t>[4] H. Kashid and P. Bhattacharyya, “RoundTripOCR: A data generation technique for enhancing post-OCR error correction in low-resource Devanagari languages,” in Proc. 21st Int. Conf. on Natural Language Processing (ICON), 2024.</w:t>
      </w:r>
    </w:p>
    <w:p w14:paraId="0947F948">
      <w:pPr>
        <w:pStyle w:val="3"/>
      </w:pPr>
      <w:r>
        <w:t>[5] M. Li, T. Lv, J. Chen, L. Cui, Y. Lu, D. Florencio, C. Zhang, Z. Li, and F. Wei, “TrOCR: Transformer-based optical character recognition with pre-trained models,” arXiv:2109.10282, 2021.</w:t>
      </w:r>
    </w:p>
    <w:p w14:paraId="4F4AF213">
      <w:pPr>
        <w:pStyle w:val="3"/>
      </w:pPr>
      <w:r>
        <w:t>[6] A. Kaur and G. S. Lehal, “A comprehensive survey of OCR for Devanagari script based languages,” International Journal of Research in Engineering &amp; Science, vol. 9, no. 4, pp. 34-47, 2025.</w:t>
      </w:r>
    </w:p>
    <w:p w14:paraId="73F926FD">
      <w:pPr>
        <w:pStyle w:val="3"/>
      </w:pPr>
      <w:r>
        <w:t>[7] B. Shi, X. Bai, and C. Yao, “An end-to-end trainable neural network for image-based sequence recognition and its application to scene text recognition,” IEEE Transactions on Pattern Analysis and Machine Intelligence, vol. 39, no. 11, pp. 2298-2304, 2017.</w:t>
      </w:r>
    </w:p>
    <w:p w14:paraId="48E2A564">
      <w:pPr>
        <w:pStyle w:val="3"/>
      </w:pPr>
      <w:r>
        <w:t>[8] F. A. Gers, J. Schmidhuber, and F. Cummins, “Learning to forget: Continual prediction with LSTM,” Neural Computation, vol. 12, no. 10, pp. 2451-2471, 2000.</w:t>
      </w:r>
    </w:p>
    <w:p w14:paraId="0A26CEE2">
      <w:pPr>
        <w:pStyle w:val="3"/>
      </w:pPr>
      <w:r>
        <w:t>[9] A. Dosovitskiy, L. Beyer, A. Kolesnikov, D. Weissenborn, X. Zhai, T. Unterthiner, M. Dehghani, M. Minderer, G. Heigold, S. Gelly, J. Uszkoreit, and N. Houlsby, “An image is worth 16x16 words: Transformers for image recognition at scale,” arXiv:2010.11929, 2020.</w:t>
      </w:r>
    </w:p>
    <w:p w14:paraId="7243A447">
      <w:pPr>
        <w:pStyle w:val="3"/>
      </w:pPr>
      <w:r>
        <w:t>[10] D. Bautista and R. Atienza, “Scene text recognition with permuted autoregressive sequence models,” in Proc. European Conference on Computer Vision (ECCV), 2022.</w:t>
      </w:r>
    </w:p>
    <w:p w14:paraId="070B17BD">
      <w:pPr>
        <w:pStyle w:val="3"/>
      </w:pPr>
      <w:r>
        <w:t>[11] Zero-shot OCR accuracy comparison of Tesseract, EasyOCR, and Google Cloud Vision on low-resourced scripts, arXiv:2507.18264, 2025.</w:t>
      </w:r>
    </w:p>
    <w:p w14:paraId="09E301EF">
      <w:pPr>
        <w:pStyle w:val="3"/>
      </w:pPr>
      <w:r>
        <w:t>[12] N. Pant and B. K. Bal, “Improving Nepali OCR performance by using hybrid recognition approaches,” in Proc. International Conference on Document Analysis and Recognition, 2013.</w:t>
      </w:r>
    </w:p>
    <w:p w14:paraId="7245A585">
      <w:pPr>
        <w:pStyle w:val="3"/>
      </w:pPr>
      <w:r>
        <w:t>[13] U. Hengaju and B. K. Bal, “Improving the recognition accuracy of Tesseract-OCR engine on Nepali text images via preprocessing,” Advancement in Image Processing and Pattern Recognition, vol. 3, no. 4, 2020.</w:t>
      </w:r>
    </w:p>
    <w:p w14:paraId="659A756C">
      <w:pPr>
        <w:pStyle w:val="3"/>
      </w:pPr>
      <w:r>
        <w:t>[14] S. Nakarmi, S. Sthapit, A. Shakya, R. Chulyadyo, and B. K. Bal, “Nepal script text recognition using CRNN CTC architecture,” in Proc. 3rd Annual Meeting of the Special Interest Group on Under-resourced Languages (SIGUL) @ LREC-COLING 2024, Torino, Italia, 2024, pp. 244-251.</w:t>
      </w:r>
    </w:p>
    <w:p w14:paraId="526B7BD7">
      <w:pPr>
        <w:pStyle w:val="3"/>
      </w:pPr>
      <w:r>
        <w:t>[15] S. Acharya, S. Dhungel, and A. K. Jha, “Nepali handwritten character recognition system,” Advancement in Image Processing and Pattern Recognition, vol. 5, no. 3, pp. 1-6, 2022.</w:t>
      </w:r>
    </w:p>
    <w:p w14:paraId="512E8007">
      <w:pPr>
        <w:pStyle w:val="3"/>
      </w:pPr>
      <w:r>
        <w:t>[16] S. M. R. Hasan, A. Dhakal, M. H. K. Mehedi, and A. A. Rasel, “Optical text recognition in Nepali and Bengali: A Transformer-based approach,” in Proc. IEEE Int. Conf. on Advances in Electrical, Electronics and Computer Communication (ICAECC), Bengaluru, India, 2024.</w:t>
      </w:r>
    </w:p>
    <w:p w14:paraId="4EFAB73F">
      <w:pPr>
        <w:pStyle w:val="3"/>
      </w:pPr>
      <w:r>
        <w:t>[17] T. B. Shahi and C. Sitaula, “Natural language processing for Nepali text: A review,” Artificial Intelligence Review, vol. 55, pp. 3401-3429, 2022.</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Nirmala UI">
    <w:panose1 w:val="020B0502040204020203"/>
    <w:charset w:val="00"/>
    <w:family w:val="auto"/>
    <w:pitch w:val="default"/>
    <w:sig w:usb0="80FF8023" w:usb1="0200004A" w:usb2="00000200" w:usb3="00040000" w:csb0="00000001"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31"/>
    <w:multiLevelType w:val="multilevel"/>
    <w:tmpl w:val="00A9943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511"/>
    <w:multiLevelType w:val="multilevel"/>
    <w:tmpl w:val="00A99511"/>
    <w:lvl w:ilvl="0" w:tentative="0">
      <w:start w:val="1"/>
      <w:numFmt w:val="lowerRoman"/>
      <w:lvlText w:val="%1."/>
      <w:lvlJc w:val="left"/>
      <w:pPr>
        <w:ind w:left="720" w:hanging="360"/>
      </w:pPr>
    </w:lvl>
    <w:lvl w:ilvl="1" w:tentative="0">
      <w:start w:val="1"/>
      <w:numFmt w:val="lowerRoman"/>
      <w:lvlText w:val="%2."/>
      <w:lvlJc w:val="left"/>
      <w:pPr>
        <w:ind w:left="1440" w:hanging="360"/>
      </w:pPr>
    </w:lvl>
    <w:lvl w:ilvl="2" w:tentative="0">
      <w:start w:val="1"/>
      <w:numFmt w:val="lowerRoman"/>
      <w:lvlText w:val="%3."/>
      <w:lvlJc w:val="left"/>
      <w:pPr>
        <w:ind w:left="2160" w:hanging="360"/>
      </w:pPr>
    </w:lvl>
    <w:lvl w:ilvl="3" w:tentative="0">
      <w:start w:val="1"/>
      <w:numFmt w:val="lowerRoman"/>
      <w:lvlText w:val="%4."/>
      <w:lvlJc w:val="left"/>
      <w:pPr>
        <w:ind w:left="2880" w:hanging="360"/>
      </w:pPr>
    </w:lvl>
    <w:lvl w:ilvl="4" w:tentative="0">
      <w:start w:val="1"/>
      <w:numFmt w:val="lowerRoman"/>
      <w:lvlText w:val="%5."/>
      <w:lvlJc w:val="left"/>
      <w:pPr>
        <w:ind w:left="3600" w:hanging="360"/>
      </w:pPr>
    </w:lvl>
    <w:lvl w:ilvl="5" w:tentative="0">
      <w:start w:val="1"/>
      <w:numFmt w:val="lowerRoman"/>
      <w:lvlText w:val="%6."/>
      <w:lvlJc w:val="left"/>
      <w:pPr>
        <w:ind w:left="4320" w:hanging="360"/>
      </w:pPr>
    </w:lvl>
    <w:lvl w:ilvl="6" w:tentative="0">
      <w:start w:val="1"/>
      <w:numFmt w:val="lowerRoman"/>
      <w:lvlText w:val="%7."/>
      <w:lvlJc w:val="left"/>
      <w:pPr>
        <w:ind w:left="5040" w:hanging="360"/>
      </w:pPr>
    </w:lvl>
    <w:lvl w:ilvl="7" w:tentative="0">
      <w:start w:val="1"/>
      <w:numFmt w:val="lowerRoman"/>
      <w:lvlText w:val="%8."/>
      <w:lvlJc w:val="left"/>
      <w:pPr>
        <w:ind w:left="5760" w:hanging="360"/>
      </w:pPr>
    </w:lvl>
    <w:lvl w:ilvl="8" w:tentative="0">
      <w:start w:val="1"/>
      <w:numFmt w:val="low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60D43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3731</Words>
  <Characters>21893</Characters>
  <Lines>12</Lines>
  <Paragraphs>8</Paragraphs>
  <TotalTime>10</TotalTime>
  <ScaleCrop>false</ScaleCrop>
  <LinksUpToDate>false</LinksUpToDate>
  <CharactersWithSpaces>25583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2026-07-03T03:40:00Z</dcterms:created>
  <dc:creator>Sanskriti Poudel</dc:creator>
  <cp:lastModifiedBy>Sanskriti Poudel</cp:lastModifiedBy>
  <dcterms:modified xsi:type="dcterms:W3CDTF">2026-07-04T16:05:19Z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eyJoZGlkIjoiM2U4ZGNhMjRiNzRmODhkZjFhMzljYzE5NDgwMzlhMTQiLCJ1c2VySWQiOiIzNzI4NDc1OTgzNjAxIn0=</vt:lpwstr>
  </property>
  <property fmtid="{D5CDD505-2E9C-101B-9397-08002B2CF9AE}" pid="3" name="KSOProductBuildVer">
    <vt:lpwstr>1033-12.1.0.26880</vt:lpwstr>
  </property>
  <property fmtid="{D5CDD505-2E9C-101B-9397-08002B2CF9AE}" pid="4" name="ICV">
    <vt:lpwstr>8AC0877A1EAB4F56B8E4A418E5CFF297_12</vt:lpwstr>
  </property>
</Properties>
</file>