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40" w:line="264" w:lineRule="auto"/>
        <w:jc w:val="center"/>
      </w:pPr>
      <w:r>
        <w:rPr>
          <w:rFonts w:ascii="Calibri" w:hAnsi="Calibri"/>
          <w:b/>
          <w:i w:val="0"/>
          <w:color w:val="A66C19"/>
          <w:sz w:val="22"/>
        </w:rPr>
        <w:t>DATASET BRIEFING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/>
          <w:i w:val="0"/>
          <w:color w:val="203A59"/>
          <w:sz w:val="58"/>
        </w:rPr>
        <w:t>BRCA Illumina Methylation</w:t>
        <w:br/>
        <w:t>Dataset</w:t>
      </w:r>
    </w:p>
    <w:p>
      <w:pPr>
        <w:spacing w:before="0" w:after="440" w:line="264" w:lineRule="auto"/>
        <w:jc w:val="center"/>
      </w:pPr>
      <w:r>
        <w:rPr>
          <w:rFonts w:ascii="Calibri" w:hAnsi="Calibri"/>
          <w:b w:val="0"/>
          <w:i w:val="0"/>
          <w:color w:val="1F4D78"/>
          <w:sz w:val="28"/>
        </w:rPr>
        <w:t>Dataset description, file inventory, analytical framework, and visual summaries</w:t>
      </w:r>
    </w:p>
    <w:p>
      <w:pPr>
        <w:spacing w:before="0" w:after="640" w:line="264" w:lineRule="auto"/>
        <w:jc w:val="center"/>
      </w:pPr>
      <w:r>
        <w:rPr>
          <w:rFonts w:ascii="Calibri" w:hAnsi="Calibri"/>
          <w:b w:val="0"/>
          <w:i/>
          <w:color w:val="A66C19"/>
          <w:sz w:val="22"/>
        </w:rPr>
        <w:t>TCGA-BRCA tumor versus tumor-adjacent normal tissue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Samples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Tumor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Adjacent normal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CpG sites tested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color w:val="203A59"/>
                <w:sz w:val="32"/>
              </w:rPr>
              <w:t>888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color w:val="203A59"/>
                <w:sz w:val="32"/>
              </w:rPr>
              <w:t>791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color w:val="203A59"/>
                <w:sz w:val="32"/>
              </w:rPr>
              <w:t>97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color w:val="203A59"/>
                <w:sz w:val="32"/>
              </w:rPr>
              <w:t>486,427</w:t>
            </w:r>
          </w:p>
        </w:tc>
      </w:tr>
    </w:tbl>
    <w:p>
      <w:pPr>
        <w:spacing w:after="100"/>
      </w:pP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5F6B78"/>
          <w:sz w:val="18"/>
        </w:rPr>
        <w:t>The study compares methylation at fixed Illumina HM450 CpG locations across primary breast tumors and adjacent-normal tissue.</w:t>
      </w:r>
    </w:p>
    <w:p>
      <w:pPr>
        <w:spacing w:before="120" w:after="180" w:line="264" w:lineRule="auto"/>
        <w:ind w:left="144" w:right="144"/>
        <w:shd w:fill="E8EEF5"/>
        <w:pBdr>
          <w:bottom w:val="single" w:sz="12" w:space="4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Executive summary  </w:t>
      </w:r>
      <w:r>
        <w:rPr>
          <w:rFonts w:ascii="Calibri" w:hAnsi="Calibri"/>
          <w:b w:val="0"/>
          <w:i w:val="0"/>
          <w:color w:val="1F2933"/>
          <w:sz w:val="21"/>
        </w:rPr>
        <w:t>This report describes an Illumina HumanMethylation450 study of 888 TCGA-BRCA tissue samples. It documents the beta-value data structure, the tumor-versus-adjacent-normal comparison, the downloadable analysis files, and the principal visual summaries.</w:t>
      </w:r>
    </w:p>
    <w:p>
      <w:pPr>
        <w:spacing w:before="0" w:after="0" w:line="264" w:lineRule="auto"/>
        <w:jc w:val="center"/>
      </w:pPr>
      <w:r>
        <w:rPr>
          <w:rFonts w:ascii="Calibri" w:hAnsi="Calibri"/>
          <w:b w:val="0"/>
          <w:i/>
          <w:color w:val="5F6B78"/>
          <w:sz w:val="19"/>
        </w:rPr>
        <w:t>This report intentionally excludes the separate validation report and focuses on the array dataset, file structure, analytical outputs, and interpretation.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Dataset overview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The project uses the Illumina HumanMethylation450 (HM450) array. The array does not sequence the whole genome. It measures methylation at a fixed catalogue of CpG sites, concentrated in promoters, gene bodies, CpG islands, shores, shelves, and open-sea regions.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The primary comparison is tumor versus adjacent-normal tissue from TCGA-BRCA. The word normal is important: these are solid-tissue-normal samples collected next to tumors, not guaranteed disease-free donor controls.</w:t>
      </w:r>
    </w:p>
    <w:p>
      <w:pPr>
        <w:spacing w:before="120" w:after="180" w:line="264" w:lineRule="auto"/>
        <w:ind w:left="144" w:right="144"/>
        <w:shd w:fill="FBF4E6"/>
        <w:pBdr>
          <w:bottom w:val="single" w:sz="12" w:space="4" w:color="A66C19"/>
        </w:pBdr>
      </w:pPr>
      <w:r>
        <w:rPr>
          <w:rFonts w:ascii="Calibri" w:hAnsi="Calibri"/>
          <w:b/>
          <w:i w:val="0"/>
          <w:color w:val="A66C19"/>
          <w:sz w:val="21"/>
        </w:rPr>
        <w:t xml:space="preserve">What a beta value means  </w:t>
      </w:r>
      <w:r>
        <w:rPr>
          <w:rFonts w:ascii="Calibri" w:hAnsi="Calibri"/>
          <w:b w:val="0"/>
          <w:i w:val="0"/>
          <w:color w:val="1F2933"/>
          <w:sz w:val="21"/>
        </w:rPr>
        <w:t>A beta value is between 0 and 1. Near 0 means little methylation at a CpG site; near 1 means high methylation. Beta values are not direct gene-expression measurements.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Study summary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203A59"/>
          <w:sz w:val="21"/>
        </w:rPr>
        <w:t xml:space="preserve">Source: </w:t>
      </w:r>
      <w:r>
        <w:rPr>
          <w:rFonts w:ascii="Calibri" w:hAnsi="Calibri"/>
          <w:b w:val="0"/>
          <w:i w:val="0"/>
          <w:color w:val="1F2933"/>
          <w:sz w:val="21"/>
        </w:rPr>
        <w:t>TCGA-BRCA, accessed through the TCGA/UCSC Xena data route described in the project report.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203A59"/>
          <w:sz w:val="21"/>
        </w:rPr>
        <w:t xml:space="preserve">Array: </w:t>
      </w:r>
      <w:r>
        <w:rPr>
          <w:rFonts w:ascii="Calibri" w:hAnsi="Calibri"/>
          <w:b w:val="0"/>
          <w:i w:val="0"/>
          <w:color w:val="1F2933"/>
          <w:sz w:val="21"/>
        </w:rPr>
        <w:t>Illumina HumanMethylation450 (HM450), approximately 485,000 fixed CpG locations.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203A59"/>
          <w:sz w:val="21"/>
        </w:rPr>
        <w:t xml:space="preserve">Samples: </w:t>
      </w:r>
      <w:r>
        <w:rPr>
          <w:rFonts w:ascii="Calibri" w:hAnsi="Calibri"/>
          <w:b w:val="0"/>
          <w:i w:val="0"/>
          <w:color w:val="1F2933"/>
          <w:sz w:val="21"/>
        </w:rPr>
        <w:t>888 total: 791 primary tumor and 97 solid-tissue-normal samples.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203A59"/>
          <w:sz w:val="21"/>
        </w:rPr>
        <w:t xml:space="preserve">Main question: </w:t>
      </w:r>
      <w:r>
        <w:rPr>
          <w:rFonts w:ascii="Calibri" w:hAnsi="Calibri"/>
          <w:b w:val="0"/>
          <w:i w:val="0"/>
          <w:color w:val="1F2933"/>
          <w:sz w:val="21"/>
        </w:rPr>
        <w:t>Which CpG sites have different methylation levels in tumor compared with adjacent-normal tissue?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203A59"/>
          <w:sz w:val="21"/>
        </w:rPr>
        <w:t xml:space="preserve">Primary output: </w:t>
      </w:r>
      <w:r>
        <w:rPr>
          <w:rFonts w:ascii="Calibri" w:hAnsi="Calibri"/>
          <w:b w:val="0"/>
          <w:i w:val="0"/>
          <w:color w:val="1F2933"/>
          <w:sz w:val="21"/>
        </w:rPr>
        <w:t>A per-CpG tumor mean, normal mean, delta beta, p-value, FDR, genomic context, and predicted direction.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What is actually being compared?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For each CpG site, the pipeline calculates a tumor-group mean and a normal-group mean, then computes delta beta as tumor minus normal. Positive delta beta means the tumor group is more methylated at that site; negative delta beta means the tumor group is less methylated.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The analysis then corrects the many per-site p-values using FDR. The project calls a site strong when FDR is below 0.05 and the absolute methylation difference is at least 0.20, or 20 percentage points.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What comes with the download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The downloadable deliverables package is organized for review and reuse: reports and screenshots for orientation, curated data tables for common questions, full per-site result lists for complete analysis access, and Excel workbooks for exploration.</w:t>
      </w:r>
    </w:p>
    <w:p>
      <w:pPr>
        <w:spacing w:before="120" w:after="180" w:line="264" w:lineRule="auto"/>
        <w:ind w:left="144" w:right="144"/>
        <w:shd w:fill="FDECEC"/>
        <w:pBdr>
          <w:bottom w:val="single" w:sz="12" w:space="4" w:color="9B1C1C"/>
        </w:pBdr>
      </w:pPr>
      <w:r>
        <w:rPr>
          <w:rFonts w:ascii="Calibri" w:hAnsi="Calibri"/>
          <w:b/>
          <w:i w:val="0"/>
          <w:color w:val="9B1C1C"/>
          <w:sz w:val="21"/>
        </w:rPr>
        <w:t xml:space="preserve">Important distinction  </w:t>
      </w:r>
      <w:r>
        <w:rPr>
          <w:rFonts w:ascii="Calibri" w:hAnsi="Calibri"/>
          <w:b w:val="0"/>
          <w:i w:val="0"/>
          <w:color w:val="1F2933"/>
          <w:sz w:val="21"/>
        </w:rPr>
        <w:t>The current BRCA_Methylation_Deliverables.zip does not contain the original 888-sample beta-value matrix. It contains the complete per-CpG derived result table and the analysis outputs. The raw beta matrix, sample metadata, and array manifest should be distributed separately when the goal is to reproduce the upstream preprocessing.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3700"/>
        <w:gridCol w:w="5660"/>
      </w:tblGrid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File or folder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What it is for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00_START_HERE.txt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A short map of the package, how to open it, and the main caveats.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index.html / Website_v2/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Interactive single-page and multi-page explanations of the study and findings.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Reports/PDF/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Three printable reports: dataset overview, pipeline/validation, and gene/site findings.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Reports/Word/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Editable Word versions of the reports.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Excel/BRCA_Methylation_Master_Workbook.xlsx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Workbook with cohort, differential sites, panel, marker, atlas, and interpretation sheets.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Data_Tables/1_Differential_Methylation/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Cohort manifest, PCA sample coordinates, ranked markers, panel, and summaries.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Data_Tables/3_Site_Annotation/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Array-site genomic context and annotation coverage summaries.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Data_Tables/4_Biomarker_Panel_and_Sites/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Balanced panel, site maps, and methylation direction mechanics.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Data_Tables/5_Pathway_and_GSEA/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Exploratory pathway tables and the project’s pathway caveats.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Data_Tables/6_Healthy_Baseline_Atlas/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Healthy-tissue methylation atlas tables for the longevity-gene exploration.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Full_Site_Lists/ALL_486427_sites_full_mechanics.tsv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Complete derived per-CpG result table: every site measured, with means, delta beta, p-value/FDR, annotation, and predicted effect.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Full_Site_Lists/SIGNIFICANT_321823_sites_mechanics_fdr0.05.tsv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6"/>
              </w:rPr>
              <w:t>Subset containing sites passing FDR &lt; 0.05.</w:t>
            </w:r>
          </w:p>
        </w:tc>
      </w:tr>
    </w:tbl>
    <w:p>
      <w:pPr>
        <w:spacing w:after="100"/>
      </w:pP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5F6B78"/>
          <w:sz w:val="18"/>
        </w:rPr>
        <w:t>The inventory above is the practical map of the downloadable deliverables package. Full-size raw source matrices are intentionally kept separate from this reading package.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How the Illumina array data is represented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A raw methylation matrix is conceptually simple: rows are CpG probes and columns are samples. A second table describes the samples, and a third table describes the probes. The analysis joins those pieces by sample ID and probe ID.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Required raw input files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900"/>
        <w:gridCol w:w="2200"/>
        <w:gridCol w:w="52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Key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What it contributes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Beta-value matrix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Probe ID x sample ID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One beta value per probe/sample pair; usually stored as a large TSV/CSV or compressed matrix.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Sample metadata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Sample ID -&gt; tissue label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Tumor/normal class, TCGA barcode, tissue type, clinical fields, and optional subtype.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HM450 probe manifest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Probe ID -&gt; genomic context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Chromosome, coordinate, gene, promoter/TSS region, CpG island relation, and strand.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Optional clinical/subtype table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Sample ID -&gt; phenotype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Stage, PAM50 subtype, age, and other clinical fields used for stratified questions.</w:t>
            </w:r>
          </w:p>
        </w:tc>
      </w:tr>
    </w:tbl>
    <w:p>
      <w:pPr>
        <w:spacing w:after="100"/>
      </w:pPr>
    </w:p>
    <w:p>
      <w:pPr>
        <w:spacing w:before="120" w:after="180" w:line="264" w:lineRule="auto"/>
        <w:ind w:left="144" w:right="144"/>
        <w:shd w:fill="FBF4E6"/>
        <w:pBdr>
          <w:bottom w:val="single" w:sz="12" w:space="4" w:color="A66C19"/>
        </w:pBdr>
      </w:pPr>
      <w:r>
        <w:rPr>
          <w:rFonts w:ascii="Calibri" w:hAnsi="Calibri"/>
          <w:b/>
          <w:i w:val="0"/>
          <w:color w:val="A66C19"/>
          <w:sz w:val="21"/>
        </w:rPr>
        <w:t xml:space="preserve">Current package status  </w:t>
      </w:r>
      <w:r>
        <w:rPr>
          <w:rFonts w:ascii="Calibri" w:hAnsi="Calibri"/>
          <w:b w:val="0"/>
          <w:i w:val="0"/>
          <w:color w:val="1F2933"/>
          <w:sz w:val="21"/>
        </w:rPr>
        <w:t>The raw beta matrix and original manifest are not present in the current deliverables ZIP. The project does retain the downstream site-level table and the sample manifest used for the tumor-versus-normal analysis.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Preview: complete derived site-level table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150"/>
        <w:gridCol w:w="1100"/>
        <w:gridCol w:w="1100"/>
        <w:gridCol w:w="1100"/>
        <w:gridCol w:w="1300"/>
        <w:gridCol w:w="1700"/>
        <w:gridCol w:w="1910"/>
      </w:tblGrid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CpG probe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Tumor beta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Normal beta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Delta beta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FDR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Gene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cg20843277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0.838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0.153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+0.685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not retained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SHANK2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hyper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cg26081875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0.277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0.944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-0.667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not retained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LINC00243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hypo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cg13851368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0.852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0.190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+0.662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not retained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(intergenic)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hyper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cg17326769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0.827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0.167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+0.660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1.84e-09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HCK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hyper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cg03161803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0.768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0.135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+0.633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4.06e-196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AL009179.2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hyper</w:t>
            </w:r>
          </w:p>
        </w:tc>
      </w:tr>
    </w:tbl>
    <w:p>
      <w:pPr>
        <w:spacing w:after="100"/>
      </w:pP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5F6B78"/>
          <w:sz w:val="18"/>
        </w:rPr>
        <w:t>This is a derived result preview, not a raw beta-matrix preview. The full 486,427-site table contains the same kinds of fields for every tested CpG site.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Sample metadata and probe annotation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Preview: sample metadata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2300"/>
        <w:gridCol w:w="1700"/>
        <w:gridCol w:w="1500"/>
        <w:gridCol w:w="900"/>
        <w:gridCol w:w="900"/>
        <w:gridCol w:w="2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Sample barcode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Sample type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Tissue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Sex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Age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TCGA-A7-A0CE-11A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Solid Tissue Normal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Normal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female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57.0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normal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TCGA-A7-A0CH-11A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Solid Tissue Normal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Normal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female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79.0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normal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TCGA-A7-A0D9-11A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Solid Tissue Normal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Normal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female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37.0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normal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TCGA-A7-A0DB-11A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Solid Tissue Normal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Normal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female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56.0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normal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TCGA-A7-A0DC-11A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Solid Tissue Normal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Normal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female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63.0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normal</w:t>
            </w:r>
          </w:p>
        </w:tc>
      </w:tr>
    </w:tbl>
    <w:p>
      <w:pPr>
        <w:spacing w:after="100"/>
      </w:pP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5F6B78"/>
          <w:sz w:val="18"/>
        </w:rPr>
        <w:t>The sample manifest supplies the labels needed to form the tumor and adjacent-normal groups. The first rows happen to begin with normal samples because the manifest is barcode-sorted.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Preview: probe annotation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200"/>
        <w:gridCol w:w="1500"/>
        <w:gridCol w:w="800"/>
        <w:gridCol w:w="1050"/>
        <w:gridCol w:w="1600"/>
        <w:gridCol w:w="1400"/>
        <w:gridCol w:w="181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CpG probe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Gene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Chrom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Start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CpG context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A59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Promoter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cg08104202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CCDC181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chr1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169427473.0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5UTR_1stExon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Island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True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cg15584221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HHAT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chr1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210373557.0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gene_body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OpenSea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False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cg26765743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MIR646HG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chr20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60472429.0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gene_body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OpenSea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False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cg11785980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RIMBP2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chr12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130638433.0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gene_body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N_Shelf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2933"/>
                <w:sz w:val="15"/>
              </w:rPr>
              <w:t>False</w:t>
            </w:r>
          </w:p>
        </w:tc>
      </w:tr>
    </w:tbl>
    <w:p>
      <w:pPr>
        <w:spacing w:after="100"/>
      </w:pP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5F6B78"/>
          <w:sz w:val="18"/>
        </w:rPr>
        <w:t>Annotation turns a probe ID into interpretable genomic context. Some probes are intergenic or outside promoters; those should not be described as direct gene switches.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How the files connect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Sample ID connects a beta-matrix column to the sample manifest. Probe ID connects a beta-matrix row to the HM450 annotation. After those joins, the analysis can compare groups, attach coordinates and gene context, and produce a site-level result table.</w:t>
      </w:r>
    </w:p>
    <w:p>
      <w:pPr>
        <w:spacing w:before="120" w:after="180" w:line="264" w:lineRule="auto"/>
        <w:ind w:left="144" w:right="144"/>
        <w:shd w:fill="E8EEF5"/>
        <w:pBdr>
          <w:bottom w:val="single" w:sz="12" w:space="4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Data linkage summary  </w:t>
      </w:r>
      <w:r>
        <w:rPr>
          <w:rFonts w:ascii="Calibri" w:hAnsi="Calibri"/>
          <w:b w:val="0"/>
          <w:i w:val="0"/>
          <w:color w:val="1F2933"/>
          <w:sz w:val="21"/>
        </w:rPr>
        <w:t>Sample ID -&gt; tumor/normal label; probe ID -&gt; chromosome/gene/context; beta values -&gt; methylation level; statistics -&gt; evidence for a tumor-normal difference.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Analytical framework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Analysis workflow</w:t>
      </w:r>
    </w:p>
    <w:p>
      <w:pPr>
        <w:spacing w:before="40" w:after="140" w:line="264" w:lineRule="auto"/>
      </w:pPr>
      <w:r>
        <w:rPr>
          <w:rFonts w:ascii="Calibri" w:hAnsi="Calibri"/>
          <w:b/>
          <w:i w:val="0"/>
          <w:color w:val="2E74B5"/>
          <w:sz w:val="22"/>
        </w:rPr>
        <w:t xml:space="preserve">1  Load and label  </w:t>
      </w:r>
      <w:r>
        <w:rPr>
          <w:rFonts w:ascii="Calibri" w:hAnsi="Calibri"/>
          <w:b w:val="0"/>
          <w:i w:val="0"/>
          <w:color w:val="1F2933"/>
          <w:sz w:val="22"/>
        </w:rPr>
        <w:t>Read the methylation values, match sample IDs, and assign tumor or adjacent-normal class.</w:t>
      </w:r>
    </w:p>
    <w:p>
      <w:pPr>
        <w:spacing w:before="40" w:after="140" w:line="264" w:lineRule="auto"/>
      </w:pPr>
      <w:r>
        <w:rPr>
          <w:rFonts w:ascii="Calibri" w:hAnsi="Calibri"/>
          <w:b/>
          <w:i w:val="0"/>
          <w:color w:val="2E74B5"/>
          <w:sz w:val="22"/>
        </w:rPr>
        <w:t xml:space="preserve">2  Summarize each CpG  </w:t>
      </w:r>
      <w:r>
        <w:rPr>
          <w:rFonts w:ascii="Calibri" w:hAnsi="Calibri"/>
          <w:b w:val="0"/>
          <w:i w:val="0"/>
          <w:color w:val="1F2933"/>
          <w:sz w:val="22"/>
        </w:rPr>
        <w:t>Calculate group means and the difference between tumor and normal beta values.</w:t>
      </w:r>
    </w:p>
    <w:p>
      <w:pPr>
        <w:spacing w:before="40" w:after="140" w:line="264" w:lineRule="auto"/>
      </w:pPr>
      <w:r>
        <w:rPr>
          <w:rFonts w:ascii="Calibri" w:hAnsi="Calibri"/>
          <w:b/>
          <w:i w:val="0"/>
          <w:color w:val="2E74B5"/>
          <w:sz w:val="22"/>
        </w:rPr>
        <w:t xml:space="preserve">3  Measure evidence  </w:t>
      </w:r>
      <w:r>
        <w:rPr>
          <w:rFonts w:ascii="Calibri" w:hAnsi="Calibri"/>
          <w:b w:val="0"/>
          <w:i w:val="0"/>
          <w:color w:val="1F2933"/>
          <w:sz w:val="22"/>
        </w:rPr>
        <w:t>Compute a per-site test and FDR-adjusted significance so thousands of sites can be assessed together.</w:t>
      </w:r>
    </w:p>
    <w:p>
      <w:pPr>
        <w:spacing w:before="40" w:after="140" w:line="264" w:lineRule="auto"/>
      </w:pPr>
      <w:r>
        <w:rPr>
          <w:rFonts w:ascii="Calibri" w:hAnsi="Calibri"/>
          <w:b/>
          <w:i w:val="0"/>
          <w:color w:val="2E74B5"/>
          <w:sz w:val="22"/>
        </w:rPr>
        <w:t xml:space="preserve">4  Add context  </w:t>
      </w:r>
      <w:r>
        <w:rPr>
          <w:rFonts w:ascii="Calibri" w:hAnsi="Calibri"/>
          <w:b w:val="0"/>
          <w:i w:val="0"/>
          <w:color w:val="1F2933"/>
          <w:sz w:val="22"/>
        </w:rPr>
        <w:t>Join each CpG to chromosome, coordinate, gene, promoter/TSS region, CpG island relation, and predicted direction.</w:t>
      </w:r>
    </w:p>
    <w:p>
      <w:pPr>
        <w:spacing w:before="40" w:after="140" w:line="264" w:lineRule="auto"/>
      </w:pPr>
      <w:r>
        <w:rPr>
          <w:rFonts w:ascii="Calibri" w:hAnsi="Calibri"/>
          <w:b/>
          <w:i w:val="0"/>
          <w:color w:val="2E74B5"/>
          <w:sz w:val="22"/>
        </w:rPr>
        <w:t xml:space="preserve">5  Show the pattern  </w:t>
      </w:r>
      <w:r>
        <w:rPr>
          <w:rFonts w:ascii="Calibri" w:hAnsi="Calibri"/>
          <w:b w:val="0"/>
          <w:i w:val="0"/>
          <w:color w:val="1F2933"/>
          <w:sz w:val="22"/>
        </w:rPr>
        <w:t>Use PCA, volcano plots, marker tables, heatmaps, and site maps to make the result understandable.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Key measures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203A59"/>
          <w:sz w:val="21"/>
        </w:rPr>
        <w:t xml:space="preserve">Beta: </w:t>
      </w:r>
      <w:r>
        <w:rPr>
          <w:rFonts w:ascii="Calibri" w:hAnsi="Calibri"/>
          <w:b w:val="0"/>
          <w:i w:val="0"/>
          <w:color w:val="1F2933"/>
          <w:sz w:val="21"/>
        </w:rPr>
        <w:t>The methylation level at one probe in one sample, from 0 to 1.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203A59"/>
          <w:sz w:val="21"/>
        </w:rPr>
        <w:t xml:space="preserve">Delta beta: </w:t>
      </w:r>
      <w:r>
        <w:rPr>
          <w:rFonts w:ascii="Calibri" w:hAnsi="Calibri"/>
          <w:b w:val="0"/>
          <w:i w:val="0"/>
          <w:color w:val="1F2933"/>
          <w:sz w:val="21"/>
        </w:rPr>
        <w:t>Tumor mean beta minus normal mean beta. Positive means tumor is more methylated; negative means less methylated.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203A59"/>
          <w:sz w:val="21"/>
        </w:rPr>
        <w:t xml:space="preserve">FDR: </w:t>
      </w:r>
      <w:r>
        <w:rPr>
          <w:rFonts w:ascii="Calibri" w:hAnsi="Calibri"/>
          <w:b w:val="0"/>
          <w:i w:val="0"/>
          <w:color w:val="1F2933"/>
          <w:sz w:val="21"/>
        </w:rPr>
        <w:t>A multiple-testing-adjusted measure of evidence. It helps control false discoveries when hundreds of thousands of probes are tested.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PCA interpretation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PCA compresses the many-probe matrix into a few axes so a learner can ask whether tumor and adjacent-normal samples occupy different regions of the data space. It is a visualization of overall methylation structure, not proof that every single probe separates the groups.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PCA visualization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42176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17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5F6B78"/>
          <w:sz w:val="18"/>
        </w:rPr>
        <w:t>PCA of the TCGA-BRCA methylation samples from the project figures.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Primary visual outputs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Volcano plot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The x-axis shows delta beta, defined as the tumor mean minus the adjacent-normal mean. Positive values indicate higher tumor methylation; negative values indicate lower tumor methylation. The y-axis shows -log10(FDR), so higher points have stronger multiple-testing-adjusted evidence. The figure uses the published TCGA-BRCA plotting data: 4,500 background sites and all 1,536 high-change sites retained for the report.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374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ca_published_volca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5F6B78"/>
          <w:sz w:val="18"/>
        </w:rPr>
        <w:t>Published TCGA-BRCA tumor-versus-adjacent-normal differential methylation. Red and blue points identify the direction of the methylation difference; gray points provide the background distribution.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Heatmap: a compact view of selected sites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A heatmap is best used for a selected marker panel, not as a substitute for the complete 486,427-site matrix. It shows how a small set of probes varies across samples and makes sample grouping easier to discuss.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00600" cy="400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5F6B78"/>
          <w:sz w:val="18"/>
        </w:rPr>
        <w:t>Project heatmap figure for selected marker sites; the full site list remains the source for complete per-CpG inspection.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Recommended presentation sequence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For a clear dataset walkthrough, move from a sample record to an individual CpG site, then to the cohort-level structure, and finally to the complete result files. This sequence establishes the meaning of each data object before introducing the full scale of the array.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203A59"/>
          <w:sz w:val="21"/>
        </w:rPr>
        <w:t xml:space="preserve">Context: </w:t>
      </w:r>
      <w:r>
        <w:rPr>
          <w:rFonts w:ascii="Calibri" w:hAnsi="Calibri"/>
          <w:b w:val="0"/>
          <w:i w:val="0"/>
          <w:color w:val="1F2933"/>
          <w:sz w:val="21"/>
        </w:rPr>
        <w:t>Begin with the study question: which methylation sites differ between breast tumor and tumor-adjacent normal tissue?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203A59"/>
          <w:sz w:val="21"/>
        </w:rPr>
        <w:t xml:space="preserve">Sample record: </w:t>
      </w:r>
      <w:r>
        <w:rPr>
          <w:rFonts w:ascii="Calibri" w:hAnsi="Calibri"/>
          <w:b w:val="0"/>
          <w:i w:val="0"/>
          <w:color w:val="1F2933"/>
          <w:sz w:val="21"/>
        </w:rPr>
        <w:t>Open the sample manifest and identify a tumor and a normal barcode. The class label is assigned in the metadata.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203A59"/>
          <w:sz w:val="21"/>
        </w:rPr>
        <w:t xml:space="preserve">Individual CpG: </w:t>
      </w:r>
      <w:r>
        <w:rPr>
          <w:rFonts w:ascii="Calibri" w:hAnsi="Calibri"/>
          <w:b w:val="0"/>
          <w:i w:val="0"/>
          <w:color w:val="1F2933"/>
          <w:sz w:val="21"/>
        </w:rPr>
        <w:t>Find a probe such as cg08104202 in the full site table. Review its tumor mean, normal mean, delta beta, FDR, gene, chromosome, and predicted effect.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203A59"/>
          <w:sz w:val="21"/>
        </w:rPr>
        <w:t xml:space="preserve">Cohort structure: </w:t>
      </w:r>
      <w:r>
        <w:rPr>
          <w:rFonts w:ascii="Calibri" w:hAnsi="Calibri"/>
          <w:b w:val="0"/>
          <w:i w:val="0"/>
          <w:color w:val="1F2933"/>
          <w:sz w:val="21"/>
        </w:rPr>
        <w:t>Use PCA to examine whether the combined methylation profile forms distinct tumor and adjacent-normal patterns across the 888 samples.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203A59"/>
          <w:sz w:val="21"/>
        </w:rPr>
        <w:t xml:space="preserve">Array-wide result: </w:t>
      </w:r>
      <w:r>
        <w:rPr>
          <w:rFonts w:ascii="Calibri" w:hAnsi="Calibri"/>
          <w:b w:val="0"/>
          <w:i w:val="0"/>
          <w:color w:val="1F2933"/>
          <w:sz w:val="21"/>
        </w:rPr>
        <w:t>Use the volcano plot to compare effect magnitude on the x-axis with statistical evidence on the y-axis.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203A59"/>
          <w:sz w:val="21"/>
        </w:rPr>
        <w:t xml:space="preserve">Follow-up analysis: </w:t>
      </w:r>
      <w:r>
        <w:rPr>
          <w:rFonts w:ascii="Calibri" w:hAnsi="Calibri"/>
          <w:b w:val="0"/>
          <w:i w:val="0"/>
          <w:color w:val="1F2933"/>
          <w:sz w:val="21"/>
        </w:rPr>
        <w:t>Use the curated marker table, annotation, and Excel workbook to select sites for detailed inspection.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203A59"/>
          <w:sz w:val="21"/>
        </w:rPr>
        <w:t xml:space="preserve">Interpretation: </w:t>
      </w:r>
      <w:r>
        <w:rPr>
          <w:rFonts w:ascii="Calibri" w:hAnsi="Calibri"/>
          <w:b w:val="0"/>
          <w:i w:val="0"/>
          <w:color w:val="1F2933"/>
          <w:sz w:val="21"/>
        </w:rPr>
        <w:t>Methylation results support hypotheses about regulatory effects; they do not directly measure RNA expression, protein abundance, or clinical outcome.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Recommended materials sequence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Provide this report first, followed by the deliverables ZIP and the interactive Version 7 site. Readers can keep the report open while inspecting one row from the complete site list and one sample from the manifest.</w:t>
      </w:r>
    </w:p>
    <w:p>
      <w:pPr>
        <w:spacing w:before="120" w:after="180" w:line="264" w:lineRule="auto"/>
        <w:ind w:left="144" w:right="144"/>
        <w:shd w:fill="E8EEF5"/>
        <w:pBdr>
          <w:bottom w:val="single" w:sz="12" w:space="4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Recommended demonstration  </w:t>
      </w:r>
      <w:r>
        <w:rPr>
          <w:rFonts w:ascii="Calibri" w:hAnsi="Calibri"/>
          <w:b w:val="0"/>
          <w:i w:val="0"/>
          <w:color w:val="1F2933"/>
          <w:sz w:val="21"/>
        </w:rPr>
        <w:t>Open the Version 7 BRCA Results tab, select a colored volcano point to display its probe and gene, and then open the corresponding row in the complete site list. This links the interactive visualization to the downloadable evidence.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Limitations and interpretation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203A59"/>
          <w:sz w:val="21"/>
        </w:rPr>
        <w:t xml:space="preserve">Array, not sequencing: </w:t>
      </w:r>
      <w:r>
        <w:rPr>
          <w:rFonts w:ascii="Calibri" w:hAnsi="Calibri"/>
          <w:b w:val="0"/>
          <w:i w:val="0"/>
          <w:color w:val="1F2933"/>
          <w:sz w:val="21"/>
        </w:rPr>
        <w:t>The HM450 platform measures a fixed set of CpG locations. It does not discover every methylated base in the genome.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203A59"/>
          <w:sz w:val="21"/>
        </w:rPr>
        <w:t xml:space="preserve">Adjacent normal is not donor normal: </w:t>
      </w:r>
      <w:r>
        <w:rPr>
          <w:rFonts w:ascii="Calibri" w:hAnsi="Calibri"/>
          <w:b w:val="0"/>
          <w:i w:val="0"/>
          <w:color w:val="1F2933"/>
          <w:sz w:val="21"/>
        </w:rPr>
        <w:t>The normal group is tumor-adjacent tissue and may contain field effects or early changes.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203A59"/>
          <w:sz w:val="21"/>
        </w:rPr>
        <w:t xml:space="preserve">Methylation is not expression: </w:t>
      </w:r>
      <w:r>
        <w:rPr>
          <w:rFonts w:ascii="Calibri" w:hAnsi="Calibri"/>
          <w:b w:val="0"/>
          <w:i w:val="0"/>
          <w:color w:val="1F2933"/>
          <w:sz w:val="21"/>
        </w:rPr>
        <w:t>Promoter methylation can support a prediction about gene regulation, but direct expression data is needed to claim that a gene is switched off or on.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203A59"/>
          <w:sz w:val="21"/>
        </w:rPr>
        <w:t xml:space="preserve">Large sample size affects FDR: </w:t>
      </w:r>
      <w:r>
        <w:rPr>
          <w:rFonts w:ascii="Calibri" w:hAnsi="Calibri"/>
          <w:b w:val="0"/>
          <w:i w:val="0"/>
          <w:color w:val="1F2933"/>
          <w:sz w:val="21"/>
        </w:rPr>
        <w:t>With 888 samples, very small p-values can occur. Interpret the shape, effect size, and biological context together.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203A59"/>
          <w:sz w:val="21"/>
        </w:rPr>
        <w:t xml:space="preserve">Derived output versus raw input: </w:t>
      </w:r>
      <w:r>
        <w:rPr>
          <w:rFonts w:ascii="Calibri" w:hAnsi="Calibri"/>
          <w:b w:val="0"/>
          <w:i w:val="0"/>
          <w:color w:val="1F2933"/>
          <w:sz w:val="21"/>
        </w:rPr>
        <w:t>The complete site list is a finished analysis table. Reproducing preprocessing requires the original beta matrix, sample metadata, and HM450 manifest.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Plain-language summary</w:t>
      </w:r>
    </w:p>
    <w:p>
      <w:pPr>
        <w:spacing w:before="120" w:after="180" w:line="264" w:lineRule="auto"/>
        <w:ind w:left="144" w:right="144"/>
        <w:shd w:fill="FBF4E6"/>
        <w:pBdr>
          <w:bottom w:val="single" w:sz="12" w:space="4" w:color="A66C19"/>
        </w:pBdr>
      </w:pPr>
      <w:r>
        <w:rPr>
          <w:rFonts w:ascii="Calibri" w:hAnsi="Calibri"/>
          <w:b/>
          <w:i w:val="0"/>
          <w:color w:val="A66C19"/>
          <w:sz w:val="21"/>
        </w:rPr>
        <w:t xml:space="preserve">Plain-language script  </w:t>
      </w:r>
      <w:r>
        <w:rPr>
          <w:rFonts w:ascii="Calibri" w:hAnsi="Calibri"/>
          <w:b w:val="0"/>
          <w:i w:val="0"/>
          <w:color w:val="1F2933"/>
          <w:sz w:val="21"/>
        </w:rPr>
        <w:t>We measured DNA methylation at about 486,000 fixed locations in 888 breast samples. We compared 791 tumors with 97 tumor-adjacent normal tissues. For each location, we asked how different the average methylation was and how strong the evidence was. The downloadable files let you trace a result from a sample label, to a CpG probe, to a gene or genomic location, and then to the plots.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Recommended digital companion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3"/>
          <w:sz w:val="22"/>
        </w:rPr>
        <w:t>Keep the full deliverables ZIP available for inspection, and use the hosted Version 7 site as the guided front door. The website is for orientation and interaction; the complete site list and workbook are for auditing, filtering, and follow-up.</w:t>
      </w:r>
    </w:p>
    <w:p>
      <w:pPr>
        <w:spacing w:before="0" w:after="0" w:line="264" w:lineRule="auto"/>
        <w:jc w:val="left"/>
      </w:pPr>
      <w:r>
        <w:rPr>
          <w:rFonts w:ascii="Calibri" w:hAnsi="Calibri"/>
          <w:b w:val="0"/>
          <w:i/>
          <w:color w:val="5F6B78"/>
          <w:sz w:val="19"/>
        </w:rPr>
        <w:t>This briefing intentionally leaves out the separate validation report. It is designed to explain the Illumina array data and the files that come with the analysis package.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</w:pPr>
    <w:r>
      <w:rPr>
        <w:rFonts w:ascii="Calibri" w:hAnsi="Calibri"/>
        <w:b w:val="0"/>
        <w:i w:val="0"/>
        <w:color w:val="5F6B78"/>
        <w:sz w:val="18"/>
      </w:rPr>
      <w:t xml:space="preserve">Prepared from the BRCA methylation deliverables  |  Page </w:t>
    </w:r>
    <w:r>
      <w:rPr>
        <w:rFonts w:ascii="Calibri" w:hAnsi="Calibri"/>
        <w:color w:val="5F6B7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i w:val="0"/>
        <w:color w:val="5F6B78"/>
        <w:sz w:val="17"/>
      </w:rPr>
      <w:t>BRCA Illumina Methylation Dataset Briefing</w:t>
    </w:r>
    <w:r>
      <w:rPr>
        <w:rFonts w:ascii="Calibri" w:hAnsi="Calibri"/>
        <w:b w:val="0"/>
        <w:i w:val="0"/>
        <w:color w:val="5F6B78"/>
        <w:sz w:val="17"/>
      </w:rPr>
      <w:t xml:space="preserve">  |  MRKTechSolutions Version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BRCA Illumina Methylation Dataset Briefing</dc:title>
  <dc:subject>TCGA-BRCA array data, file inventory, analytical framework, and visual summaries</dc:subject>
  <dc:creator>MRKTechSolutions</dc:creator>
  <cp:keywords>BRCA, Illumina HM450, methylation, dataset, TCGA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