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12" w:space="6"/>
        </w:pBdr>
        <w:spacing w:after="60"/>
      </w:pPr>
      <w:r>
        <w:rPr>
          <w:b/>
          <w:bCs/>
          <w:color w:val="1F4E78"/>
          <w:sz w:val="40"/>
          <w:szCs w:val="40"/>
        </w:rPr>
        <w:t xml:space="preserve">Dataset Overview &amp; Data Provenance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What data we used, where it came from, how it was generated, and how credible it is</w:t>
      </w:r>
    </w:p>
    <w:p>
      <w:pPr>
        <w:spacing w:after="240"/>
      </w:pPr>
      <w:r>
        <w:rPr>
          <w:color w:val="777777"/>
          <w:sz w:val="18"/>
          <w:szCs w:val="18"/>
        </w:rPr>
        <w:t xml:space="preserve">BRCA DNA-Methylation Project  ·  TCGA-BRCA (888 samples) + GSE66695  ·  Illumina HM450 array</w:t>
      </w:r>
    </w:p>
    <w:p>
      <w:pPr>
        <w:pStyle w:val="Heading1"/>
      </w:pPr>
      <w:r>
        <w:t xml:space="preserve">Abstract</w:t>
      </w:r>
    </w:p>
    <w:p>
      <w:pPr>
        <w:spacing w:after="140"/>
      </w:pPr>
      <w:r>
        <w:t xml:space="preserve">This project characterizes DNA-methylation differences between breast tumor and normal tissue and maps them onto longevity genes. </w:t>
      </w:r>
      <w:r>
        <w:rPr>
          <w:b/>
          <w:bCs/>
        </w:rPr>
        <w:t xml:space="preserve">All methylation data are Illumina HM450 array data - not sequencing.</w:t>
      </w:r>
      <w:r>
        <w:t xml:space="preserve"> The primary cohort is TCGA-BRCA (888 samples) via UCSC Xena; an independent GEO cohort (GSE66695, 120 samples) provides external validation and a healthy baseline. No ArrayExpress, SRA, or controlled-access data were used - all inputs are open-access processed data.</w:t>
      </w:r>
    </w:p>
    <w:p>
      <w:pPr>
        <w:pStyle w:val="Heading1"/>
      </w:pPr>
      <w:r>
        <w:t xml:space="preserve">How the methylation is measured (it is an array, not sequencing)</w:t>
      </w:r>
    </w:p>
    <w:p>
      <w:pPr>
        <w:spacing w:after="140"/>
      </w:pPr>
      <w:r>
        <w:t xml:space="preserve">The HM450 BeadChip reads ~485,000 fixed CpG sites. DNA is bisulfite-converted (which distinguishes methylated from unmethylated positions), then hybridized to bead-bound probes and scanned. The output per site is a beta value from 0 (unmethylated) to 1 (methylated). Because the probe set is fixed, every sample measures the same sites - there are no sequencing reads or coverage, and any CpG not on the chip is simply absent from the data.</w:t>
      </w:r>
    </w:p>
    <w:p>
      <w:pPr>
        <w:pStyle w:val="Heading1"/>
      </w:pPr>
      <w:r>
        <w:t xml:space="preserve">The datasets we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2560"/>
        <w:gridCol w:w="17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 / lab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Platform &amp; format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Credibility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TCGA-BRCA methylation (primary)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TCGA (NCI/NHGRI) via UCSC Xena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HM450 array; gzip TSV, beta values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Gold standard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TCGA-BRCA clinical &amp; subtypes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TCGA/GDC via UCSC Xena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TSV; PAM50 subtypes, demographics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Gold standard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Probe annotation (regions/islands)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Zhou Lab (sesame), Zhou et al. 2017 NAR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hg38 manifest, gzip TSV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Community standard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GSE66695 (validation + baseline)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Worsham Lab, Henry Ford Health System (GEO)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HM450 array; GEO series-matrix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Peer-reviewed, smaller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Longevity gene catalog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Supervisor antibody-array list (vendor TBC)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Excel; 1,953 genes, 40 categories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Genes solid; groupings curatorial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KEGG / Reactome / GO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via Enrichr (Ma’ayan Lab)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Gene-set libraries (GMT)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Gold standard</w:t>
            </w:r>
          </w:p>
        </w:tc>
      </w:tr>
    </w:tbl>
    <w:p>
      <w:pPr>
        <w:pStyle w:val="Heading1"/>
      </w:pPr>
      <w:r>
        <w:t xml:space="preserve">Credibility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Top-tier, fully reproducible: </w:t>
      </w:r>
      <w:r>
        <w:t xml:space="preserve">TCGA/UCSC-Xena, Zhou sesame annotation, GEO/GSE66695, and KEGG/Reactome/GO. All primary findings rest on 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with disclosure: </w:t>
      </w:r>
      <w:r>
        <w:t xml:space="preserve">the supervisor longevity catalog - real gene identities (UniProt/Entrez verified), but vendor/curatorial category groupings that are not peer-reviewed pathway definitions; the antibody-array vendor is still to be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used: </w:t>
      </w:r>
      <w:r>
        <w:t xml:space="preserve">ArrayExpress, SRA, dbGaP-controlled data, or any raw sequencing.</w:t>
      </w:r>
    </w:p>
    <w:p>
      <w:r>
        <w:t xml:space="preserve"/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Full per-dataset detail (accessions, exact fields, processing protocols, limitations) is maintained in DATASETS.md alongside this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Dataset Overview   —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2026-07-06T19:24:27.715Z</dcterms:created>
  <dcterms:modified xsi:type="dcterms:W3CDTF">2026-07-06T19:24:27.715Z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