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p>
    <w:p>
      <w:pPr>
        <w:spacing w:before="60" w:after="60"/>
      </w:pPr>
    </w:p>
    <w:p>
      <w:pPr>
        <w:spacing w:before="60" w:after="60"/>
      </w:pPr>
    </w:p>
    <w:p>
      <w:pPr>
        <w:spacing w:before="60" w:after="60"/>
      </w:pPr>
    </w:p>
    <w:p>
      <w:pPr>
        <w:shd w:fill="4F46E5" w:val="clear"/>
        <w:spacing w:before="0" w:after="60"/>
        <w:jc w:val="center"/>
      </w:pPr>
      <w:r>
        <w:rPr>
          <w:rFonts w:ascii="Arial" w:cs="Arial" w:eastAsia="Arial" w:hAnsi="Arial"/>
          <w:b/>
          <w:bCs/>
          <w:color w:val="FFFFFF"/>
          <w:sz w:val="20"/>
          <w:szCs w:val="20"/>
        </w:rPr>
        <w:t xml:space="preserve">  ET GEN AI HACKATHON 2026  —  OPEN NOVEL INNOVATION CATEGORY  </w:t>
      </w:r>
    </w:p>
    <w:p>
      <w:pPr>
        <w:spacing w:before="60" w:after="60"/>
      </w:pPr>
    </w:p>
    <w:p>
      <w:pPr>
        <w:spacing w:before="60" w:after="60"/>
      </w:pPr>
    </w:p>
    <w:p>
      <w:pPr>
        <w:spacing w:before="0" w:after="40"/>
        <w:jc w:val="center"/>
      </w:pPr>
      <w:r>
        <w:rPr>
          <w:rFonts w:ascii="Arial" w:cs="Arial" w:eastAsia="Arial" w:hAnsi="Arial"/>
          <w:b/>
          <w:bCs/>
          <w:color w:val="4F46E5"/>
          <w:sz w:val="96"/>
          <w:szCs w:val="96"/>
        </w:rPr>
        <w:t xml:space="preserve">Chillax.AI</w:t>
      </w:r>
    </w:p>
    <w:p>
      <w:pPr>
        <w:spacing w:before="0" w:after="80"/>
        <w:jc w:val="center"/>
      </w:pPr>
      <w:r>
        <w:rPr>
          <w:rFonts w:ascii="Arial" w:cs="Arial" w:eastAsia="Arial" w:hAnsi="Arial"/>
          <w:b/>
          <w:bCs/>
          <w:color w:val="1E1B4B"/>
          <w:sz w:val="44"/>
          <w:szCs w:val="44"/>
        </w:rPr>
        <w:t xml:space="preserve">Stop Stressing, Start Understanding</w:t>
      </w:r>
    </w:p>
    <w:p>
      <w:pPr>
        <w:spacing w:before="0" w:after="200"/>
        <w:jc w:val="center"/>
      </w:pPr>
      <w:r>
        <w:rPr>
          <w:rFonts w:ascii="Arial" w:cs="Arial" w:eastAsia="Arial" w:hAnsi="Arial"/>
          <w:i/>
          <w:iCs/>
          <w:color w:val="6B7280"/>
          <w:sz w:val="26"/>
          <w:szCs w:val="26"/>
        </w:rPr>
        <w:t xml:space="preserve">Your offline, AI-powered code companion for untangling legacy systems</w:t>
      </w:r>
    </w:p>
    <w:p>
      <w:pPr>
        <w:spacing w:before="60" w:after="60"/>
      </w:pPr>
    </w:p>
    <w:p>
      <w:pPr>
        <w:spacing w:before="60" w:after="60"/>
      </w:pPr>
    </w:p>
    <w:p>
      <w:pPr>
        <w:shd w:fill="EEF2FF" w:val="clear"/>
        <w:spacing w:before="0" w:after="60"/>
        <w:jc w:val="center"/>
      </w:pPr>
      <w:r>
        <w:rPr>
          <w:rFonts w:ascii="Arial" w:cs="Arial" w:eastAsia="Arial" w:hAnsi="Arial"/>
          <w:b/>
          <w:bCs/>
          <w:color w:val="4F46E5"/>
          <w:sz w:val="22"/>
          <w:szCs w:val="22"/>
        </w:rPr>
        <w:t xml:space="preserve">  Problem Statement #2: Agentic AI for Autonomous Enterprise Workflows  </w:t>
      </w:r>
    </w:p>
    <w:p>
      <w:pPr>
        <w:spacing w:before="60" w:after="60"/>
      </w:pPr>
    </w:p>
    <w:p>
      <w:pPr>
        <w:spacing w:before="60" w:after="60"/>
      </w:pPr>
    </w:p>
    <w:p>
      <w:pPr>
        <w:spacing w:before="60" w:after="60"/>
      </w:pPr>
    </w:p>
    <w:p>
      <w:pPr>
        <w:spacing w:before="0" w:after="40"/>
        <w:jc w:val="center"/>
      </w:pPr>
      <w:r>
        <w:rPr>
          <w:rFonts w:ascii="Arial" w:cs="Arial" w:eastAsia="Arial" w:hAnsi="Arial"/>
          <w:b/>
          <w:bCs/>
          <w:color w:val="1E1B4B"/>
          <w:sz w:val="24"/>
          <w:szCs w:val="24"/>
        </w:rPr>
        <w:t xml:space="preserve">Team: "Pro"crastinators</w:t>
      </w:r>
    </w:p>
    <w:p>
      <w:pPr>
        <w:spacing w:before="0" w:after="40"/>
        <w:jc w:val="center"/>
      </w:pPr>
      <w:r>
        <w:rPr>
          <w:rFonts w:ascii="Arial" w:cs="Arial" w:eastAsia="Arial" w:hAnsi="Arial"/>
          <w:color w:val="6B7280"/>
          <w:sz w:val="22"/>
          <w:szCs w:val="22"/>
        </w:rPr>
        <w:t xml:space="preserve">Contact: santhnu006@outlook.com</w:t>
      </w:r>
    </w:p>
    <w:p>
      <w:pPr>
        <w:spacing w:before="0" w:after="40"/>
        <w:jc w:val="center"/>
      </w:pPr>
      <w:r>
        <w:rPr>
          <w:rFonts w:ascii="Arial" w:cs="Arial" w:eastAsia="Arial" w:hAnsi="Arial"/>
          <w:color w:val="4F46E5"/>
          <w:sz w:val="22"/>
          <w:szCs w:val="22"/>
        </w:rPr>
        <w:t xml:space="preserve">GitHub: github.com/Sansyuh06/Chillax.AI-AI-Based-IDE</w:t>
      </w:r>
    </w:p>
    <w:p>
      <w:r>
        <w:br w:type="page"/>
      </w:r>
    </w:p>
    <w:p>
      <w:pPr>
        <w:pStyle w:val="Heading1"/>
        <w:spacing w:before="400" w:after="160"/>
      </w:pPr>
      <w:r>
        <w:rPr>
          <w:rFonts w:ascii="Arial" w:cs="Arial" w:eastAsia="Arial" w:hAnsi="Arial"/>
          <w:b/>
          <w:bCs/>
          <w:color w:val="1E1B4B"/>
          <w:sz w:val="40"/>
          <w:szCs w:val="40"/>
        </w:rPr>
        <w:t xml:space="preserve">Executive Summary</w:t>
      </w:r>
    </w:p>
    <w:p>
      <w:pPr>
        <w:pBdr>
          <w:bottom w:val="single" w:color="4F46E5" w:sz="6" w:space="1"/>
        </w:pBdr>
        <w:spacing w:before="160" w:after="160"/>
      </w:pPr>
    </w:p>
    <w:p>
      <w:pPr>
        <w:spacing w:before="80" w:after="80"/>
        <w:jc w:val="left"/>
      </w:pPr>
      <w:r>
        <w:rPr>
          <w:rFonts w:ascii="Arial" w:cs="Arial" w:eastAsia="Arial" w:hAnsi="Arial"/>
          <w:b w:val="false"/>
          <w:bCs w:val="false"/>
          <w:i w:val="false"/>
          <w:iCs w:val="false"/>
          <w:color w:val="222222"/>
          <w:sz w:val="21"/>
          <w:szCs w:val="21"/>
        </w:rPr>
        <w:t xml:space="preserve">Chillax.AI is a standalone desktop IDE that solves one of software engineering's most persistent and costly challenges: understanding code you didn't write. Built entirely offline using a three-layer Neuro-Symbolic AI architecture, it gives developers an interactive visual map of any Python codebase, a local AI assistant for plain-English explanations, and animated execution flows — all without sending a single line of code to the cloud.</w:t>
      </w:r>
    </w:p>
    <w:p>
      <w:pPr>
        <w:spacing w:before="60" w:after="60"/>
      </w:pPr>
    </w:p>
    <w:p>
      <w:pPr>
        <w:shd w:fill="EEF2FF" w:val="clear"/>
        <w:spacing w:before="120" w:after="120"/>
        <w:ind w:left="360" w:right="360"/>
      </w:pPr>
      <w:r>
        <w:rPr>
          <w:rFonts w:ascii="Arial" w:cs="Arial" w:eastAsia="Arial" w:hAnsi="Arial"/>
          <w:i/>
          <w:iCs/>
          <w:color w:val="1E1B4B"/>
          <w:sz w:val="21"/>
          <w:szCs w:val="21"/>
        </w:rPr>
        <w:t xml:space="preserve">Everything runs 100% locally. Zero data leaves the machine. No internet required. No proprietary code exposed.</w:t>
      </w:r>
    </w:p>
    <w:p>
      <w:pPr>
        <w:spacing w:before="60" w:after="60"/>
      </w:pPr>
    </w:p>
    <w:p>
      <w:pPr>
        <w:spacing w:before="80" w:after="80"/>
        <w:jc w:val="left"/>
      </w:pPr>
      <w:r>
        <w:rPr>
          <w:rFonts w:ascii="Arial" w:cs="Arial" w:eastAsia="Arial" w:hAnsi="Arial"/>
          <w:b w:val="false"/>
          <w:bCs w:val="false"/>
          <w:i w:val="false"/>
          <w:iCs w:val="false"/>
          <w:color w:val="222222"/>
          <w:sz w:val="21"/>
          <w:szCs w:val="21"/>
        </w:rPr>
        <w:t xml:space="preserve">At its core, Chillax.AI combines:</w:t>
      </w:r>
    </w:p>
    <w:p>
      <w:pPr>
        <w:pStyle w:val="ListParagraph"/>
        <w:numPr>
          <w:ilvl w:val="0"/>
          <w:numId w:val="2"/>
        </w:numPr>
        <w:spacing w:before="60" w:after="60"/>
      </w:pPr>
      <w:r>
        <w:rPr>
          <w:rFonts w:ascii="Arial" w:cs="Arial" w:eastAsia="Arial" w:hAnsi="Arial"/>
          <w:color w:val="222222"/>
          <w:sz w:val="21"/>
          <w:szCs w:val="21"/>
        </w:rPr>
        <w:t xml:space="preserve">Python AST (Abstract Syntax Tree) parsing to deterministically extract code structure</w:t>
      </w:r>
    </w:p>
    <w:p>
      <w:pPr>
        <w:pStyle w:val="ListParagraph"/>
        <w:numPr>
          <w:ilvl w:val="0"/>
          <w:numId w:val="2"/>
        </w:numPr>
        <w:spacing w:before="60" w:after="60"/>
      </w:pPr>
      <w:r>
        <w:rPr>
          <w:rFonts w:ascii="Arial" w:cs="Arial" w:eastAsia="Arial" w:hAnsi="Arial"/>
          <w:color w:val="222222"/>
          <w:sz w:val="21"/>
          <w:szCs w:val="21"/>
        </w:rPr>
        <w:t xml:space="preserve">A Knowledge Graph representing all modules, classes, functions, and call chains</w:t>
      </w:r>
    </w:p>
    <w:p>
      <w:pPr>
        <w:pStyle w:val="ListParagraph"/>
        <w:numPr>
          <w:ilvl w:val="0"/>
          <w:numId w:val="2"/>
        </w:numPr>
        <w:spacing w:before="60" w:after="60"/>
      </w:pPr>
      <w:r>
        <w:rPr>
          <w:rFonts w:ascii="Arial" w:cs="Arial" w:eastAsia="Arial" w:hAnsi="Arial"/>
          <w:color w:val="222222"/>
          <w:sz w:val="21"/>
          <w:szCs w:val="21"/>
        </w:rPr>
        <w:t xml:space="preserve">A locally-running LLM (LLaMA 3 / CodeLlama via Ollama) that uses the knowledge graph as context for accurate, hallucination-reduced answers</w:t>
      </w:r>
    </w:p>
    <w:p>
      <w:pPr>
        <w:pStyle w:val="ListParagraph"/>
        <w:numPr>
          <w:ilvl w:val="0"/>
          <w:numId w:val="2"/>
        </w:numPr>
        <w:spacing w:before="60" w:after="60"/>
      </w:pPr>
      <w:r>
        <w:rPr>
          <w:rFonts w:ascii="Arial" w:cs="Arial" w:eastAsia="Arial" w:hAnsi="Arial"/>
          <w:color w:val="222222"/>
          <w:sz w:val="21"/>
          <w:szCs w:val="21"/>
        </w:rPr>
        <w:t xml:space="preserve">React Flow-based interactive visualizations and animated execution playback</w:t>
      </w:r>
    </w:p>
    <w:p>
      <w:pPr>
        <w:spacing w:before="60" w:after="60"/>
      </w:pPr>
    </w:p>
    <w:p>
      <w:pPr>
        <w:spacing w:before="80" w:after="80"/>
        <w:jc w:val="left"/>
      </w:pPr>
      <w:r>
        <w:rPr>
          <w:rFonts w:ascii="Arial" w:cs="Arial" w:eastAsia="Arial" w:hAnsi="Arial"/>
          <w:b w:val="false"/>
          <w:bCs w:val="false"/>
          <w:i w:val="false"/>
          <w:iCs w:val="false"/>
          <w:color w:val="222222"/>
          <w:sz w:val="21"/>
          <w:szCs w:val="21"/>
        </w:rPr>
        <w:t xml:space="preserve">This Neuro-Symbolic hybrid approach is the key innovation: rather than sending raw code to a generic LLM, we feed structured semantic context — dramatically improving accuracy while preserving complete data privacy.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pPr>
              <w:jc w:val="center"/>
            </w:pPr>
            <w:r>
              <w:rPr>
                <w:rFonts w:ascii="Arial" w:cs="Arial" w:eastAsia="Arial" w:hAnsi="Arial"/>
                <w:b/>
                <w:bCs/>
                <w:color w:val="4F46E5"/>
                <w:sz w:val="52"/>
                <w:szCs w:val="52"/>
              </w:rPr>
              <w:t xml:space="preserve">10:1</w:t>
            </w:r>
          </w:p>
          <w:p>
            <w:pPr>
              <w:spacing w:before="40" w:after="0"/>
              <w:jc w:val="center"/>
            </w:pPr>
            <w:r>
              <w:rPr>
                <w:rFonts w:ascii="Arial" w:cs="Arial" w:eastAsia="Arial" w:hAnsi="Arial"/>
                <w:color w:val="6B7280"/>
                <w:sz w:val="18"/>
                <w:szCs w:val="18"/>
              </w:rPr>
              <w:t xml:space="preserve">Reading vs Writing Ratio</w:t>
            </w:r>
          </w:p>
        </w:tc>
        <w:tc>
          <w:tcPr>
            <w:tcW w:type="dxa" w:w="312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pPr>
              <w:jc w:val="center"/>
            </w:pPr>
            <w:r>
              <w:rPr>
                <w:rFonts w:ascii="Arial" w:cs="Arial" w:eastAsia="Arial" w:hAnsi="Arial"/>
                <w:b/>
                <w:bCs/>
                <w:color w:val="4F46E5"/>
                <w:sz w:val="52"/>
                <w:szCs w:val="52"/>
              </w:rPr>
              <w:t xml:space="preserve">1–3 Months</w:t>
            </w:r>
          </w:p>
          <w:p>
            <w:pPr>
              <w:spacing w:before="40" w:after="0"/>
              <w:jc w:val="center"/>
            </w:pPr>
            <w:r>
              <w:rPr>
                <w:rFonts w:ascii="Arial" w:cs="Arial" w:eastAsia="Arial" w:hAnsi="Arial"/>
                <w:color w:val="6B7280"/>
                <w:sz w:val="18"/>
                <w:szCs w:val="18"/>
              </w:rPr>
              <w:t xml:space="preserve">New hire first PR cycle</w:t>
            </w:r>
          </w:p>
        </w:tc>
        <w:tc>
          <w:tcPr>
            <w:tcW w:type="dxa" w:w="312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pPr>
              <w:jc w:val="center"/>
            </w:pPr>
            <w:r>
              <w:rPr>
                <w:rFonts w:ascii="Arial" w:cs="Arial" w:eastAsia="Arial" w:hAnsi="Arial"/>
                <w:b/>
                <w:bCs/>
                <w:color w:val="4F46E5"/>
                <w:sz w:val="52"/>
                <w:szCs w:val="52"/>
              </w:rPr>
              <w:t xml:space="preserve">$4.88M</w:t>
            </w:r>
          </w:p>
          <w:p>
            <w:pPr>
              <w:spacing w:before="40" w:after="0"/>
              <w:jc w:val="center"/>
            </w:pPr>
            <w:r>
              <w:rPr>
                <w:rFonts w:ascii="Arial" w:cs="Arial" w:eastAsia="Arial" w:hAnsi="Arial"/>
                <w:color w:val="6B7280"/>
                <w:sz w:val="18"/>
                <w:szCs w:val="18"/>
              </w:rPr>
              <w:t xml:space="preserve">Avg cloud breach cost (2024)</w:t>
            </w:r>
          </w:p>
        </w:tc>
      </w:tr>
    </w:tbl>
    <w:p>
      <w:r>
        <w:br w:type="page"/>
      </w:r>
    </w:p>
    <w:p>
      <w:pPr>
        <w:pStyle w:val="Heading1"/>
        <w:spacing w:before="400" w:after="160"/>
      </w:pPr>
      <w:r>
        <w:rPr>
          <w:rFonts w:ascii="Arial" w:cs="Arial" w:eastAsia="Arial" w:hAnsi="Arial"/>
          <w:b/>
          <w:bCs/>
          <w:color w:val="1E1B4B"/>
          <w:sz w:val="40"/>
          <w:szCs w:val="40"/>
        </w:rPr>
        <w:t xml:space="preserve">The Problem</w:t>
      </w:r>
    </w:p>
    <w:p>
      <w:pPr>
        <w:pBdr>
          <w:bottom w:val="single" w:color="4F46E5" w:sz="6" w:space="1"/>
        </w:pBdr>
        <w:spacing w:before="160" w:after="160"/>
      </w:pPr>
    </w:p>
    <w:p>
      <w:pPr>
        <w:pStyle w:val="Heading2"/>
        <w:spacing w:before="280" w:after="120"/>
      </w:pPr>
      <w:r>
        <w:rPr>
          <w:rFonts w:ascii="Arial" w:cs="Arial" w:eastAsia="Arial" w:hAnsi="Arial"/>
          <w:b/>
          <w:bCs/>
          <w:color w:val="4F46E5"/>
          <w:sz w:val="30"/>
          <w:szCs w:val="30"/>
        </w:rPr>
        <w:t xml:space="preserve">Developers Are Drowning in Legacy Code</w:t>
      </w:r>
    </w:p>
    <w:p>
      <w:pPr>
        <w:spacing w:before="80" w:after="80"/>
        <w:jc w:val="left"/>
      </w:pPr>
      <w:r>
        <w:rPr>
          <w:rFonts w:ascii="Arial" w:cs="Arial" w:eastAsia="Arial" w:hAnsi="Arial"/>
          <w:b w:val="false"/>
          <w:bCs w:val="false"/>
          <w:i w:val="false"/>
          <w:iCs w:val="false"/>
          <w:color w:val="222222"/>
          <w:sz w:val="21"/>
          <w:szCs w:val="21"/>
        </w:rPr>
        <w:t xml:space="preserve">Modern enterprises run on codebases that are years or decades old. Systems in banking, healthcare, defense, and logistics are held together by millions of lines of undocumented code written by people who have long since left. Every new developer who joins must spend weeks — sometimes months — simply understanding what already exists before they can contribute anything meaningful.</w:t>
      </w:r>
    </w:p>
    <w:p>
      <w:pPr>
        <w:spacing w:before="60" w:after="60"/>
      </w:pPr>
    </w:p>
    <w:p>
      <w:pPr>
        <w:spacing w:before="80" w:after="80"/>
        <w:jc w:val="left"/>
      </w:pPr>
      <w:r>
        <w:rPr>
          <w:rFonts w:ascii="Arial" w:cs="Arial" w:eastAsia="Arial" w:hAnsi="Arial"/>
          <w:b w:val="false"/>
          <w:bCs w:val="false"/>
          <w:i w:val="false"/>
          <w:iCs w:val="false"/>
          <w:color w:val="222222"/>
          <w:sz w:val="21"/>
          <w:szCs w:val="21"/>
        </w:rPr>
        <w:t xml:space="preserve">The current developer tooling landscape has a critical blind spot: it optimizes for writing new code, completely ignoring the far larger problem of reading and understanding existing code.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400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Finding</w:t>
            </w:r>
          </w:p>
        </w:tc>
        <w:tc>
          <w:tcPr>
            <w:tcW w:type="dxa" w:w="336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Source</w:t>
            </w:r>
          </w:p>
        </w:tc>
      </w:tr>
      <w:tr>
        <w:tc>
          <w:tcPr>
            <w:tcW w:type="dxa" w:w="20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4F46E5"/>
                <w:sz w:val="20"/>
                <w:szCs w:val="20"/>
              </w:rPr>
              <w:t xml:space="preserve">10:1 ratio</w:t>
            </w:r>
          </w:p>
        </w:tc>
        <w:tc>
          <w:tcPr>
            <w:tcW w:type="dxa" w:w="40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Developers read code 10x more than they write it, yet all tools optimize for writing</w:t>
            </w:r>
          </w:p>
        </w:tc>
        <w:tc>
          <w:tcPr>
            <w:tcW w:type="dxa" w:w="336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6B7280"/>
                <w:sz w:val="20"/>
                <w:szCs w:val="20"/>
              </w:rPr>
              <w:t xml:space="preserve">Robert C. Martin, Clean Code</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4F46E5"/>
                <w:sz w:val="20"/>
                <w:szCs w:val="20"/>
              </w:rPr>
              <w:t xml:space="preserve">1–3 months</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Average time for a new hire to make 3 meaningful pull requests in a large codebase</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6B7280"/>
                <w:sz w:val="20"/>
                <w:szCs w:val="20"/>
              </w:rPr>
              <w:t xml:space="preserve">Cortex.io Engineering Survey, 2024</w:t>
            </w:r>
          </w:p>
        </w:tc>
      </w:tr>
      <w:tr>
        <w:tc>
          <w:tcPr>
            <w:tcW w:type="dxa" w:w="20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4F46E5"/>
                <w:sz w:val="20"/>
                <w:szCs w:val="20"/>
              </w:rPr>
              <w:t xml:space="preserve">76% of devs</w:t>
            </w:r>
          </w:p>
        </w:tc>
        <w:tc>
          <w:tcPr>
            <w:tcW w:type="dxa" w:w="40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Using cloud AI tools that send proprietary code to external servers</w:t>
            </w:r>
          </w:p>
        </w:tc>
        <w:tc>
          <w:tcPr>
            <w:tcW w:type="dxa" w:w="336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6B7280"/>
                <w:sz w:val="20"/>
                <w:szCs w:val="20"/>
              </w:rPr>
              <w:t xml:space="preserve">Sourcegraph Developer Survey, 2024</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4F46E5"/>
                <w:sz w:val="20"/>
                <w:szCs w:val="20"/>
              </w:rPr>
              <w:t xml:space="preserve">44% of orgs</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Experienced a cloud data breach in 2024</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6B7280"/>
                <w:sz w:val="20"/>
                <w:szCs w:val="20"/>
              </w:rPr>
              <w:t xml:space="preserve">IBM/Forbes, 2024</w:t>
            </w:r>
          </w:p>
        </w:tc>
      </w:tr>
      <w:tr>
        <w:tc>
          <w:tcPr>
            <w:tcW w:type="dxa" w:w="20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4F46E5"/>
                <w:sz w:val="20"/>
                <w:szCs w:val="20"/>
              </w:rPr>
              <w:t xml:space="preserve">$4.88M avg</w:t>
            </w:r>
          </w:p>
        </w:tc>
        <w:tc>
          <w:tcPr>
            <w:tcW w:type="dxa" w:w="40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Cost per cloud data breach — making cloud-based AI tools a compliance and financial liability</w:t>
            </w:r>
          </w:p>
        </w:tc>
        <w:tc>
          <w:tcPr>
            <w:tcW w:type="dxa" w:w="336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6B7280"/>
                <w:sz w:val="20"/>
                <w:szCs w:val="20"/>
              </w:rPr>
              <w:t xml:space="preserve">IBM/Forbes Cost of Breach Report, 2024</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4F46E5"/>
                <w:sz w:val="20"/>
                <w:szCs w:val="20"/>
              </w:rPr>
              <w:t xml:space="preserve">49 vs 91 days</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AI-assisted developers reach their 10th PR in 49 days vs 91 days without AI</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6B7280"/>
                <w:sz w:val="20"/>
                <w:szCs w:val="20"/>
              </w:rPr>
              <w:t xml:space="preserve">DX Developer Experience Report, 2025</w:t>
            </w:r>
          </w:p>
        </w:tc>
      </w:tr>
    </w:tbl>
    <w:p>
      <w:pPr>
        <w:spacing w:before="60" w:after="60"/>
      </w:pPr>
    </w:p>
    <w:p>
      <w:pPr>
        <w:pStyle w:val="Heading2"/>
        <w:spacing w:before="280" w:after="120"/>
      </w:pPr>
      <w:r>
        <w:rPr>
          <w:rFonts w:ascii="Arial" w:cs="Arial" w:eastAsia="Arial" w:hAnsi="Arial"/>
          <w:b/>
          <w:bCs/>
          <w:color w:val="4F46E5"/>
          <w:sz w:val="30"/>
          <w:szCs w:val="30"/>
        </w:rPr>
        <w:t xml:space="preserve">The Gap Nobody Is Filling</w:t>
      </w:r>
    </w:p>
    <w:p>
      <w:pPr>
        <w:spacing w:before="80" w:after="80"/>
        <w:jc w:val="left"/>
      </w:pPr>
      <w:r>
        <w:rPr>
          <w:rFonts w:ascii="Arial" w:cs="Arial" w:eastAsia="Arial" w:hAnsi="Arial"/>
          <w:b w:val="false"/>
          <w:bCs w:val="false"/>
          <w:i w:val="false"/>
          <w:iCs w:val="false"/>
          <w:color w:val="222222"/>
          <w:sz w:val="21"/>
          <w:szCs w:val="21"/>
        </w:rPr>
        <w:t xml:space="preserve">Tools exist to help developers write faster. Nothing helps them understand existing systems at a structural, visual, and contextual level — especially in environments where code cannot leave the machine.</w:t>
      </w:r>
    </w:p>
    <w:p>
      <w:pPr>
        <w:shd w:fill="EEF2FF" w:val="clear"/>
        <w:spacing w:before="120" w:after="120"/>
        <w:ind w:left="360" w:right="360"/>
      </w:pPr>
      <w:r>
        <w:rPr>
          <w:rFonts w:ascii="Arial" w:cs="Arial" w:eastAsia="Arial" w:hAnsi="Arial"/>
          <w:i/>
          <w:iCs/>
          <w:color w:val="1E1B4B"/>
          <w:sz w:val="21"/>
          <w:szCs w:val="21"/>
        </w:rPr>
        <w:t xml:space="preserve">GitHub Copilot writes code. ChatGPT answers questions. Neither understands your codebase as a system, and both require sending your proprietary source code to external servers.</w:t>
      </w:r>
    </w:p>
    <w:p>
      <w:r>
        <w:br w:type="page"/>
      </w:r>
    </w:p>
    <w:p>
      <w:pPr>
        <w:pStyle w:val="Heading1"/>
        <w:spacing w:before="400" w:after="160"/>
      </w:pPr>
      <w:r>
        <w:rPr>
          <w:rFonts w:ascii="Arial" w:cs="Arial" w:eastAsia="Arial" w:hAnsi="Arial"/>
          <w:b/>
          <w:bCs/>
          <w:color w:val="1E1B4B"/>
          <w:sz w:val="40"/>
          <w:szCs w:val="40"/>
        </w:rPr>
        <w:t xml:space="preserve">Our Solution: Chillax.AI</w:t>
      </w:r>
    </w:p>
    <w:p>
      <w:pPr>
        <w:pBdr>
          <w:bottom w:val="single" w:color="4F46E5" w:sz="6" w:space="1"/>
        </w:pBdr>
        <w:spacing w:before="160" w:after="160"/>
      </w:pPr>
    </w:p>
    <w:p>
      <w:pPr>
        <w:spacing w:before="80" w:after="80"/>
        <w:jc w:val="left"/>
      </w:pPr>
      <w:r>
        <w:rPr>
          <w:rFonts w:ascii="Arial" w:cs="Arial" w:eastAsia="Arial" w:hAnsi="Arial"/>
          <w:b w:val="false"/>
          <w:bCs w:val="false"/>
          <w:i w:val="false"/>
          <w:iCs w:val="false"/>
          <w:color w:val="222222"/>
          <w:sz w:val="21"/>
          <w:szCs w:val="21"/>
        </w:rPr>
        <w:t xml:space="preserve">Chillax.AI is a standalone desktop application that combines three powerful capabilities in one unified interface, all running entirely on the developer's local machine: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624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What It Does</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4F46E5"/>
                <w:sz w:val="20"/>
                <w:szCs w:val="20"/>
              </w:rPr>
              <w:t xml:space="preserve">Interactive Code Map</w:t>
            </w:r>
          </w:p>
        </w:tc>
        <w:tc>
          <w:tcPr>
            <w:tcW w:type="dxa" w:w="624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Visual graph showing all modules, functions, classes, and their relationships. Click any node to explore. Filter by module, highlight call chains, zoom in/out.</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4F46E5"/>
                <w:sz w:val="20"/>
                <w:szCs w:val="20"/>
              </w:rPr>
              <w:t xml:space="preserve">Offline AI Assistant</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LLaMA 3 / CodeLlama running locally via Ollama. Asks: 'How does the payment module work?' and gets a precise, context-aware answer with architectural citations — no internet needed.</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4F46E5"/>
                <w:sz w:val="20"/>
                <w:szCs w:val="20"/>
              </w:rPr>
              <w:t xml:space="preserve">Execution Visualizer</w:t>
            </w:r>
          </w:p>
        </w:tc>
        <w:tc>
          <w:tcPr>
            <w:tcW w:type="dxa" w:w="624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Animated step-by-step walkthrough of code execution. Watch the flow move through functions with playback controls — pause, rewind, step through. Eliminates the need to mentally simulate code.</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4F46E5"/>
                <w:sz w:val="20"/>
                <w:szCs w:val="20"/>
              </w:rPr>
              <w:t xml:space="preserve">Code Editor (Monaco)</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VS Code-grade editor with syntax highlighting, built into the IDE. Select any function and click 'Explain Selection' for an instant AI breakdown of that specific block.</w:t>
            </w:r>
          </w:p>
        </w:tc>
      </w:tr>
    </w:tbl>
    <w:p>
      <w:pPr>
        <w:spacing w:before="60" w:after="60"/>
      </w:pPr>
    </w:p>
    <w:p>
      <w:pPr>
        <w:pStyle w:val="Heading2"/>
        <w:spacing w:before="280" w:after="120"/>
      </w:pPr>
      <w:r>
        <w:rPr>
          <w:rFonts w:ascii="Arial" w:cs="Arial" w:eastAsia="Arial" w:hAnsi="Arial"/>
          <w:b/>
          <w:bCs/>
          <w:color w:val="4F46E5"/>
          <w:sz w:val="30"/>
          <w:szCs w:val="30"/>
        </w:rPr>
        <w:t xml:space="preserve">The Core Innovation: Neuro-Symbolic AI</w:t>
      </w:r>
    </w:p>
    <w:p>
      <w:pPr>
        <w:spacing w:before="80" w:after="80"/>
        <w:jc w:val="left"/>
      </w:pPr>
      <w:r>
        <w:rPr>
          <w:rFonts w:ascii="Arial" w:cs="Arial" w:eastAsia="Arial" w:hAnsi="Arial"/>
          <w:b w:val="false"/>
          <w:bCs w:val="false"/>
          <w:i w:val="false"/>
          <w:iCs w:val="false"/>
          <w:color w:val="222222"/>
          <w:sz w:val="21"/>
          <w:szCs w:val="21"/>
        </w:rPr>
        <w:t xml:space="preserve">Most AI coding tools throw raw code at a language model and hope for the best. This leads to hallucinations, missed dependencies, and generic answers that don't reflect your specific codebase. Chillax.AI takes a fundamentally different approach.</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6360"/>
      </w:tblGrid>
      <w:tr>
        <w:tc>
          <w:tcPr>
            <w:tcW w:type="dxa" w:w="20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280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636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What Happens</w:t>
            </w:r>
          </w:p>
        </w:tc>
      </w:tr>
      <w:tr>
        <w:tc>
          <w:tcPr>
            <w:tcW w:type="dxa" w:w="2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4F46E5"/>
                <w:sz w:val="20"/>
                <w:szCs w:val="20"/>
              </w:rPr>
              <w:t xml:space="preserve">1</w:t>
            </w:r>
          </w:p>
        </w:tc>
        <w:tc>
          <w:tcPr>
            <w:tcW w:type="dxa" w:w="28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1E1B4B"/>
                <w:sz w:val="20"/>
                <w:szCs w:val="20"/>
              </w:rPr>
              <w:t xml:space="preserve">Symbolic Analysis</w:t>
            </w:r>
          </w:p>
        </w:tc>
        <w:tc>
          <w:tcPr>
            <w:tcW w:type="dxa" w:w="636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Python AST parser reads every file deterministically. Extracts: all functions, classes, imports, decorators, call chains, parameters, return types.</w:t>
            </w:r>
          </w:p>
        </w:tc>
      </w:tr>
      <w:tr>
        <w:tc>
          <w:tcPr>
            <w:tcW w:type="dxa" w:w="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4F46E5"/>
                <w:sz w:val="20"/>
                <w:szCs w:val="20"/>
              </w:rPr>
              <w:t xml:space="preserve">2</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E1B4B"/>
                <w:sz w:val="20"/>
                <w:szCs w:val="20"/>
              </w:rPr>
              <w:t xml:space="preserve">Knowledge Graph</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All extracted entities become nodes; all relationships become edges. The graph captures the full architecture of the codebase in a queryable, visual structure.</w:t>
            </w:r>
          </w:p>
        </w:tc>
      </w:tr>
      <w:tr>
        <w:tc>
          <w:tcPr>
            <w:tcW w:type="dxa" w:w="2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4F46E5"/>
                <w:sz w:val="20"/>
                <w:szCs w:val="20"/>
              </w:rPr>
              <w:t xml:space="preserve">3</w:t>
            </w:r>
          </w:p>
        </w:tc>
        <w:tc>
          <w:tcPr>
            <w:tcW w:type="dxa" w:w="28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1E1B4B"/>
                <w:sz w:val="20"/>
                <w:szCs w:val="20"/>
              </w:rPr>
              <w:t xml:space="preserve">GenAI + Visualization</w:t>
            </w:r>
          </w:p>
        </w:tc>
        <w:tc>
          <w:tcPr>
            <w:tcW w:type="dxa" w:w="636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The local LLM receives the knowledge graph as structured context — not raw code. This dramatically reduces hallucinations. React Flow renders the graph interactively.</w:t>
            </w:r>
          </w:p>
        </w:tc>
      </w:tr>
    </w:tbl>
    <w:p>
      <w:r>
        <w:br w:type="page"/>
      </w:r>
    </w:p>
    <w:p>
      <w:pPr>
        <w:pStyle w:val="Heading1"/>
        <w:spacing w:before="400" w:after="160"/>
      </w:pPr>
      <w:r>
        <w:rPr>
          <w:rFonts w:ascii="Arial" w:cs="Arial" w:eastAsia="Arial" w:hAnsi="Arial"/>
          <w:b/>
          <w:bCs/>
          <w:color w:val="1E1B4B"/>
          <w:sz w:val="40"/>
          <w:szCs w:val="40"/>
        </w:rPr>
        <w:t xml:space="preserve">Technical Architecture</w:t>
      </w:r>
    </w:p>
    <w:p>
      <w:pPr>
        <w:pBdr>
          <w:bottom w:val="single" w:color="4F46E5" w:sz="6" w:space="1"/>
        </w:pBdr>
        <w:spacing w:before="160" w:after="160"/>
      </w:pPr>
    </w:p>
    <w:p>
      <w:pPr>
        <w:pStyle w:val="Heading2"/>
        <w:spacing w:before="280" w:after="120"/>
      </w:pPr>
      <w:r>
        <w:rPr>
          <w:rFonts w:ascii="Arial" w:cs="Arial" w:eastAsia="Arial" w:hAnsi="Arial"/>
          <w:b/>
          <w:bCs/>
          <w:color w:val="4F46E5"/>
          <w:sz w:val="30"/>
          <w:szCs w:val="30"/>
        </w:rPr>
        <w:t xml:space="preserve">System Architecture Overview</w:t>
      </w:r>
    </w:p>
    <w:p>
      <w:pPr>
        <w:spacing w:before="80" w:after="80"/>
        <w:jc w:val="left"/>
      </w:pPr>
      <w:r>
        <w:rPr>
          <w:rFonts w:ascii="Arial" w:cs="Arial" w:eastAsia="Arial" w:hAnsi="Arial"/>
          <w:b w:val="false"/>
          <w:bCs w:val="false"/>
          <w:i w:val="false"/>
          <w:iCs w:val="false"/>
          <w:color w:val="222222"/>
          <w:sz w:val="21"/>
          <w:szCs w:val="21"/>
        </w:rPr>
        <w:t xml:space="preserve">Chillax.AI is structured as a three-tier desktop application: an Electron shell hosting a React frontend, a FastAPI backend for code analysis, and an Ollama service running local LLMs. All three tiers operate exclusively on the local machine.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User</w:t>
            </w:r>
          </w:p>
        </w:tc>
        <w:tc>
          <w:tcPr>
            <w:tcW w:type="dxa" w:w="156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Electron Shell</w:t>
            </w:r>
          </w:p>
        </w:tc>
        <w:tc>
          <w:tcPr>
            <w:tcW w:type="dxa" w:w="156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React UI</w:t>
            </w:r>
          </w:p>
        </w:tc>
        <w:tc>
          <w:tcPr>
            <w:tcW w:type="dxa" w:w="156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FastAPI Backend</w:t>
            </w:r>
          </w:p>
        </w:tc>
        <w:tc>
          <w:tcPr>
            <w:tcW w:type="dxa" w:w="156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Python AST</w:t>
            </w:r>
          </w:p>
        </w:tc>
        <w:tc>
          <w:tcPr>
            <w:tcW w:type="dxa" w:w="156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Ollama LLM</w:t>
            </w:r>
          </w:p>
        </w:tc>
      </w:tr>
      <w:tr>
        <w:tc>
          <w:tcPr>
            <w:tcW w:type="dxa" w:w="156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Opens project folder</w:t>
            </w:r>
          </w:p>
        </w:tc>
        <w:tc>
          <w:tcPr>
            <w:tcW w:type="dxa" w:w="156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Reads filesystem, passes path to renderer</w:t>
            </w:r>
          </w:p>
        </w:tc>
        <w:tc>
          <w:tcPr>
            <w:tcW w:type="dxa" w:w="156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Sends /analyze request</w:t>
            </w:r>
          </w:p>
        </w:tc>
        <w:tc>
          <w:tcPr>
            <w:tcW w:type="dxa" w:w="156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Triggers AST parse</w:t>
            </w:r>
          </w:p>
        </w:tc>
        <w:tc>
          <w:tcPr>
            <w:tcW w:type="dxa" w:w="156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Builds knowledge graph JSON</w:t>
            </w:r>
          </w:p>
        </w:tc>
        <w:tc>
          <w:tcPr>
            <w:tcW w:type="dxa" w:w="156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(standby)</w:t>
            </w:r>
          </w:p>
        </w:tc>
      </w:tr>
      <w:tr>
        <w:tc>
          <w:tcPr>
            <w:tcW w:type="dxa" w:w="1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Asks a question</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IPC to renderer</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Sends /query + graph context</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Enriches prompt with graph</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(done)</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Generates answer locally</w:t>
            </w:r>
          </w:p>
        </w:tc>
      </w:tr>
      <w:tr>
        <w:tc>
          <w:tcPr>
            <w:tcW w:type="dxa" w:w="156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Clicks 'Visualize'</w:t>
            </w:r>
          </w:p>
        </w:tc>
        <w:tc>
          <w:tcPr>
            <w:tcW w:type="dxa" w:w="156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Passes event</w:t>
            </w:r>
          </w:p>
        </w:tc>
        <w:tc>
          <w:tcPr>
            <w:tcW w:type="dxa" w:w="156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Renders React Flow graph</w:t>
            </w:r>
          </w:p>
        </w:tc>
        <w:tc>
          <w:tcPr>
            <w:tcW w:type="dxa" w:w="156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Serves node/edge data</w:t>
            </w:r>
          </w:p>
        </w:tc>
        <w:tc>
          <w:tcPr>
            <w:tcW w:type="dxa" w:w="156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(done)</w:t>
            </w:r>
          </w:p>
        </w:tc>
        <w:tc>
          <w:tcPr>
            <w:tcW w:type="dxa" w:w="156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(optional narration)</w:t>
            </w:r>
          </w:p>
        </w:tc>
      </w:tr>
    </w:tbl>
    <w:p>
      <w:pPr>
        <w:spacing w:before="60" w:after="60"/>
      </w:pPr>
    </w:p>
    <w:p>
      <w:pPr>
        <w:pStyle w:val="Heading2"/>
        <w:spacing w:before="280" w:after="120"/>
      </w:pPr>
      <w:r>
        <w:rPr>
          <w:rFonts w:ascii="Arial" w:cs="Arial" w:eastAsia="Arial" w:hAnsi="Arial"/>
          <w:b/>
          <w:bCs/>
          <w:color w:val="4F46E5"/>
          <w:sz w:val="30"/>
          <w:szCs w:val="30"/>
        </w:rPr>
        <w:t xml:space="preserve">Full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60"/>
        <w:gridCol w:w="2800"/>
      </w:tblGrid>
      <w:tr>
        <w:tc>
          <w:tcPr>
            <w:tcW w:type="dxa" w:w="160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220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276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Version / Detail</w:t>
            </w:r>
          </w:p>
        </w:tc>
        <w:tc>
          <w:tcPr>
            <w:tcW w:type="dxa" w:w="280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Why This Choice</w:t>
            </w:r>
          </w:p>
        </w:tc>
      </w:tr>
      <w:tr>
        <w:tc>
          <w:tcPr>
            <w:tcW w:type="dxa" w:w="16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1E1B4B"/>
                <w:sz w:val="20"/>
                <w:szCs w:val="20"/>
              </w:rPr>
              <w:t xml:space="preserve">Desktop Shell</w:t>
            </w:r>
          </w:p>
        </w:tc>
        <w:tc>
          <w:tcPr>
            <w:tcW w:type="dxa" w:w="22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Electron</w:t>
            </w:r>
          </w:p>
        </w:tc>
        <w:tc>
          <w:tcPr>
            <w:tcW w:type="dxa" w:w="276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Latest stable</w:t>
            </w:r>
          </w:p>
        </w:tc>
        <w:tc>
          <w:tcPr>
            <w:tcW w:type="dxa" w:w="28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Cross-platform (Win/Mac/Linux), filesystem access, no browser sandbox</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E1B4B"/>
                <w:sz w:val="20"/>
                <w:szCs w:val="20"/>
              </w:rPr>
              <w:t xml:space="preserve">Frontend</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React 18</w:t>
            </w:r>
          </w:p>
        </w:tc>
        <w:tc>
          <w:tcPr>
            <w:tcW w:type="dxa" w:w="27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with Vite build tool</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Fast HMR, component reuse, hooks-based state management</w:t>
            </w:r>
          </w:p>
        </w:tc>
      </w:tr>
      <w:tr>
        <w:tc>
          <w:tcPr>
            <w:tcW w:type="dxa" w:w="16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1E1B4B"/>
                <w:sz w:val="20"/>
                <w:szCs w:val="20"/>
              </w:rPr>
              <w:t xml:space="preserve">Code Editor</w:t>
            </w:r>
          </w:p>
        </w:tc>
        <w:tc>
          <w:tcPr>
            <w:tcW w:type="dxa" w:w="22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Monaco Editor</w:t>
            </w:r>
          </w:p>
        </w:tc>
        <w:tc>
          <w:tcPr>
            <w:tcW w:type="dxa" w:w="276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Same engine as VS Code</w:t>
            </w:r>
          </w:p>
        </w:tc>
        <w:tc>
          <w:tcPr>
            <w:tcW w:type="dxa" w:w="28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Syntax highlighting, IntelliSense-like feel, familiar UX</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E1B4B"/>
                <w:sz w:val="20"/>
                <w:szCs w:val="20"/>
              </w:rPr>
              <w:t xml:space="preserve">Graph Viz</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React Flow</w:t>
            </w:r>
          </w:p>
        </w:tc>
        <w:tc>
          <w:tcPr>
            <w:tcW w:type="dxa" w:w="27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v11+</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Interactive node/edge graphs, drag, zoom, custom node types</w:t>
            </w:r>
          </w:p>
        </w:tc>
      </w:tr>
      <w:tr>
        <w:tc>
          <w:tcPr>
            <w:tcW w:type="dxa" w:w="16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1E1B4B"/>
                <w:sz w:val="20"/>
                <w:szCs w:val="20"/>
              </w:rPr>
              <w:t xml:space="preserve">Backend</w:t>
            </w:r>
          </w:p>
        </w:tc>
        <w:tc>
          <w:tcPr>
            <w:tcW w:type="dxa" w:w="22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FastAPI (Python)</w:t>
            </w:r>
          </w:p>
        </w:tc>
        <w:tc>
          <w:tcPr>
            <w:tcW w:type="dxa" w:w="276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with Uvicorn ASGI</w:t>
            </w:r>
          </w:p>
        </w:tc>
        <w:tc>
          <w:tcPr>
            <w:tcW w:type="dxa" w:w="28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Async REST API, fast startup, auto-docs, easy Python interop</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E1B4B"/>
                <w:sz w:val="20"/>
                <w:szCs w:val="20"/>
              </w:rPr>
              <w:t xml:space="preserve">Code Analysis</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Python AST module</w:t>
            </w:r>
          </w:p>
        </w:tc>
        <w:tc>
          <w:tcPr>
            <w:tcW w:type="dxa" w:w="27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stdlib — no dependencies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100% deterministic, zero latency, no cloud calls, battle-tested</w:t>
            </w:r>
          </w:p>
        </w:tc>
      </w:tr>
      <w:tr>
        <w:tc>
          <w:tcPr>
            <w:tcW w:type="dxa" w:w="16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1E1B4B"/>
                <w:sz w:val="20"/>
                <w:szCs w:val="20"/>
              </w:rPr>
              <w:t xml:space="preserve">Local AI</w:t>
            </w:r>
          </w:p>
        </w:tc>
        <w:tc>
          <w:tcPr>
            <w:tcW w:type="dxa" w:w="22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Ollama</w:t>
            </w:r>
          </w:p>
        </w:tc>
        <w:tc>
          <w:tcPr>
            <w:tcW w:type="dxa" w:w="276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Runtime for local LLMs</w:t>
            </w:r>
          </w:p>
        </w:tc>
        <w:tc>
          <w:tcPr>
            <w:tcW w:type="dxa" w:w="28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One-command setup, supports LLaMA 3, CodeLlama, Mistral</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E1B4B"/>
                <w:sz w:val="20"/>
                <w:szCs w:val="20"/>
              </w:rPr>
              <w:t xml:space="preserve">LLM Models</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LLaMA 3 / CodeLlama / Mistral</w:t>
            </w:r>
          </w:p>
        </w:tc>
        <w:tc>
          <w:tcPr>
            <w:tcW w:type="dxa" w:w="27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7B–13B parameter variants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Best-in-class open-source, code-optimized, 8GB RAM capable</w:t>
            </w:r>
          </w:p>
        </w:tc>
      </w:tr>
      <w:tr>
        <w:tc>
          <w:tcPr>
            <w:tcW w:type="dxa" w:w="16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1E1B4B"/>
                <w:sz w:val="20"/>
                <w:szCs w:val="20"/>
              </w:rPr>
              <w:t xml:space="preserve">Styling</w:t>
            </w:r>
          </w:p>
        </w:tc>
        <w:tc>
          <w:tcPr>
            <w:tcW w:type="dxa" w:w="22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Custom dark-theme CSS</w:t>
            </w:r>
          </w:p>
        </w:tc>
        <w:tc>
          <w:tcPr>
            <w:tcW w:type="dxa" w:w="276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CSS modules</w:t>
            </w:r>
          </w:p>
        </w:tc>
        <w:tc>
          <w:tcPr>
            <w:tcW w:type="dxa" w:w="28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IDE-native feel, reduces eye strain for long coding sessions</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E1B4B"/>
                <w:sz w:val="20"/>
                <w:szCs w:val="20"/>
              </w:rPr>
              <w:t xml:space="preserve">Packaging</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Electron Builder</w:t>
            </w:r>
          </w:p>
        </w:tc>
        <w:tc>
          <w:tcPr>
            <w:tcW w:type="dxa" w:w="27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NSIS / DMG / AppImage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One-click install on all platforms, bundled Ollama optional</w:t>
            </w:r>
          </w:p>
        </w:tc>
      </w:tr>
    </w:tbl>
    <w:p>
      <w:r>
        <w:br w:type="page"/>
      </w:r>
    </w:p>
    <w:p>
      <w:pPr>
        <w:pStyle w:val="Heading1"/>
        <w:spacing w:before="400" w:after="160"/>
      </w:pPr>
      <w:r>
        <w:rPr>
          <w:rFonts w:ascii="Arial" w:cs="Arial" w:eastAsia="Arial" w:hAnsi="Arial"/>
          <w:b/>
          <w:bCs/>
          <w:color w:val="1E1B4B"/>
          <w:sz w:val="40"/>
          <w:szCs w:val="40"/>
        </w:rPr>
        <w:t xml:space="preserve">System Workflow &amp; User Journey</w:t>
      </w:r>
    </w:p>
    <w:p>
      <w:pPr>
        <w:pBdr>
          <w:bottom w:val="single" w:color="4F46E5" w:sz="6" w:space="1"/>
        </w:pBdr>
        <w:spacing w:before="160" w:after="160"/>
      </w:pPr>
    </w:p>
    <w:p>
      <w:pPr>
        <w:pStyle w:val="Heading2"/>
        <w:spacing w:before="280" w:after="120"/>
      </w:pPr>
      <w:r>
        <w:rPr>
          <w:rFonts w:ascii="Arial" w:cs="Arial" w:eastAsia="Arial" w:hAnsi="Arial"/>
          <w:b/>
          <w:bCs/>
          <w:color w:val="4F46E5"/>
          <w:sz w:val="30"/>
          <w:szCs w:val="30"/>
        </w:rPr>
        <w:t xml:space="preserve">Step-by-Step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80"/>
        <w:gridCol w:w="3280"/>
      </w:tblGrid>
      <w:tr>
        <w:tc>
          <w:tcPr>
            <w:tcW w:type="dxa" w:w="60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220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328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What the System Does</w:t>
            </w:r>
          </w:p>
        </w:tc>
        <w:tc>
          <w:tcPr>
            <w:tcW w:type="dxa" w:w="328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User Experience</w:t>
            </w:r>
          </w:p>
        </w:tc>
      </w:tr>
      <w:tr>
        <w:tc>
          <w:tcPr>
            <w:tcW w:type="dxa" w:w="6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4F46E5"/>
                <w:sz w:val="20"/>
                <w:szCs w:val="20"/>
              </w:rPr>
              <w:t xml:space="preserve">1</w:t>
            </w:r>
          </w:p>
        </w:tc>
        <w:tc>
          <w:tcPr>
            <w:tcW w:type="dxa" w:w="22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1E1B4B"/>
                <w:sz w:val="20"/>
                <w:szCs w:val="20"/>
              </w:rPr>
              <w:t xml:space="preserve">Load Codebase</w:t>
            </w:r>
          </w:p>
        </w:tc>
        <w:tc>
          <w:tcPr>
            <w:tcW w:type="dxa" w:w="328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Electron opens filesystem dialog; user selects Python project folder</w:t>
            </w:r>
          </w:p>
        </w:tc>
        <w:tc>
          <w:tcPr>
            <w:tcW w:type="dxa" w:w="328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Single click — no config, no manifest, no setup</w:t>
            </w:r>
          </w:p>
        </w:tc>
      </w:tr>
      <w:tr>
        <w:tc>
          <w:tcPr>
            <w:tcW w:type="dxa" w:w="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4F46E5"/>
                <w:sz w:val="20"/>
                <w:szCs w:val="20"/>
              </w:rPr>
              <w:t xml:space="preserve">2</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E1B4B"/>
                <w:sz w:val="20"/>
                <w:szCs w:val="20"/>
              </w:rPr>
              <w:t xml:space="preserve">Analyze Structure</w:t>
            </w:r>
          </w:p>
        </w:tc>
        <w:tc>
          <w:tcPr>
            <w:tcW w:type="dxa" w:w="32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FastAPI triggers AST parser across all .py files; builds full Knowledge Graph (nodes: functions/classes/modules; edges: calls/imports/inheritance)</w:t>
            </w:r>
          </w:p>
        </w:tc>
        <w:tc>
          <w:tcPr>
            <w:tcW w:type="dxa" w:w="32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Progress bar; completes in seconds even on 50k-line codebases</w:t>
            </w:r>
          </w:p>
        </w:tc>
      </w:tr>
      <w:tr>
        <w:tc>
          <w:tcPr>
            <w:tcW w:type="dxa" w:w="6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4F46E5"/>
                <w:sz w:val="20"/>
                <w:szCs w:val="20"/>
              </w:rPr>
              <w:t xml:space="preserve">3</w:t>
            </w:r>
          </w:p>
        </w:tc>
        <w:tc>
          <w:tcPr>
            <w:tcW w:type="dxa" w:w="22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1E1B4B"/>
                <w:sz w:val="20"/>
                <w:szCs w:val="20"/>
              </w:rPr>
              <w:t xml:space="preserve">Explore Code Map</w:t>
            </w:r>
          </w:p>
        </w:tc>
        <w:tc>
          <w:tcPr>
            <w:tcW w:type="dxa" w:w="328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React Flow renders interactive graph; each node is clickable; edges show call direction; filters available by module/type</w:t>
            </w:r>
          </w:p>
        </w:tc>
        <w:tc>
          <w:tcPr>
            <w:tcW w:type="dxa" w:w="328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Instantly see the architecture — like a Google Maps for your code</w:t>
            </w:r>
          </w:p>
        </w:tc>
      </w:tr>
      <w:tr>
        <w:tc>
          <w:tcPr>
            <w:tcW w:type="dxa" w:w="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4F46E5"/>
                <w:sz w:val="20"/>
                <w:szCs w:val="20"/>
              </w:rPr>
              <w:t xml:space="preserve">4</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E1B4B"/>
                <w:sz w:val="20"/>
                <w:szCs w:val="20"/>
              </w:rPr>
              <w:t xml:space="preserve">Ask a Question</w:t>
            </w:r>
          </w:p>
        </w:tc>
        <w:tc>
          <w:tcPr>
            <w:tcW w:type="dxa" w:w="32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Natural language query is enriched with Knowledge Graph context; sent to local Ollama LLM; response streamed back with AST citations</w:t>
            </w:r>
          </w:p>
        </w:tc>
        <w:tc>
          <w:tcPr>
            <w:tcW w:type="dxa" w:w="32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'How does checkout work?' gets a precise, architecture-aware answer in seconds</w:t>
            </w:r>
          </w:p>
        </w:tc>
      </w:tr>
      <w:tr>
        <w:tc>
          <w:tcPr>
            <w:tcW w:type="dxa" w:w="6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4F46E5"/>
                <w:sz w:val="20"/>
                <w:szCs w:val="20"/>
              </w:rPr>
              <w:t xml:space="preserve">5</w:t>
            </w:r>
          </w:p>
        </w:tc>
        <w:tc>
          <w:tcPr>
            <w:tcW w:type="dxa" w:w="22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1E1B4B"/>
                <w:sz w:val="20"/>
                <w:szCs w:val="20"/>
              </w:rPr>
              <w:t xml:space="preserve">Visualize Execution</w:t>
            </w:r>
          </w:p>
        </w:tc>
        <w:tc>
          <w:tcPr>
            <w:tcW w:type="dxa" w:w="328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For any function, animated execution flow shows: entry point, branching, calls to other functions, return path — with playback speed control</w:t>
            </w:r>
          </w:p>
        </w:tc>
        <w:tc>
          <w:tcPr>
            <w:tcW w:type="dxa" w:w="328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Watch code run like a movie — pause, rewind, step forward</w:t>
            </w:r>
          </w:p>
        </w:tc>
      </w:tr>
      <w:tr>
        <w:tc>
          <w:tcPr>
            <w:tcW w:type="dxa" w:w="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4F46E5"/>
                <w:sz w:val="20"/>
                <w:szCs w:val="20"/>
              </w:rPr>
              <w:t xml:space="preserve">6</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E1B4B"/>
                <w:sz w:val="20"/>
                <w:szCs w:val="20"/>
              </w:rPr>
              <w:t xml:space="preserve">Edit &amp; Explain</w:t>
            </w:r>
          </w:p>
        </w:tc>
        <w:tc>
          <w:tcPr>
            <w:tcW w:type="dxa" w:w="32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Monaco editor open alongside AI panel; select any code block; click 'Explain Selection' for instant context-aware AI explanation</w:t>
            </w:r>
          </w:p>
        </w:tc>
        <w:tc>
          <w:tcPr>
            <w:tcW w:type="dxa" w:w="32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No context switching — editor and AI are side by side</w:t>
            </w:r>
          </w:p>
        </w:tc>
      </w:tr>
    </w:tbl>
    <w:p>
      <w:pPr>
        <w:spacing w:before="60" w:after="60"/>
      </w:pPr>
    </w:p>
    <w:p>
      <w:pPr>
        <w:pStyle w:val="Heading2"/>
        <w:spacing w:before="280" w:after="120"/>
      </w:pPr>
      <w:r>
        <w:rPr>
          <w:rFonts w:ascii="Arial" w:cs="Arial" w:eastAsia="Arial" w:hAnsi="Arial"/>
          <w:b/>
          <w:bCs/>
          <w:color w:val="4F46E5"/>
          <w:sz w:val="30"/>
          <w:szCs w:val="30"/>
        </w:rPr>
        <w:t xml:space="preserve">Example Use Case</w:t>
      </w:r>
    </w:p>
    <w:p>
      <w:pPr>
        <w:shd w:fill="EEF2FF" w:val="clear"/>
        <w:spacing w:before="120" w:after="120"/>
        <w:ind w:left="360" w:right="360"/>
      </w:pPr>
      <w:r>
        <w:rPr>
          <w:rFonts w:ascii="Arial" w:cs="Arial" w:eastAsia="Arial" w:hAnsi="Arial"/>
          <w:i/>
          <w:iCs/>
          <w:color w:val="1E1B4B"/>
          <w:sz w:val="21"/>
          <w:szCs w:val="21"/>
        </w:rPr>
        <w:t xml:space="preserve">A developer joins a team with a 10-year-old, undocumented Python e-commerce platform (150+ files, 80,000 lines). Day 1: they open Chillax.AI, load the folder. In 8 seconds, the full architecture appears as an interactive graph. They ask: 'How does the payment reconciliation flow work?' — and get a precise, step-by-step answer citing actual functions and their relationships. All offline. All private. First meaningful PR: Day 3 instead of Day 45.</w:t>
      </w:r>
    </w:p>
    <w:p>
      <w:r>
        <w:br w:type="page"/>
      </w:r>
    </w:p>
    <w:p>
      <w:pPr>
        <w:pStyle w:val="Heading1"/>
        <w:spacing w:before="400" w:after="160"/>
      </w:pPr>
      <w:r>
        <w:rPr>
          <w:rFonts w:ascii="Arial" w:cs="Arial" w:eastAsia="Arial" w:hAnsi="Arial"/>
          <w:b/>
          <w:bCs/>
          <w:color w:val="1E1B4B"/>
          <w:sz w:val="40"/>
          <w:szCs w:val="40"/>
        </w:rPr>
        <w:t xml:space="preserve">Competitive Analysis</w:t>
      </w:r>
    </w:p>
    <w:p>
      <w:pPr>
        <w:pBdr>
          <w:bottom w:val="single" w:color="4F46E5" w:sz="6"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0"/>
        <w:gridCol w:w="1430"/>
        <w:gridCol w:w="1430"/>
        <w:gridCol w:w="1430"/>
        <w:gridCol w:w="1440"/>
      </w:tblGrid>
      <w:tr>
        <w:tc>
          <w:tcPr>
            <w:tcW w:type="dxa" w:w="220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Capability</w:t>
            </w:r>
          </w:p>
        </w:tc>
        <w:tc>
          <w:tcPr>
            <w:tcW w:type="dxa" w:w="143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GitHub Copilot</w:t>
            </w:r>
          </w:p>
        </w:tc>
        <w:tc>
          <w:tcPr>
            <w:tcW w:type="dxa" w:w="143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ChatGPT</w:t>
            </w:r>
          </w:p>
        </w:tc>
        <w:tc>
          <w:tcPr>
            <w:tcW w:type="dxa" w:w="143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Sourcegraph Cody</w:t>
            </w:r>
          </w:p>
        </w:tc>
        <w:tc>
          <w:tcPr>
            <w:tcW w:type="dxa" w:w="143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Cursor AI</w:t>
            </w:r>
          </w:p>
        </w:tc>
        <w:tc>
          <w:tcPr>
            <w:tcW w:type="dxa" w:w="144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Chillax.AI</w:t>
            </w:r>
          </w:p>
        </w:tc>
      </w:tr>
      <w:tr>
        <w:tc>
          <w:tcPr>
            <w:tcW w:type="dxa" w:w="22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100% Offline</w:t>
            </w:r>
          </w:p>
        </w:tc>
        <w:tc>
          <w:tcPr>
            <w:tcW w:type="dxa" w:w="143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tcPr>
          <w:p>
            <w:r>
              <w:rPr>
                <w:rFonts w:ascii="Arial" w:cs="Arial" w:eastAsia="Arial" w:hAnsi="Arial"/>
                <w:b w:val="false"/>
                <w:bCs w:val="false"/>
                <w:color w:val="991B1B"/>
                <w:sz w:val="20"/>
                <w:szCs w:val="20"/>
              </w:rPr>
              <w:t xml:space="preserve">No</w:t>
            </w:r>
          </w:p>
        </w:tc>
        <w:tc>
          <w:tcPr>
            <w:tcW w:type="dxa" w:w="143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tcPr>
          <w:p>
            <w:r>
              <w:rPr>
                <w:rFonts w:ascii="Arial" w:cs="Arial" w:eastAsia="Arial" w:hAnsi="Arial"/>
                <w:b w:val="false"/>
                <w:bCs w:val="false"/>
                <w:color w:val="991B1B"/>
                <w:sz w:val="20"/>
                <w:szCs w:val="20"/>
              </w:rPr>
              <w:t xml:space="preserve">No</w:t>
            </w:r>
          </w:p>
        </w:tc>
        <w:tc>
          <w:tcPr>
            <w:tcW w:type="dxa" w:w="143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tcPr>
          <w:p>
            <w:r>
              <w:rPr>
                <w:rFonts w:ascii="Arial" w:cs="Arial" w:eastAsia="Arial" w:hAnsi="Arial"/>
                <w:b w:val="false"/>
                <w:bCs w:val="false"/>
                <w:color w:val="991B1B"/>
                <w:sz w:val="20"/>
                <w:szCs w:val="20"/>
              </w:rPr>
              <w:t xml:space="preserve">No</w:t>
            </w:r>
          </w:p>
        </w:tc>
        <w:tc>
          <w:tcPr>
            <w:tcW w:type="dxa" w:w="143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tcPr>
          <w:p>
            <w:r>
              <w:rPr>
                <w:rFonts w:ascii="Arial" w:cs="Arial" w:eastAsia="Arial" w:hAnsi="Arial"/>
                <w:b w:val="false"/>
                <w:bCs w:val="false"/>
                <w:color w:val="991B1B"/>
                <w:sz w:val="20"/>
                <w:szCs w:val="20"/>
              </w:rPr>
              <w:t xml:space="preserve">No</w:t>
            </w:r>
          </w:p>
        </w:tc>
        <w:tc>
          <w:tcPr>
            <w:tcW w:type="dxa" w:w="1440"/>
            <w:tcBorders>
              <w:top w:val="single" w:color="E5E7EB" w:sz="1"/>
              <w:left w:val="single" w:color="E5E7EB" w:sz="1"/>
              <w:bottom w:val="single" w:color="E5E7EB" w:sz="1"/>
              <w:right w:val="single" w:color="E5E7EB" w:sz="1"/>
            </w:tcBorders>
            <w:shd w:fill="D1FAE5" w:val="clear"/>
            <w:tcMar>
              <w:top w:type="dxa" w:w="100"/>
              <w:left w:type="dxa" w:w="150"/>
              <w:bottom w:type="dxa" w:w="100"/>
              <w:right w:type="dxa" w:w="150"/>
            </w:tcMar>
          </w:tcPr>
          <w:p>
            <w:r>
              <w:rPr>
                <w:rFonts w:ascii="Arial" w:cs="Arial" w:eastAsia="Arial" w:hAnsi="Arial"/>
                <w:b/>
                <w:bCs/>
                <w:color w:val="065F46"/>
                <w:sz w:val="20"/>
                <w:szCs w:val="20"/>
              </w:rPr>
              <w:t xml:space="preserve">YES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Visual Code Graph</w:t>
            </w:r>
          </w:p>
        </w:tc>
        <w:tc>
          <w:tcPr>
            <w:tcW w:type="dxa" w:w="143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tcPr>
          <w:p>
            <w:r>
              <w:rPr>
                <w:rFonts w:ascii="Arial" w:cs="Arial" w:eastAsia="Arial" w:hAnsi="Arial"/>
                <w:b w:val="false"/>
                <w:bCs w:val="false"/>
                <w:color w:val="991B1B"/>
                <w:sz w:val="20"/>
                <w:szCs w:val="20"/>
              </w:rPr>
              <w:t xml:space="preserve">No</w:t>
            </w:r>
          </w:p>
        </w:tc>
        <w:tc>
          <w:tcPr>
            <w:tcW w:type="dxa" w:w="143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tcPr>
          <w:p>
            <w:r>
              <w:rPr>
                <w:rFonts w:ascii="Arial" w:cs="Arial" w:eastAsia="Arial" w:hAnsi="Arial"/>
                <w:b w:val="false"/>
                <w:bCs w:val="false"/>
                <w:color w:val="991B1B"/>
                <w:sz w:val="20"/>
                <w:szCs w:val="20"/>
              </w:rPr>
              <w:t xml:space="preserve">No</w:t>
            </w:r>
          </w:p>
        </w:tc>
        <w:tc>
          <w:tcPr>
            <w:tcW w:type="dxa" w:w="143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tcPr>
          <w:p>
            <w:r>
              <w:rPr>
                <w:rFonts w:ascii="Arial" w:cs="Arial" w:eastAsia="Arial" w:hAnsi="Arial"/>
                <w:b w:val="false"/>
                <w:bCs w:val="false"/>
                <w:color w:val="92400E"/>
                <w:sz w:val="20"/>
                <w:szCs w:val="20"/>
              </w:rPr>
              <w:t xml:space="preserve">Partial</w:t>
            </w:r>
          </w:p>
        </w:tc>
        <w:tc>
          <w:tcPr>
            <w:tcW w:type="dxa" w:w="143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tcPr>
          <w:p>
            <w:r>
              <w:rPr>
                <w:rFonts w:ascii="Arial" w:cs="Arial" w:eastAsia="Arial" w:hAnsi="Arial"/>
                <w:b w:val="false"/>
                <w:bCs w:val="false"/>
                <w:color w:val="991B1B"/>
                <w:sz w:val="20"/>
                <w:szCs w:val="20"/>
              </w:rPr>
              <w:t xml:space="preserve">No</w:t>
            </w:r>
          </w:p>
        </w:tc>
        <w:tc>
          <w:tcPr>
            <w:tcW w:type="dxa" w:w="1440"/>
            <w:tcBorders>
              <w:top w:val="single" w:color="E5E7EB" w:sz="1"/>
              <w:left w:val="single" w:color="E5E7EB" w:sz="1"/>
              <w:bottom w:val="single" w:color="E5E7EB" w:sz="1"/>
              <w:right w:val="single" w:color="E5E7EB" w:sz="1"/>
            </w:tcBorders>
            <w:shd w:fill="D1FAE5" w:val="clear"/>
            <w:tcMar>
              <w:top w:type="dxa" w:w="100"/>
              <w:left w:type="dxa" w:w="150"/>
              <w:bottom w:type="dxa" w:w="100"/>
              <w:right w:type="dxa" w:w="150"/>
            </w:tcMar>
          </w:tcPr>
          <w:p>
            <w:r>
              <w:rPr>
                <w:rFonts w:ascii="Arial" w:cs="Arial" w:eastAsia="Arial" w:hAnsi="Arial"/>
                <w:b/>
                <w:bCs/>
                <w:color w:val="065F46"/>
                <w:sz w:val="20"/>
                <w:szCs w:val="20"/>
              </w:rPr>
              <w:t xml:space="preserve">YES</w:t>
            </w:r>
          </w:p>
        </w:tc>
      </w:tr>
      <w:tr>
        <w:tc>
          <w:tcPr>
            <w:tcW w:type="dxa" w:w="22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Execution Animation</w:t>
            </w:r>
          </w:p>
        </w:tc>
        <w:tc>
          <w:tcPr>
            <w:tcW w:type="dxa" w:w="143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tcPr>
          <w:p>
            <w:r>
              <w:rPr>
                <w:rFonts w:ascii="Arial" w:cs="Arial" w:eastAsia="Arial" w:hAnsi="Arial"/>
                <w:b w:val="false"/>
                <w:bCs w:val="false"/>
                <w:color w:val="991B1B"/>
                <w:sz w:val="20"/>
                <w:szCs w:val="20"/>
              </w:rPr>
              <w:t xml:space="preserve">No</w:t>
            </w:r>
          </w:p>
        </w:tc>
        <w:tc>
          <w:tcPr>
            <w:tcW w:type="dxa" w:w="143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tcPr>
          <w:p>
            <w:r>
              <w:rPr>
                <w:rFonts w:ascii="Arial" w:cs="Arial" w:eastAsia="Arial" w:hAnsi="Arial"/>
                <w:b w:val="false"/>
                <w:bCs w:val="false"/>
                <w:color w:val="991B1B"/>
                <w:sz w:val="20"/>
                <w:szCs w:val="20"/>
              </w:rPr>
              <w:t xml:space="preserve">No</w:t>
            </w:r>
          </w:p>
        </w:tc>
        <w:tc>
          <w:tcPr>
            <w:tcW w:type="dxa" w:w="143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tcPr>
          <w:p>
            <w:r>
              <w:rPr>
                <w:rFonts w:ascii="Arial" w:cs="Arial" w:eastAsia="Arial" w:hAnsi="Arial"/>
                <w:b w:val="false"/>
                <w:bCs w:val="false"/>
                <w:color w:val="991B1B"/>
                <w:sz w:val="20"/>
                <w:szCs w:val="20"/>
              </w:rPr>
              <w:t xml:space="preserve">No</w:t>
            </w:r>
          </w:p>
        </w:tc>
        <w:tc>
          <w:tcPr>
            <w:tcW w:type="dxa" w:w="143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tcPr>
          <w:p>
            <w:r>
              <w:rPr>
                <w:rFonts w:ascii="Arial" w:cs="Arial" w:eastAsia="Arial" w:hAnsi="Arial"/>
                <w:b w:val="false"/>
                <w:bCs w:val="false"/>
                <w:color w:val="991B1B"/>
                <w:sz w:val="20"/>
                <w:szCs w:val="20"/>
              </w:rPr>
              <w:t xml:space="preserve">No</w:t>
            </w:r>
          </w:p>
        </w:tc>
        <w:tc>
          <w:tcPr>
            <w:tcW w:type="dxa" w:w="1440"/>
            <w:tcBorders>
              <w:top w:val="single" w:color="E5E7EB" w:sz="1"/>
              <w:left w:val="single" w:color="E5E7EB" w:sz="1"/>
              <w:bottom w:val="single" w:color="E5E7EB" w:sz="1"/>
              <w:right w:val="single" w:color="E5E7EB" w:sz="1"/>
            </w:tcBorders>
            <w:shd w:fill="D1FAE5" w:val="clear"/>
            <w:tcMar>
              <w:top w:type="dxa" w:w="100"/>
              <w:left w:type="dxa" w:w="150"/>
              <w:bottom w:type="dxa" w:w="100"/>
              <w:right w:type="dxa" w:w="150"/>
            </w:tcMar>
          </w:tcPr>
          <w:p>
            <w:r>
              <w:rPr>
                <w:rFonts w:ascii="Arial" w:cs="Arial" w:eastAsia="Arial" w:hAnsi="Arial"/>
                <w:b/>
                <w:bCs/>
                <w:color w:val="065F46"/>
                <w:sz w:val="20"/>
                <w:szCs w:val="20"/>
              </w:rPr>
              <w:t xml:space="preserve">YES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Zero Data Leaves Machine</w:t>
            </w:r>
          </w:p>
        </w:tc>
        <w:tc>
          <w:tcPr>
            <w:tcW w:type="dxa" w:w="143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tcPr>
          <w:p>
            <w:r>
              <w:rPr>
                <w:rFonts w:ascii="Arial" w:cs="Arial" w:eastAsia="Arial" w:hAnsi="Arial"/>
                <w:b w:val="false"/>
                <w:bCs w:val="false"/>
                <w:color w:val="991B1B"/>
                <w:sz w:val="20"/>
                <w:szCs w:val="20"/>
              </w:rPr>
              <w:t xml:space="preserve">No</w:t>
            </w:r>
          </w:p>
        </w:tc>
        <w:tc>
          <w:tcPr>
            <w:tcW w:type="dxa" w:w="143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tcPr>
          <w:p>
            <w:r>
              <w:rPr>
                <w:rFonts w:ascii="Arial" w:cs="Arial" w:eastAsia="Arial" w:hAnsi="Arial"/>
                <w:b w:val="false"/>
                <w:bCs w:val="false"/>
                <w:color w:val="991B1B"/>
                <w:sz w:val="20"/>
                <w:szCs w:val="20"/>
              </w:rPr>
              <w:t xml:space="preserve">No</w:t>
            </w:r>
          </w:p>
        </w:tc>
        <w:tc>
          <w:tcPr>
            <w:tcW w:type="dxa" w:w="143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tcPr>
          <w:p>
            <w:r>
              <w:rPr>
                <w:rFonts w:ascii="Arial" w:cs="Arial" w:eastAsia="Arial" w:hAnsi="Arial"/>
                <w:b w:val="false"/>
                <w:bCs w:val="false"/>
                <w:color w:val="991B1B"/>
                <w:sz w:val="20"/>
                <w:szCs w:val="20"/>
              </w:rPr>
              <w:t xml:space="preserve">No</w:t>
            </w:r>
          </w:p>
        </w:tc>
        <w:tc>
          <w:tcPr>
            <w:tcW w:type="dxa" w:w="143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tcPr>
          <w:p>
            <w:r>
              <w:rPr>
                <w:rFonts w:ascii="Arial" w:cs="Arial" w:eastAsia="Arial" w:hAnsi="Arial"/>
                <w:b w:val="false"/>
                <w:bCs w:val="false"/>
                <w:color w:val="92400E"/>
                <w:sz w:val="20"/>
                <w:szCs w:val="20"/>
              </w:rPr>
              <w:t xml:space="preserve">Partial</w:t>
            </w:r>
          </w:p>
        </w:tc>
        <w:tc>
          <w:tcPr>
            <w:tcW w:type="dxa" w:w="1440"/>
            <w:tcBorders>
              <w:top w:val="single" w:color="E5E7EB" w:sz="1"/>
              <w:left w:val="single" w:color="E5E7EB" w:sz="1"/>
              <w:bottom w:val="single" w:color="E5E7EB" w:sz="1"/>
              <w:right w:val="single" w:color="E5E7EB" w:sz="1"/>
            </w:tcBorders>
            <w:shd w:fill="D1FAE5" w:val="clear"/>
            <w:tcMar>
              <w:top w:type="dxa" w:w="100"/>
              <w:left w:type="dxa" w:w="150"/>
              <w:bottom w:type="dxa" w:w="100"/>
              <w:right w:type="dxa" w:w="150"/>
            </w:tcMar>
          </w:tcPr>
          <w:p>
            <w:r>
              <w:rPr>
                <w:rFonts w:ascii="Arial" w:cs="Arial" w:eastAsia="Arial" w:hAnsi="Arial"/>
                <w:b/>
                <w:bCs/>
                <w:color w:val="065F46"/>
                <w:sz w:val="20"/>
                <w:szCs w:val="20"/>
              </w:rPr>
              <w:t xml:space="preserve">YES</w:t>
            </w:r>
          </w:p>
        </w:tc>
      </w:tr>
      <w:tr>
        <w:tc>
          <w:tcPr>
            <w:tcW w:type="dxa" w:w="22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Neuro-Symbolic AI (AST+LLM)</w:t>
            </w:r>
          </w:p>
        </w:tc>
        <w:tc>
          <w:tcPr>
            <w:tcW w:type="dxa" w:w="143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tcPr>
          <w:p>
            <w:r>
              <w:rPr>
                <w:rFonts w:ascii="Arial" w:cs="Arial" w:eastAsia="Arial" w:hAnsi="Arial"/>
                <w:b w:val="false"/>
                <w:bCs w:val="false"/>
                <w:color w:val="991B1B"/>
                <w:sz w:val="20"/>
                <w:szCs w:val="20"/>
              </w:rPr>
              <w:t xml:space="preserve">No</w:t>
            </w:r>
          </w:p>
        </w:tc>
        <w:tc>
          <w:tcPr>
            <w:tcW w:type="dxa" w:w="143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tcPr>
          <w:p>
            <w:r>
              <w:rPr>
                <w:rFonts w:ascii="Arial" w:cs="Arial" w:eastAsia="Arial" w:hAnsi="Arial"/>
                <w:b w:val="false"/>
                <w:bCs w:val="false"/>
                <w:color w:val="991B1B"/>
                <w:sz w:val="20"/>
                <w:szCs w:val="20"/>
              </w:rPr>
              <w:t xml:space="preserve">No</w:t>
            </w:r>
          </w:p>
        </w:tc>
        <w:tc>
          <w:tcPr>
            <w:tcW w:type="dxa" w:w="143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tcPr>
          <w:p>
            <w:r>
              <w:rPr>
                <w:rFonts w:ascii="Arial" w:cs="Arial" w:eastAsia="Arial" w:hAnsi="Arial"/>
                <w:b w:val="false"/>
                <w:bCs w:val="false"/>
                <w:color w:val="991B1B"/>
                <w:sz w:val="20"/>
                <w:szCs w:val="20"/>
              </w:rPr>
              <w:t xml:space="preserve">No</w:t>
            </w:r>
          </w:p>
        </w:tc>
        <w:tc>
          <w:tcPr>
            <w:tcW w:type="dxa" w:w="143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tcPr>
          <w:p>
            <w:r>
              <w:rPr>
                <w:rFonts w:ascii="Arial" w:cs="Arial" w:eastAsia="Arial" w:hAnsi="Arial"/>
                <w:b w:val="false"/>
                <w:bCs w:val="false"/>
                <w:color w:val="991B1B"/>
                <w:sz w:val="20"/>
                <w:szCs w:val="20"/>
              </w:rPr>
              <w:t xml:space="preserve">No</w:t>
            </w:r>
          </w:p>
        </w:tc>
        <w:tc>
          <w:tcPr>
            <w:tcW w:type="dxa" w:w="1440"/>
            <w:tcBorders>
              <w:top w:val="single" w:color="E5E7EB" w:sz="1"/>
              <w:left w:val="single" w:color="E5E7EB" w:sz="1"/>
              <w:bottom w:val="single" w:color="E5E7EB" w:sz="1"/>
              <w:right w:val="single" w:color="E5E7EB" w:sz="1"/>
            </w:tcBorders>
            <w:shd w:fill="D1FAE5" w:val="clear"/>
            <w:tcMar>
              <w:top w:type="dxa" w:w="100"/>
              <w:left w:type="dxa" w:w="150"/>
              <w:bottom w:type="dxa" w:w="100"/>
              <w:right w:type="dxa" w:w="150"/>
            </w:tcMar>
          </w:tcPr>
          <w:p>
            <w:r>
              <w:rPr>
                <w:rFonts w:ascii="Arial" w:cs="Arial" w:eastAsia="Arial" w:hAnsi="Arial"/>
                <w:b/>
                <w:bCs/>
                <w:color w:val="065F46"/>
                <w:sz w:val="20"/>
                <w:szCs w:val="20"/>
              </w:rPr>
              <w:t xml:space="preserve">YES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Whole-System Understanding</w:t>
            </w:r>
          </w:p>
        </w:tc>
        <w:tc>
          <w:tcPr>
            <w:tcW w:type="dxa" w:w="143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tcPr>
          <w:p>
            <w:r>
              <w:rPr>
                <w:rFonts w:ascii="Arial" w:cs="Arial" w:eastAsia="Arial" w:hAnsi="Arial"/>
                <w:b w:val="false"/>
                <w:bCs w:val="false"/>
                <w:color w:val="991B1B"/>
                <w:sz w:val="20"/>
                <w:szCs w:val="20"/>
              </w:rPr>
              <w:t xml:space="preserve">No</w:t>
            </w:r>
          </w:p>
        </w:tc>
        <w:tc>
          <w:tcPr>
            <w:tcW w:type="dxa" w:w="143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tcPr>
          <w:p>
            <w:r>
              <w:rPr>
                <w:rFonts w:ascii="Arial" w:cs="Arial" w:eastAsia="Arial" w:hAnsi="Arial"/>
                <w:b w:val="false"/>
                <w:bCs w:val="false"/>
                <w:color w:val="92400E"/>
                <w:sz w:val="20"/>
                <w:szCs w:val="20"/>
              </w:rPr>
              <w:t xml:space="preserve">Partial</w:t>
            </w:r>
          </w:p>
        </w:tc>
        <w:tc>
          <w:tcPr>
            <w:tcW w:type="dxa" w:w="143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tcPr>
          <w:p>
            <w:r>
              <w:rPr>
                <w:rFonts w:ascii="Arial" w:cs="Arial" w:eastAsia="Arial" w:hAnsi="Arial"/>
                <w:b w:val="false"/>
                <w:bCs w:val="false"/>
                <w:color w:val="92400E"/>
                <w:sz w:val="20"/>
                <w:szCs w:val="20"/>
              </w:rPr>
              <w:t xml:space="preserve">Partial</w:t>
            </w:r>
          </w:p>
        </w:tc>
        <w:tc>
          <w:tcPr>
            <w:tcW w:type="dxa" w:w="143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tcPr>
          <w:p>
            <w:r>
              <w:rPr>
                <w:rFonts w:ascii="Arial" w:cs="Arial" w:eastAsia="Arial" w:hAnsi="Arial"/>
                <w:b w:val="false"/>
                <w:bCs w:val="false"/>
                <w:color w:val="92400E"/>
                <w:sz w:val="20"/>
                <w:szCs w:val="20"/>
              </w:rPr>
              <w:t xml:space="preserve">Partial</w:t>
            </w:r>
          </w:p>
        </w:tc>
        <w:tc>
          <w:tcPr>
            <w:tcW w:type="dxa" w:w="1440"/>
            <w:tcBorders>
              <w:top w:val="single" w:color="E5E7EB" w:sz="1"/>
              <w:left w:val="single" w:color="E5E7EB" w:sz="1"/>
              <w:bottom w:val="single" w:color="E5E7EB" w:sz="1"/>
              <w:right w:val="single" w:color="E5E7EB" w:sz="1"/>
            </w:tcBorders>
            <w:shd w:fill="D1FAE5" w:val="clear"/>
            <w:tcMar>
              <w:top w:type="dxa" w:w="100"/>
              <w:left w:type="dxa" w:w="150"/>
              <w:bottom w:type="dxa" w:w="100"/>
              <w:right w:type="dxa" w:w="150"/>
            </w:tcMar>
          </w:tcPr>
          <w:p>
            <w:r>
              <w:rPr>
                <w:rFonts w:ascii="Arial" w:cs="Arial" w:eastAsia="Arial" w:hAnsi="Arial"/>
                <w:b/>
                <w:bCs/>
                <w:color w:val="065F46"/>
                <w:sz w:val="20"/>
                <w:szCs w:val="20"/>
              </w:rPr>
              <w:t xml:space="preserve">YES</w:t>
            </w:r>
          </w:p>
        </w:tc>
      </w:tr>
      <w:tr>
        <w:tc>
          <w:tcPr>
            <w:tcW w:type="dxa" w:w="22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Legacy Code Specialization</w:t>
            </w:r>
          </w:p>
        </w:tc>
        <w:tc>
          <w:tcPr>
            <w:tcW w:type="dxa" w:w="143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tcPr>
          <w:p>
            <w:r>
              <w:rPr>
                <w:rFonts w:ascii="Arial" w:cs="Arial" w:eastAsia="Arial" w:hAnsi="Arial"/>
                <w:b w:val="false"/>
                <w:bCs w:val="false"/>
                <w:color w:val="991B1B"/>
                <w:sz w:val="20"/>
                <w:szCs w:val="20"/>
              </w:rPr>
              <w:t xml:space="preserve">No</w:t>
            </w:r>
          </w:p>
        </w:tc>
        <w:tc>
          <w:tcPr>
            <w:tcW w:type="dxa" w:w="143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tcPr>
          <w:p>
            <w:r>
              <w:rPr>
                <w:rFonts w:ascii="Arial" w:cs="Arial" w:eastAsia="Arial" w:hAnsi="Arial"/>
                <w:b w:val="false"/>
                <w:bCs w:val="false"/>
                <w:color w:val="991B1B"/>
                <w:sz w:val="20"/>
                <w:szCs w:val="20"/>
              </w:rPr>
              <w:t xml:space="preserve">No</w:t>
            </w:r>
          </w:p>
        </w:tc>
        <w:tc>
          <w:tcPr>
            <w:tcW w:type="dxa" w:w="143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tcPr>
          <w:p>
            <w:r>
              <w:rPr>
                <w:rFonts w:ascii="Arial" w:cs="Arial" w:eastAsia="Arial" w:hAnsi="Arial"/>
                <w:b w:val="false"/>
                <w:bCs w:val="false"/>
                <w:color w:val="991B1B"/>
                <w:sz w:val="20"/>
                <w:szCs w:val="20"/>
              </w:rPr>
              <w:t xml:space="preserve">No</w:t>
            </w:r>
          </w:p>
        </w:tc>
        <w:tc>
          <w:tcPr>
            <w:tcW w:type="dxa" w:w="1430"/>
            <w:tcBorders>
              <w:top w:val="single" w:color="E5E7EB" w:sz="1"/>
              <w:left w:val="single" w:color="E5E7EB" w:sz="1"/>
              <w:bottom w:val="single" w:color="E5E7EB" w:sz="1"/>
              <w:right w:val="single" w:color="E5E7EB" w:sz="1"/>
            </w:tcBorders>
            <w:shd w:fill="FEE2E2" w:val="clear"/>
            <w:tcMar>
              <w:top w:type="dxa" w:w="100"/>
              <w:left w:type="dxa" w:w="150"/>
              <w:bottom w:type="dxa" w:w="100"/>
              <w:right w:type="dxa" w:w="150"/>
            </w:tcMar>
          </w:tcPr>
          <w:p>
            <w:r>
              <w:rPr>
                <w:rFonts w:ascii="Arial" w:cs="Arial" w:eastAsia="Arial" w:hAnsi="Arial"/>
                <w:b w:val="false"/>
                <w:bCs w:val="false"/>
                <w:color w:val="991B1B"/>
                <w:sz w:val="20"/>
                <w:szCs w:val="20"/>
              </w:rPr>
              <w:t xml:space="preserve">No</w:t>
            </w:r>
          </w:p>
        </w:tc>
        <w:tc>
          <w:tcPr>
            <w:tcW w:type="dxa" w:w="1440"/>
            <w:tcBorders>
              <w:top w:val="single" w:color="E5E7EB" w:sz="1"/>
              <w:left w:val="single" w:color="E5E7EB" w:sz="1"/>
              <w:bottom w:val="single" w:color="E5E7EB" w:sz="1"/>
              <w:right w:val="single" w:color="E5E7EB" w:sz="1"/>
            </w:tcBorders>
            <w:shd w:fill="D1FAE5" w:val="clear"/>
            <w:tcMar>
              <w:top w:type="dxa" w:w="100"/>
              <w:left w:type="dxa" w:w="150"/>
              <w:bottom w:type="dxa" w:w="100"/>
              <w:right w:type="dxa" w:w="150"/>
            </w:tcMar>
          </w:tcPr>
          <w:p>
            <w:r>
              <w:rPr>
                <w:rFonts w:ascii="Arial" w:cs="Arial" w:eastAsia="Arial" w:hAnsi="Arial"/>
                <w:b/>
                <w:bCs/>
                <w:color w:val="065F46"/>
                <w:sz w:val="20"/>
                <w:szCs w:val="20"/>
              </w:rPr>
              <w:t xml:space="preserve">YES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Standalone Desktop App</w:t>
            </w:r>
          </w:p>
        </w:tc>
        <w:tc>
          <w:tcPr>
            <w:tcW w:type="dxa" w:w="143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6B7280"/>
                <w:sz w:val="20"/>
                <w:szCs w:val="20"/>
              </w:rPr>
              <w:t xml:space="preserve">IDE Plugin</w:t>
            </w:r>
          </w:p>
        </w:tc>
        <w:tc>
          <w:tcPr>
            <w:tcW w:type="dxa" w:w="143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6B7280"/>
                <w:sz w:val="20"/>
                <w:szCs w:val="20"/>
              </w:rPr>
              <w:t xml:space="preserve">Web Only</w:t>
            </w:r>
          </w:p>
        </w:tc>
        <w:tc>
          <w:tcPr>
            <w:tcW w:type="dxa" w:w="143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6B7280"/>
                <w:sz w:val="20"/>
                <w:szCs w:val="20"/>
              </w:rPr>
              <w:t xml:space="preserve">IDE Plugin</w:t>
            </w:r>
          </w:p>
        </w:tc>
        <w:tc>
          <w:tcPr>
            <w:tcW w:type="dxa" w:w="143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6B7280"/>
                <w:sz w:val="20"/>
                <w:szCs w:val="20"/>
              </w:rPr>
              <w:t xml:space="preserve">IDE Fork</w:t>
            </w:r>
          </w:p>
        </w:tc>
        <w:tc>
          <w:tcPr>
            <w:tcW w:type="dxa" w:w="1440"/>
            <w:tcBorders>
              <w:top w:val="single" w:color="E5E7EB" w:sz="1"/>
              <w:left w:val="single" w:color="E5E7EB" w:sz="1"/>
              <w:bottom w:val="single" w:color="E5E7EB" w:sz="1"/>
              <w:right w:val="single" w:color="E5E7EB" w:sz="1"/>
            </w:tcBorders>
            <w:shd w:fill="D1FAE5" w:val="clear"/>
            <w:tcMar>
              <w:top w:type="dxa" w:w="100"/>
              <w:left w:type="dxa" w:w="150"/>
              <w:bottom w:type="dxa" w:w="100"/>
              <w:right w:type="dxa" w:w="150"/>
            </w:tcMar>
          </w:tcPr>
          <w:p>
            <w:r>
              <w:rPr>
                <w:rFonts w:ascii="Arial" w:cs="Arial" w:eastAsia="Arial" w:hAnsi="Arial"/>
                <w:b/>
                <w:bCs/>
                <w:color w:val="065F46"/>
                <w:sz w:val="20"/>
                <w:szCs w:val="20"/>
              </w:rPr>
              <w:t xml:space="preserve">YES</w:t>
            </w:r>
          </w:p>
        </w:tc>
      </w:tr>
    </w:tbl>
    <w:p>
      <w:pPr>
        <w:spacing w:before="60" w:after="60"/>
      </w:pPr>
    </w:p>
    <w:p>
      <w:pPr>
        <w:shd w:fill="EEF2FF" w:val="clear"/>
        <w:spacing w:before="120" w:after="120"/>
        <w:ind w:left="360" w:right="360"/>
      </w:pPr>
      <w:r>
        <w:rPr>
          <w:rFonts w:ascii="Arial" w:cs="Arial" w:eastAsia="Arial" w:hAnsi="Arial"/>
          <w:i/>
          <w:iCs/>
          <w:color w:val="1E1B4B"/>
          <w:sz w:val="21"/>
          <w:szCs w:val="21"/>
        </w:rPr>
        <w:t xml:space="preserve">Chillax.AI is the only tool that combines offline operation, system-level visual understanding, and animated execution flow in a single standalone application. It occupies a completely uncontested position in the developer tooling market.</w:t>
      </w:r>
    </w:p>
    <w:p>
      <w:r>
        <w:br w:type="page"/>
      </w:r>
    </w:p>
    <w:p>
      <w:pPr>
        <w:pStyle w:val="Heading1"/>
        <w:spacing w:before="400" w:after="160"/>
      </w:pPr>
      <w:r>
        <w:rPr>
          <w:rFonts w:ascii="Arial" w:cs="Arial" w:eastAsia="Arial" w:hAnsi="Arial"/>
          <w:b/>
          <w:bCs/>
          <w:color w:val="1E1B4B"/>
          <w:sz w:val="40"/>
          <w:szCs w:val="40"/>
        </w:rPr>
        <w:t xml:space="preserve">Business Model Canvas</w:t>
      </w:r>
    </w:p>
    <w:p>
      <w:pPr>
        <w:pBdr>
          <w:bottom w:val="single" w:color="4F46E5" w:sz="6"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Key Partners</w:t>
            </w:r>
          </w:p>
          <w:p>
            <w:pPr>
              <w:spacing w:before="60" w:after="0"/>
            </w:pPr>
            <w:r>
              <w:rPr>
                <w:rFonts w:ascii="Arial" w:cs="Arial" w:eastAsia="Arial" w:hAnsi="Arial"/>
                <w:color w:val="FFFFFF"/>
                <w:sz w:val="18"/>
                <w:szCs w:val="18"/>
              </w:rPr>
              <w:t xml:space="preserve">Ollama (local LLM runtime)</w:t>
            </w:r>
          </w:p>
          <w:p>
            <w:pPr>
              <w:spacing w:before="40" w:after="0"/>
            </w:pPr>
            <w:r>
              <w:rPr>
                <w:rFonts w:ascii="Arial" w:cs="Arial" w:eastAsia="Arial" w:hAnsi="Arial"/>
                <w:color w:val="FFFFFF"/>
                <w:sz w:val="18"/>
                <w:szCs w:val="18"/>
              </w:rPr>
              <w:t xml:space="preserve">Meta AI (LLaMA open weights)</w:t>
            </w:r>
          </w:p>
          <w:p>
            <w:pPr>
              <w:spacing w:before="40" w:after="0"/>
            </w:pPr>
            <w:r>
              <w:rPr>
                <w:rFonts w:ascii="Arial" w:cs="Arial" w:eastAsia="Arial" w:hAnsi="Arial"/>
                <w:color w:val="FFFFFF"/>
                <w:sz w:val="18"/>
                <w:szCs w:val="18"/>
              </w:rPr>
              <w:t xml:space="preserve">Electron / React ecosystems</w:t>
            </w:r>
          </w:p>
          <w:p>
            <w:pPr>
              <w:spacing w:before="40" w:after="0"/>
            </w:pPr>
            <w:r>
              <w:rPr>
                <w:rFonts w:ascii="Arial" w:cs="Arial" w:eastAsia="Arial" w:hAnsi="Arial"/>
                <w:color w:val="FFFFFF"/>
                <w:sz w:val="18"/>
                <w:szCs w:val="18"/>
              </w:rPr>
              <w:t xml:space="preserve">Enterprise IT security vendors</w:t>
            </w:r>
          </w:p>
          <w:p>
            <w:pPr>
              <w:spacing w:before="40" w:after="0"/>
            </w:pPr>
            <w:r>
              <w:rPr>
                <w:rFonts w:ascii="Arial" w:cs="Arial" w:eastAsia="Arial" w:hAnsi="Arial"/>
                <w:color w:val="FFFFFF"/>
                <w:sz w:val="18"/>
                <w:szCs w:val="18"/>
              </w:rPr>
              <w:t xml:space="preserve">University CS departments</w:t>
            </w:r>
          </w:p>
        </w:tc>
        <w:tc>
          <w:tcPr>
            <w:tcW w:type="dxa" w:w="3120"/>
            <w:tcBorders>
              <w:top w:val="single" w:color="E5E7EB" w:sz="1"/>
              <w:left w:val="single" w:color="E5E7EB" w:sz="1"/>
              <w:bottom w:val="single" w:color="E5E7EB" w:sz="1"/>
              <w:right w:val="single" w:color="E5E7EB" w:sz="1"/>
            </w:tcBorders>
            <w:shd w:fill="6366F1" w:val="clear"/>
            <w:tcMar>
              <w:top w:type="dxa" w:w="100"/>
              <w:left w:type="dxa" w:w="150"/>
              <w:bottom w:type="dxa" w:w="100"/>
              <w:right w:type="dxa" w:w="150"/>
            </w:tcMar>
          </w:tcPr>
          <w:p>
            <w:r>
              <w:rPr>
                <w:rFonts w:ascii="Arial" w:cs="Arial" w:eastAsia="Arial" w:hAnsi="Arial"/>
                <w:b/>
                <w:bCs/>
                <w:color w:val="FFFFFF"/>
                <w:sz w:val="20"/>
                <w:szCs w:val="20"/>
              </w:rPr>
              <w:t xml:space="preserve">Key Activities</w:t>
            </w:r>
          </w:p>
          <w:p>
            <w:pPr>
              <w:spacing w:before="60" w:after="0"/>
            </w:pPr>
            <w:r>
              <w:rPr>
                <w:rFonts w:ascii="Arial" w:cs="Arial" w:eastAsia="Arial" w:hAnsi="Arial"/>
                <w:color w:val="FFFFFF"/>
                <w:sz w:val="18"/>
                <w:szCs w:val="18"/>
              </w:rPr>
              <w:t xml:space="preserve">AST parsing &amp; KG construction</w:t>
            </w:r>
          </w:p>
          <w:p>
            <w:pPr>
              <w:spacing w:before="40" w:after="0"/>
            </w:pPr>
            <w:r>
              <w:rPr>
                <w:rFonts w:ascii="Arial" w:cs="Arial" w:eastAsia="Arial" w:hAnsi="Arial"/>
                <w:color w:val="FFFFFF"/>
                <w:sz w:val="18"/>
                <w:szCs w:val="18"/>
              </w:rPr>
              <w:t xml:space="preserve">Local LLM context enrichment</w:t>
            </w:r>
          </w:p>
          <w:p>
            <w:pPr>
              <w:spacing w:before="40" w:after="0"/>
            </w:pPr>
            <w:r>
              <w:rPr>
                <w:rFonts w:ascii="Arial" w:cs="Arial" w:eastAsia="Arial" w:hAnsi="Arial"/>
                <w:color w:val="FFFFFF"/>
                <w:sz w:val="18"/>
                <w:szCs w:val="18"/>
              </w:rPr>
              <w:t xml:space="preserve">Interactive graph rendering</w:t>
            </w:r>
          </w:p>
          <w:p>
            <w:pPr>
              <w:spacing w:before="40" w:after="0"/>
            </w:pPr>
            <w:r>
              <w:rPr>
                <w:rFonts w:ascii="Arial" w:cs="Arial" w:eastAsia="Arial" w:hAnsi="Arial"/>
                <w:color w:val="FFFFFF"/>
                <w:sz w:val="18"/>
                <w:szCs w:val="18"/>
              </w:rPr>
              <w:t xml:space="preserve">Multi-language expansion (JS, Java, Go)</w:t>
            </w:r>
          </w:p>
          <w:p>
            <w:pPr>
              <w:spacing w:before="40" w:after="0"/>
            </w:pPr>
            <w:r>
              <w:rPr>
                <w:rFonts w:ascii="Arial" w:cs="Arial" w:eastAsia="Arial" w:hAnsi="Arial"/>
                <w:color w:val="FFFFFF"/>
                <w:sz w:val="18"/>
                <w:szCs w:val="18"/>
              </w:rPr>
              <w:t xml:space="preserve">Enterprise security certifications</w:t>
            </w:r>
          </w:p>
        </w:tc>
        <w:tc>
          <w:tcPr>
            <w:tcW w:type="dxa" w:w="3120"/>
            <w:tcBorders>
              <w:top w:val="single" w:color="E5E7EB" w:sz="1"/>
              <w:left w:val="single" w:color="E5E7EB" w:sz="1"/>
              <w:bottom w:val="single" w:color="E5E7EB" w:sz="1"/>
              <w:right w:val="single" w:color="E5E7EB" w:sz="1"/>
            </w:tcBorders>
            <w:shd w:fill="1E1B4B" w:val="clear"/>
            <w:tcMar>
              <w:top w:type="dxa" w:w="100"/>
              <w:left w:type="dxa" w:w="150"/>
              <w:bottom w:type="dxa" w:w="100"/>
              <w:right w:type="dxa" w:w="150"/>
            </w:tcMar>
          </w:tcPr>
          <w:p>
            <w:r>
              <w:rPr>
                <w:rFonts w:ascii="Arial" w:cs="Arial" w:eastAsia="Arial" w:hAnsi="Arial"/>
                <w:b/>
                <w:bCs/>
                <w:color w:val="FFFFFF"/>
                <w:sz w:val="20"/>
                <w:szCs w:val="20"/>
              </w:rPr>
              <w:t xml:space="preserve">Value Propositions</w:t>
            </w:r>
          </w:p>
          <w:p>
            <w:pPr>
              <w:spacing w:before="60" w:after="0"/>
            </w:pPr>
            <w:r>
              <w:rPr>
                <w:rFonts w:ascii="Arial" w:cs="Arial" w:eastAsia="Arial" w:hAnsi="Arial"/>
                <w:color w:val="FFFFFF"/>
                <w:sz w:val="18"/>
                <w:szCs w:val="18"/>
              </w:rPr>
              <w:t xml:space="preserve">100% offline — zero data exposure</w:t>
            </w:r>
          </w:p>
          <w:p>
            <w:pPr>
              <w:spacing w:before="40" w:after="0"/>
            </w:pPr>
            <w:r>
              <w:rPr>
                <w:rFonts w:ascii="Arial" w:cs="Arial" w:eastAsia="Arial" w:hAnsi="Arial"/>
                <w:color w:val="FFFFFF"/>
                <w:sz w:val="18"/>
                <w:szCs w:val="18"/>
              </w:rPr>
              <w:t xml:space="preserve">Visual system understanding</w:t>
            </w:r>
          </w:p>
          <w:p>
            <w:pPr>
              <w:spacing w:before="40" w:after="0"/>
            </w:pPr>
            <w:r>
              <w:rPr>
                <w:rFonts w:ascii="Arial" w:cs="Arial" w:eastAsia="Arial" w:hAnsi="Arial"/>
                <w:color w:val="FFFFFF"/>
                <w:sz w:val="18"/>
                <w:szCs w:val="18"/>
              </w:rPr>
              <w:t xml:space="preserve">Cut onboarding from months to days</w:t>
            </w:r>
          </w:p>
          <w:p>
            <w:pPr>
              <w:spacing w:before="40" w:after="0"/>
            </w:pPr>
            <w:r>
              <w:rPr>
                <w:rFonts w:ascii="Arial" w:cs="Arial" w:eastAsia="Arial" w:hAnsi="Arial"/>
                <w:color w:val="FFFFFF"/>
                <w:sz w:val="18"/>
                <w:szCs w:val="18"/>
              </w:rPr>
              <w:t xml:space="preserve">Reduce legacy maintenance cost</w:t>
            </w:r>
          </w:p>
          <w:p>
            <w:pPr>
              <w:spacing w:before="40" w:after="0"/>
            </w:pPr>
            <w:r>
              <w:rPr>
                <w:rFonts w:ascii="Arial" w:cs="Arial" w:eastAsia="Arial" w:hAnsi="Arial"/>
                <w:color w:val="FFFFFF"/>
                <w:sz w:val="18"/>
                <w:szCs w:val="18"/>
              </w:rPr>
              <w:t xml:space="preserve">Compliance-safe AI development</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4F46E5"/>
                <w:sz w:val="20"/>
                <w:szCs w:val="20"/>
              </w:rPr>
              <w:t xml:space="preserve">Key Resources</w:t>
            </w:r>
          </w:p>
          <w:p>
            <w:pPr>
              <w:spacing w:before="60" w:after="0"/>
            </w:pPr>
            <w:r>
              <w:rPr>
                <w:rFonts w:ascii="Arial" w:cs="Arial" w:eastAsia="Arial" w:hAnsi="Arial"/>
                <w:color w:val="333333"/>
                <w:sz w:val="18"/>
                <w:szCs w:val="18"/>
              </w:rPr>
              <w:t xml:space="preserve">AST + KG engine (core IP)</w:t>
            </w:r>
          </w:p>
          <w:p>
            <w:pPr>
              <w:spacing w:before="40" w:after="0"/>
            </w:pPr>
            <w:r>
              <w:rPr>
                <w:rFonts w:ascii="Arial" w:cs="Arial" w:eastAsia="Arial" w:hAnsi="Arial"/>
                <w:color w:val="333333"/>
                <w:sz w:val="18"/>
                <w:szCs w:val="18"/>
              </w:rPr>
              <w:t xml:space="preserve">Offline LLM integration layer</w:t>
            </w:r>
          </w:p>
          <w:p>
            <w:pPr>
              <w:spacing w:before="40" w:after="0"/>
            </w:pPr>
            <w:r>
              <w:rPr>
                <w:rFonts w:ascii="Arial" w:cs="Arial" w:eastAsia="Arial" w:hAnsi="Arial"/>
                <w:color w:val="333333"/>
                <w:sz w:val="18"/>
                <w:szCs w:val="18"/>
              </w:rPr>
              <w:t xml:space="preserve">React Flow visualization engine</w:t>
            </w:r>
          </w:p>
          <w:p>
            <w:pPr>
              <w:spacing w:before="40" w:after="0"/>
            </w:pPr>
            <w:r>
              <w:rPr>
                <w:rFonts w:ascii="Arial" w:cs="Arial" w:eastAsia="Arial" w:hAnsi="Arial"/>
                <w:color w:val="333333"/>
                <w:sz w:val="18"/>
                <w:szCs w:val="18"/>
              </w:rPr>
              <w:t xml:space="preserve">Open-source community &amp; GitHub</w:t>
            </w:r>
          </w:p>
        </w:tc>
        <w:tc>
          <w:tcPr>
            <w:tcW w:type="dxa" w:w="3120"/>
            <w:tcBorders>
              <w:top w:val="single" w:color="E5E7EB" w:sz="1"/>
              <w:left w:val="single" w:color="E5E7EB" w:sz="1"/>
              <w:bottom w:val="single" w:color="E5E7EB" w:sz="1"/>
              <w:right w:val="single" w:color="E5E7EB" w:sz="1"/>
            </w:tcBorders>
            <w:shd w:fill="F0F4FF" w:val="clear"/>
            <w:tcMar>
              <w:top w:type="dxa" w:w="100"/>
              <w:left w:type="dxa" w:w="150"/>
              <w:bottom w:type="dxa" w:w="100"/>
              <w:right w:type="dxa" w:w="150"/>
            </w:tcMar>
          </w:tcPr>
          <w:p>
            <w:pPr>
              <w:jc w:val="center"/>
            </w:pPr>
            <w:r>
              <w:rPr>
                <w:rFonts w:ascii="Arial" w:cs="Arial" w:eastAsia="Arial" w:hAnsi="Arial"/>
                <w:b/>
                <w:bCs/>
                <w:color w:val="4F46E5"/>
                <w:sz w:val="20"/>
                <w:szCs w:val="20"/>
              </w:rPr>
              <w:t xml:space="preserve">THE OFFER</w:t>
            </w:r>
          </w:p>
          <w:p>
            <w:pPr>
              <w:spacing w:before="60" w:after="0"/>
              <w:jc w:val="center"/>
            </w:pPr>
            <w:r>
              <w:rPr>
                <w:rFonts w:ascii="Arial" w:cs="Arial" w:eastAsia="Arial" w:hAnsi="Arial"/>
                <w:color w:val="1E1B4B"/>
                <w:sz w:val="18"/>
                <w:szCs w:val="18"/>
              </w:rPr>
              <w:t xml:space="preserve">An offline IDE that turns any</w:t>
            </w:r>
          </w:p>
          <w:p>
            <w:pPr>
              <w:spacing w:before="20" w:after="0"/>
              <w:jc w:val="center"/>
            </w:pPr>
            <w:r>
              <w:rPr>
                <w:rFonts w:ascii="Arial" w:cs="Arial" w:eastAsia="Arial" w:hAnsi="Arial"/>
                <w:color w:val="1E1B4B"/>
                <w:sz w:val="18"/>
                <w:szCs w:val="18"/>
              </w:rPr>
              <w:t xml:space="preserve">legacy codebase into an</w:t>
            </w:r>
          </w:p>
          <w:p>
            <w:pPr>
              <w:spacing w:before="20" w:after="0"/>
              <w:jc w:val="center"/>
            </w:pPr>
            <w:r>
              <w:rPr>
                <w:rFonts w:ascii="Arial" w:cs="Arial" w:eastAsia="Arial" w:hAnsi="Arial"/>
                <w:color w:val="1E1B4B"/>
                <w:sz w:val="18"/>
                <w:szCs w:val="18"/>
              </w:rPr>
              <w:t xml:space="preserve">interactive, AI-explained</w:t>
            </w:r>
          </w:p>
          <w:p>
            <w:pPr>
              <w:spacing w:before="20" w:after="0"/>
              <w:jc w:val="center"/>
            </w:pPr>
            <w:r>
              <w:rPr>
                <w:rFonts w:ascii="Arial" w:cs="Arial" w:eastAsia="Arial" w:hAnsi="Arial"/>
                <w:b/>
                <w:bCs/>
                <w:color w:val="4F46E5"/>
                <w:sz w:val="20"/>
                <w:szCs w:val="20"/>
              </w:rPr>
              <w:t xml:space="preserve">visual architecture</w:t>
            </w:r>
          </w:p>
        </w:tc>
        <w:tc>
          <w:tcPr>
            <w:tcW w:type="dxa" w:w="312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4F46E5"/>
                <w:sz w:val="20"/>
                <w:szCs w:val="20"/>
              </w:rPr>
              <w:t xml:space="preserve">Customer Relationships</w:t>
            </w:r>
          </w:p>
          <w:p>
            <w:pPr>
              <w:spacing w:before="60" w:after="0"/>
            </w:pPr>
            <w:r>
              <w:rPr>
                <w:rFonts w:ascii="Arial" w:cs="Arial" w:eastAsia="Arial" w:hAnsi="Arial"/>
                <w:color w:val="333333"/>
                <w:sz w:val="18"/>
                <w:szCs w:val="18"/>
              </w:rPr>
              <w:t xml:space="preserve">Free open-source tier (GitHub)</w:t>
            </w:r>
          </w:p>
          <w:p>
            <w:pPr>
              <w:spacing w:before="40" w:after="0"/>
            </w:pPr>
            <w:r>
              <w:rPr>
                <w:rFonts w:ascii="Arial" w:cs="Arial" w:eastAsia="Arial" w:hAnsi="Arial"/>
                <w:color w:val="333333"/>
                <w:sz w:val="18"/>
                <w:szCs w:val="18"/>
              </w:rPr>
              <w:t xml:space="preserve">Enterprise support contracts</w:t>
            </w:r>
          </w:p>
          <w:p>
            <w:pPr>
              <w:spacing w:before="40" w:after="0"/>
            </w:pPr>
            <w:r>
              <w:rPr>
                <w:rFonts w:ascii="Arial" w:cs="Arial" w:eastAsia="Arial" w:hAnsi="Arial"/>
                <w:color w:val="333333"/>
                <w:sz w:val="18"/>
                <w:szCs w:val="18"/>
              </w:rPr>
              <w:t xml:space="preserve">Developer community (Discord)</w:t>
            </w:r>
          </w:p>
          <w:p>
            <w:pPr>
              <w:spacing w:before="40" w:after="0"/>
            </w:pPr>
            <w:r>
              <w:rPr>
                <w:rFonts w:ascii="Arial" w:cs="Arial" w:eastAsia="Arial" w:hAnsi="Arial"/>
                <w:color w:val="333333"/>
                <w:sz w:val="18"/>
                <w:szCs w:val="18"/>
              </w:rPr>
              <w:t xml:space="preserve">SLA-backed enterprise tier</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4F46E5"/>
                <w:sz w:val="20"/>
                <w:szCs w:val="20"/>
              </w:rPr>
              <w:t xml:space="preserve">Cost Structure</w:t>
            </w:r>
          </w:p>
          <w:p>
            <w:pPr>
              <w:spacing w:before="60" w:after="0"/>
            </w:pPr>
            <w:r>
              <w:rPr>
                <w:rFonts w:ascii="Arial" w:cs="Arial" w:eastAsia="Arial" w:hAnsi="Arial"/>
                <w:color w:val="333333"/>
                <w:sz w:val="18"/>
                <w:szCs w:val="18"/>
              </w:rPr>
              <w:t xml:space="preserve">Engineering team salaries</w:t>
            </w:r>
          </w:p>
          <w:p>
            <w:pPr>
              <w:spacing w:before="40" w:after="0"/>
            </w:pPr>
            <w:r>
              <w:rPr>
                <w:rFonts w:ascii="Arial" w:cs="Arial" w:eastAsia="Arial" w:hAnsi="Arial"/>
                <w:color w:val="333333"/>
                <w:sz w:val="18"/>
                <w:szCs w:val="18"/>
              </w:rPr>
              <w:t xml:space="preserve">LLM model licensing/fine-tuning</w:t>
            </w:r>
          </w:p>
          <w:p>
            <w:pPr>
              <w:spacing w:before="40" w:after="0"/>
            </w:pPr>
            <w:r>
              <w:rPr>
                <w:rFonts w:ascii="Arial" w:cs="Arial" w:eastAsia="Arial" w:hAnsi="Arial"/>
                <w:color w:val="333333"/>
                <w:sz w:val="18"/>
                <w:szCs w:val="18"/>
              </w:rPr>
              <w:t xml:space="preserve">Enterprise security audit costs</w:t>
            </w:r>
          </w:p>
          <w:p>
            <w:pPr>
              <w:spacing w:before="40" w:after="0"/>
            </w:pPr>
            <w:r>
              <w:rPr>
                <w:rFonts w:ascii="Arial" w:cs="Arial" w:eastAsia="Arial" w:hAnsi="Arial"/>
                <w:color w:val="333333"/>
                <w:sz w:val="18"/>
                <w:szCs w:val="18"/>
              </w:rPr>
              <w:t xml:space="preserve">Distribution &amp; packaging infra</w:t>
            </w:r>
          </w:p>
        </w:tc>
        <w:tc>
          <w:tcPr>
            <w:tcW w:type="dxa" w:w="312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4F46E5"/>
                <w:sz w:val="20"/>
                <w:szCs w:val="20"/>
              </w:rPr>
              <w:t xml:space="preserve">Channels</w:t>
            </w:r>
          </w:p>
          <w:p>
            <w:pPr>
              <w:spacing w:before="60" w:after="0"/>
            </w:pPr>
            <w:r>
              <w:rPr>
                <w:rFonts w:ascii="Arial" w:cs="Arial" w:eastAsia="Arial" w:hAnsi="Arial"/>
                <w:color w:val="333333"/>
                <w:sz w:val="18"/>
                <w:szCs w:val="18"/>
              </w:rPr>
              <w:t xml:space="preserve">GitHub (open-source discovery)</w:t>
            </w:r>
          </w:p>
          <w:p>
            <w:pPr>
              <w:spacing w:before="40" w:after="0"/>
            </w:pPr>
            <w:r>
              <w:rPr>
                <w:rFonts w:ascii="Arial" w:cs="Arial" w:eastAsia="Arial" w:hAnsi="Arial"/>
                <w:color w:val="333333"/>
                <w:sz w:val="18"/>
                <w:szCs w:val="18"/>
              </w:rPr>
              <w:t xml:space="preserve">Developer communities (HN, Reddit)</w:t>
            </w:r>
          </w:p>
          <w:p>
            <w:pPr>
              <w:spacing w:before="40" w:after="0"/>
            </w:pPr>
            <w:r>
              <w:rPr>
                <w:rFonts w:ascii="Arial" w:cs="Arial" w:eastAsia="Arial" w:hAnsi="Arial"/>
                <w:color w:val="333333"/>
                <w:sz w:val="18"/>
                <w:szCs w:val="18"/>
              </w:rPr>
              <w:t xml:space="preserve">Enterprise direct sales</w:t>
            </w:r>
          </w:p>
          <w:p>
            <w:pPr>
              <w:spacing w:before="40" w:after="0"/>
            </w:pPr>
            <w:r>
              <w:rPr>
                <w:rFonts w:ascii="Arial" w:cs="Arial" w:eastAsia="Arial" w:hAnsi="Arial"/>
                <w:color w:val="333333"/>
                <w:sz w:val="18"/>
                <w:szCs w:val="18"/>
              </w:rPr>
              <w:t xml:space="preserve">University partnerships</w:t>
            </w:r>
          </w:p>
        </w:tc>
        <w:tc>
          <w:tcPr>
            <w:tcW w:type="dxa" w:w="312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4F46E5"/>
                <w:sz w:val="20"/>
                <w:szCs w:val="20"/>
              </w:rPr>
              <w:t xml:space="preserve">Revenue Streams</w:t>
            </w:r>
          </w:p>
          <w:p>
            <w:pPr>
              <w:spacing w:before="60" w:after="0"/>
            </w:pPr>
            <w:r>
              <w:rPr>
                <w:rFonts w:ascii="Arial" w:cs="Arial" w:eastAsia="Arial" w:hAnsi="Arial"/>
                <w:color w:val="333333"/>
                <w:sz w:val="18"/>
                <w:szCs w:val="18"/>
              </w:rPr>
              <w:t xml:space="preserve">Enterprise seat licenses ($199/dev/yr)</w:t>
            </w:r>
          </w:p>
          <w:p>
            <w:pPr>
              <w:spacing w:before="40" w:after="0"/>
            </w:pPr>
            <w:r>
              <w:rPr>
                <w:rFonts w:ascii="Arial" w:cs="Arial" w:eastAsia="Arial" w:hAnsi="Arial"/>
                <w:color w:val="333333"/>
                <w:sz w:val="18"/>
                <w:szCs w:val="18"/>
              </w:rPr>
              <w:t xml:space="preserve">Enterprise support &amp; SLA ($5k–50k/yr)</w:t>
            </w:r>
          </w:p>
          <w:p>
            <w:pPr>
              <w:spacing w:before="40" w:after="0"/>
            </w:pPr>
            <w:r>
              <w:rPr>
                <w:rFonts w:ascii="Arial" w:cs="Arial" w:eastAsia="Arial" w:hAnsi="Arial"/>
                <w:color w:val="333333"/>
                <w:sz w:val="18"/>
                <w:szCs w:val="18"/>
              </w:rPr>
              <w:t xml:space="preserve">Custom model fine-tuning services</w:t>
            </w:r>
          </w:p>
          <w:p>
            <w:pPr>
              <w:spacing w:before="40" w:after="0"/>
            </w:pPr>
            <w:r>
              <w:rPr>
                <w:rFonts w:ascii="Arial" w:cs="Arial" w:eastAsia="Arial" w:hAnsi="Arial"/>
                <w:color w:val="333333"/>
                <w:sz w:val="18"/>
                <w:szCs w:val="18"/>
              </w:rPr>
              <w:t xml:space="preserve">University/education licensing</w:t>
            </w:r>
          </w:p>
        </w:tc>
      </w:tr>
    </w:tbl>
    <w:p>
      <w:pPr>
        <w:spacing w:before="60" w:after="60"/>
      </w:pPr>
    </w:p>
    <w:p>
      <w:pPr>
        <w:pStyle w:val="Heading2"/>
        <w:spacing w:before="280" w:after="120"/>
      </w:pPr>
      <w:r>
        <w:rPr>
          <w:rFonts w:ascii="Arial" w:cs="Arial" w:eastAsia="Arial" w:hAnsi="Arial"/>
          <w:b/>
          <w:bCs/>
          <w:color w:val="4F46E5"/>
          <w:sz w:val="30"/>
          <w:szCs w:val="30"/>
        </w:rPr>
        <w:t xml:space="preserve">Customer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Privacy-Sensitive Enterprises</w:t>
            </w:r>
          </w:p>
        </w:tc>
        <w:tc>
          <w:tcPr>
            <w:tcW w:type="dxa" w:w="312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Legacy System Maintainers</w:t>
            </w:r>
          </w:p>
        </w:tc>
        <w:tc>
          <w:tcPr>
            <w:tcW w:type="dxa" w:w="312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CS Educators &amp; Students</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pPr>
              <w:spacing w:before="80" w:after="80"/>
              <w:jc w:val="left"/>
            </w:pPr>
            <w:r>
              <w:rPr>
                <w:rFonts w:ascii="Arial" w:cs="Arial" w:eastAsia="Arial" w:hAnsi="Arial"/>
                <w:b w:val="false"/>
                <w:bCs w:val="false"/>
                <w:i w:val="false"/>
                <w:iCs w:val="false"/>
                <w:color w:val="222222"/>
                <w:sz w:val="21"/>
                <w:szCs w:val="21"/>
              </w:rPr>
              <w:t xml:space="preserve">Banking, healthcare, defense, and legal teams where source code cannot leave the local machine. SOC2, HIPAA, and data residency requirements make cloud AI tools unusable.</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pPr>
              <w:spacing w:before="80" w:after="80"/>
              <w:jc w:val="left"/>
            </w:pPr>
            <w:r>
              <w:rPr>
                <w:rFonts w:ascii="Arial" w:cs="Arial" w:eastAsia="Arial" w:hAnsi="Arial"/>
                <w:b w:val="false"/>
                <w:bCs w:val="false"/>
                <w:i w:val="false"/>
                <w:iCs w:val="false"/>
                <w:color w:val="222222"/>
                <w:sz w:val="21"/>
                <w:szCs w:val="21"/>
              </w:rPr>
              <w:t xml:space="preserve">Engineering teams maintaining decade-old codebases. Every new hire costs 1-3 months of onboarding time. Chillax.AI cuts this to days.</w:t>
            </w:r>
          </w:p>
        </w:tc>
        <w:tc>
          <w:tcPr>
            <w:tcW w:type="dxa" w:w="312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pPr>
              <w:spacing w:before="80" w:after="80"/>
              <w:jc w:val="left"/>
            </w:pPr>
            <w:r>
              <w:rPr>
                <w:rFonts w:ascii="Arial" w:cs="Arial" w:eastAsia="Arial" w:hAnsi="Arial"/>
                <w:b w:val="false"/>
                <w:bCs w:val="false"/>
                <w:i w:val="false"/>
                <w:iCs w:val="false"/>
                <w:color w:val="222222"/>
                <w:sz w:val="21"/>
                <w:szCs w:val="21"/>
              </w:rPr>
              <w:t xml:space="preserve">Professors and TAs teaching system design and software architecture. Students learning to read real-world code with visual scaffolding.</w:t>
            </w:r>
          </w:p>
        </w:tc>
      </w:tr>
    </w:tbl>
    <w:p>
      <w:r>
        <w:br w:type="page"/>
      </w:r>
    </w:p>
    <w:p>
      <w:pPr>
        <w:pStyle w:val="Heading1"/>
        <w:spacing w:before="400" w:after="160"/>
      </w:pPr>
      <w:r>
        <w:rPr>
          <w:rFonts w:ascii="Arial" w:cs="Arial" w:eastAsia="Arial" w:hAnsi="Arial"/>
          <w:b/>
          <w:bCs/>
          <w:color w:val="1E1B4B"/>
          <w:sz w:val="40"/>
          <w:szCs w:val="40"/>
        </w:rPr>
        <w:t xml:space="preserve">Future Scope &amp; Roadmap</w:t>
      </w:r>
    </w:p>
    <w:p>
      <w:pPr>
        <w:pBdr>
          <w:bottom w:val="single" w:color="4F46E5" w:sz="6"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80"/>
        <w:gridCol w:w="2740"/>
        <w:gridCol w:w="2740"/>
      </w:tblGrid>
      <w:tr>
        <w:tc>
          <w:tcPr>
            <w:tcW w:type="dxa" w:w="140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248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Milestone</w:t>
            </w:r>
          </w:p>
        </w:tc>
        <w:tc>
          <w:tcPr>
            <w:tcW w:type="dxa" w:w="274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Features</w:t>
            </w:r>
          </w:p>
        </w:tc>
        <w:tc>
          <w:tcPr>
            <w:tcW w:type="dxa" w:w="274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Target Impact</w:t>
            </w:r>
          </w:p>
        </w:tc>
      </w:tr>
      <w:tr>
        <w:tc>
          <w:tcPr>
            <w:tcW w:type="dxa" w:w="1400"/>
            <w:tcBorders>
              <w:top w:val="single" w:color="E5E7EB" w:sz="1"/>
              <w:left w:val="single" w:color="E5E7EB" w:sz="1"/>
              <w:bottom w:val="single" w:color="E5E7EB" w:sz="1"/>
              <w:right w:val="single" w:color="E5E7EB" w:sz="1"/>
            </w:tcBorders>
            <w:shd w:fill="D1FAE5" w:val="clear"/>
            <w:tcMar>
              <w:top w:type="dxa" w:w="100"/>
              <w:left w:type="dxa" w:w="150"/>
              <w:bottom w:type="dxa" w:w="100"/>
              <w:right w:type="dxa" w:w="150"/>
            </w:tcMar>
          </w:tcPr>
          <w:p>
            <w:r>
              <w:rPr>
                <w:rFonts w:ascii="Arial" w:cs="Arial" w:eastAsia="Arial" w:hAnsi="Arial"/>
                <w:b/>
                <w:bCs/>
                <w:color w:val="065F46"/>
                <w:sz w:val="20"/>
                <w:szCs w:val="20"/>
              </w:rPr>
              <w:t xml:space="preserve">Phase 1 (Now)</w:t>
            </w:r>
          </w:p>
        </w:tc>
        <w:tc>
          <w:tcPr>
            <w:tcW w:type="dxa" w:w="2480"/>
            <w:tcBorders>
              <w:top w:val="single" w:color="E5E7EB" w:sz="1"/>
              <w:left w:val="single" w:color="E5E7EB" w:sz="1"/>
              <w:bottom w:val="single" w:color="E5E7EB" w:sz="1"/>
              <w:right w:val="single" w:color="E5E7EB" w:sz="1"/>
            </w:tcBorders>
            <w:shd w:fill="D1FAE5" w:val="clear"/>
            <w:tcMar>
              <w:top w:type="dxa" w:w="100"/>
              <w:left w:type="dxa" w:w="150"/>
              <w:bottom w:type="dxa" w:w="100"/>
              <w:right w:type="dxa" w:w="150"/>
            </w:tcMar>
          </w:tcPr>
          <w:p>
            <w:r>
              <w:rPr>
                <w:rFonts w:ascii="Arial" w:cs="Arial" w:eastAsia="Arial" w:hAnsi="Arial"/>
                <w:b/>
                <w:bCs/>
                <w:color w:val="1E1B4B"/>
                <w:sz w:val="20"/>
                <w:szCs w:val="20"/>
              </w:rPr>
              <w:t xml:space="preserve">Python MVP</w:t>
            </w:r>
          </w:p>
        </w:tc>
        <w:tc>
          <w:tcPr>
            <w:tcW w:type="dxa" w:w="2740"/>
            <w:tcBorders>
              <w:top w:val="single" w:color="E5E7EB" w:sz="1"/>
              <w:left w:val="single" w:color="E5E7EB" w:sz="1"/>
              <w:bottom w:val="single" w:color="E5E7EB" w:sz="1"/>
              <w:right w:val="single" w:color="E5E7EB" w:sz="1"/>
            </w:tcBorders>
            <w:shd w:fill="D1FAE5" w:val="clear"/>
            <w:tcMar>
              <w:top w:type="dxa" w:w="100"/>
              <w:left w:type="dxa" w:w="150"/>
              <w:bottom w:type="dxa" w:w="100"/>
              <w:right w:type="dxa" w:w="150"/>
            </w:tcMar>
          </w:tcPr>
          <w:p>
            <w:r>
              <w:rPr>
                <w:rFonts w:ascii="Arial" w:cs="Arial" w:eastAsia="Arial" w:hAnsi="Arial"/>
                <w:b w:val="false"/>
                <w:bCs w:val="false"/>
                <w:color w:val="222222"/>
                <w:sz w:val="20"/>
                <w:szCs w:val="20"/>
              </w:rPr>
              <w:t xml:space="preserve">AST parsing, KG, React Flow graph, Ollama AI, Monaco editor, execution visualizer</w:t>
            </w:r>
          </w:p>
        </w:tc>
        <w:tc>
          <w:tcPr>
            <w:tcW w:type="dxa" w:w="2740"/>
            <w:tcBorders>
              <w:top w:val="single" w:color="E5E7EB" w:sz="1"/>
              <w:left w:val="single" w:color="E5E7EB" w:sz="1"/>
              <w:bottom w:val="single" w:color="E5E7EB" w:sz="1"/>
              <w:right w:val="single" w:color="E5E7EB" w:sz="1"/>
            </w:tcBorders>
            <w:shd w:fill="D1FAE5" w:val="clear"/>
            <w:tcMar>
              <w:top w:type="dxa" w:w="100"/>
              <w:left w:type="dxa" w:w="150"/>
              <w:bottom w:type="dxa" w:w="100"/>
              <w:right w:type="dxa" w:w="150"/>
            </w:tcMar>
          </w:tcPr>
          <w:p>
            <w:r>
              <w:rPr>
                <w:rFonts w:ascii="Arial" w:cs="Arial" w:eastAsia="Arial" w:hAnsi="Arial"/>
                <w:b w:val="false"/>
                <w:bCs w:val="false"/>
                <w:color w:val="222222"/>
                <w:sz w:val="20"/>
                <w:szCs w:val="20"/>
              </w:rPr>
              <w:t xml:space="preserve">Hackathon demo — working end-to-end on Python projects</w:t>
            </w:r>
          </w:p>
        </w:tc>
      </w:tr>
      <w:tr>
        <w:tc>
          <w:tcPr>
            <w:tcW w:type="dxa" w:w="14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4F46E5"/>
                <w:sz w:val="20"/>
                <w:szCs w:val="20"/>
              </w:rPr>
              <w:t xml:space="preserve">Phase 2 (Q3 2026)</w:t>
            </w:r>
          </w:p>
        </w:tc>
        <w:tc>
          <w:tcPr>
            <w:tcW w:type="dxa" w:w="248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1E1B4B"/>
                <w:sz w:val="20"/>
                <w:szCs w:val="20"/>
              </w:rPr>
              <w:t xml:space="preserve">Multi-Language Support</w:t>
            </w:r>
          </w:p>
        </w:tc>
        <w:tc>
          <w:tcPr>
            <w:tcW w:type="dxa" w:w="274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JavaScript/TypeScript, Java, Go, C++ parsers via Tree-sitter. Universal legacy platform.</w:t>
            </w:r>
          </w:p>
        </w:tc>
        <w:tc>
          <w:tcPr>
            <w:tcW w:type="dxa" w:w="274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Addressable market expands 10x — covers 90%+ of enterprise codebases</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4F46E5"/>
                <w:sz w:val="20"/>
                <w:szCs w:val="20"/>
              </w:rPr>
              <w:t xml:space="preserve">Phase 3 (Q4 2026)</w:t>
            </w:r>
          </w:p>
        </w:tc>
        <w:tc>
          <w:tcPr>
            <w:tcW w:type="dxa" w:w="2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E1B4B"/>
                <w:sz w:val="20"/>
                <w:szCs w:val="20"/>
              </w:rPr>
              <w:t xml:space="preserve">Intelligent Refactoring Agent</w:t>
            </w:r>
          </w:p>
        </w:tc>
        <w:tc>
          <w:tcPr>
            <w:tcW w:type="dxa" w:w="274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AI suggests refactoring opportunities, dead code removal, dependency simplification — with one-click apply</w:t>
            </w:r>
          </w:p>
        </w:tc>
        <w:tc>
          <w:tcPr>
            <w:tcW w:type="dxa" w:w="274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Turns understanding tool into an active code improvement agent</w:t>
            </w:r>
          </w:p>
        </w:tc>
      </w:tr>
      <w:tr>
        <w:tc>
          <w:tcPr>
            <w:tcW w:type="dxa" w:w="14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4F46E5"/>
                <w:sz w:val="20"/>
                <w:szCs w:val="20"/>
              </w:rPr>
              <w:t xml:space="preserve">Phase 4 (Q1 2027)</w:t>
            </w:r>
          </w:p>
        </w:tc>
        <w:tc>
          <w:tcPr>
            <w:tcW w:type="dxa" w:w="248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1E1B4B"/>
                <w:sz w:val="20"/>
                <w:szCs w:val="20"/>
              </w:rPr>
              <w:t xml:space="preserve">Team Knowledge Graph</w:t>
            </w:r>
          </w:p>
        </w:tc>
        <w:tc>
          <w:tcPr>
            <w:tcW w:type="dxa" w:w="274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Shared knowledge graphs for teams — sync via LAN/private server. No cloud. Annotate nodes, add docs, track changes.</w:t>
            </w:r>
          </w:p>
        </w:tc>
        <w:tc>
          <w:tcPr>
            <w:tcW w:type="dxa" w:w="274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Institutional memory — knowledge survives team turnover</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4F46E5"/>
                <w:sz w:val="20"/>
                <w:szCs w:val="20"/>
              </w:rPr>
              <w:t xml:space="preserve">Phase 5 (Q2 2027)</w:t>
            </w:r>
          </w:p>
        </w:tc>
        <w:tc>
          <w:tcPr>
            <w:tcW w:type="dxa" w:w="2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E1B4B"/>
                <w:sz w:val="20"/>
                <w:szCs w:val="20"/>
              </w:rPr>
              <w:t xml:space="preserve">CI/CD Integration</w:t>
            </w:r>
          </w:p>
        </w:tc>
        <w:tc>
          <w:tcPr>
            <w:tcW w:type="dxa" w:w="274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Architecture drift detection in PRs. Automated documentation generation. Integration with Jenkins, GitHub Actions, GitLab CI.</w:t>
            </w:r>
          </w:p>
        </w:tc>
        <w:tc>
          <w:tcPr>
            <w:tcW w:type="dxa" w:w="274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Documentation always stays current — zero manual effort</w:t>
            </w:r>
          </w:p>
        </w:tc>
      </w:tr>
      <w:tr>
        <w:tc>
          <w:tcPr>
            <w:tcW w:type="dxa" w:w="14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4F46E5"/>
                <w:sz w:val="20"/>
                <w:szCs w:val="20"/>
              </w:rPr>
              <w:t xml:space="preserve">Phase 6 (Q3 2027)</w:t>
            </w:r>
          </w:p>
        </w:tc>
        <w:tc>
          <w:tcPr>
            <w:tcW w:type="dxa" w:w="248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1E1B4B"/>
                <w:sz w:val="20"/>
                <w:szCs w:val="20"/>
              </w:rPr>
              <w:t xml:space="preserve">Fine-Tuned Domain Models</w:t>
            </w:r>
          </w:p>
        </w:tc>
        <w:tc>
          <w:tcPr>
            <w:tcW w:type="dxa" w:w="274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Org-specific LLM fine-tuning on private codebases. Domain-aware answers for banking regulations, healthcare coding standards, etc.</w:t>
            </w:r>
          </w:p>
        </w:tc>
        <w:tc>
          <w:tcPr>
            <w:tcW w:type="dxa" w:w="274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AI that knows your internal frameworks, not just generic Python</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4F46E5"/>
                <w:sz w:val="20"/>
                <w:szCs w:val="20"/>
              </w:rPr>
              <w:t xml:space="preserve">Phase 7 (2028+)</w:t>
            </w:r>
          </w:p>
        </w:tc>
        <w:tc>
          <w:tcPr>
            <w:tcW w:type="dxa" w:w="24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E1B4B"/>
                <w:sz w:val="20"/>
                <w:szCs w:val="20"/>
              </w:rPr>
              <w:t xml:space="preserve">AI Pair Programmer for Legacy</w:t>
            </w:r>
          </w:p>
        </w:tc>
        <w:tc>
          <w:tcPr>
            <w:tcW w:type="dxa" w:w="274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Fully agentic: AI understands, plans changes, writes code, tests, and explains — all with knowledge graph grounding and full auditability. Handles entire feature tickets autonomously.</w:t>
            </w:r>
          </w:p>
        </w:tc>
        <w:tc>
          <w:tcPr>
            <w:tcW w:type="dxa" w:w="274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The complete autonomous enterprise workflow agent — PS #2 fully realized</w:t>
            </w:r>
          </w:p>
        </w:tc>
      </w:tr>
    </w:tbl>
    <w:p>
      <w:pPr>
        <w:spacing w:before="60" w:after="60"/>
      </w:pPr>
    </w:p>
    <w:p>
      <w:pPr>
        <w:pStyle w:val="Heading2"/>
        <w:spacing w:before="280" w:after="120"/>
      </w:pPr>
      <w:r>
        <w:rPr>
          <w:rFonts w:ascii="Arial" w:cs="Arial" w:eastAsia="Arial" w:hAnsi="Arial"/>
          <w:b/>
          <w:bCs/>
          <w:color w:val="4F46E5"/>
          <w:sz w:val="30"/>
          <w:szCs w:val="30"/>
        </w:rPr>
        <w:t xml:space="preserve">Emerging Technology Integration</w:t>
      </w:r>
    </w:p>
    <w:p>
      <w:pPr>
        <w:pStyle w:val="ListParagraph"/>
        <w:numPr>
          <w:ilvl w:val="0"/>
          <w:numId w:val="2"/>
        </w:numPr>
        <w:spacing w:before="60" w:after="60"/>
      </w:pPr>
      <w:r>
        <w:rPr>
          <w:rFonts w:ascii="Arial" w:cs="Arial" w:eastAsia="Arial" w:hAnsi="Arial"/>
          <w:b/>
          <w:bCs/>
          <w:color w:val="1E1B4B"/>
          <w:sz w:val="21"/>
          <w:szCs w:val="21"/>
        </w:rPr>
        <w:t xml:space="preserve">Multimodal Input</w:t>
      </w:r>
      <w:r>
        <w:rPr>
          <w:rFonts w:ascii="Arial" w:cs="Arial" w:eastAsia="Arial" w:hAnsi="Arial"/>
          <w:color w:val="222222"/>
          <w:sz w:val="21"/>
          <w:szCs w:val="21"/>
        </w:rPr>
        <w:t xml:space="preserve"> — Accept architecture diagrams, whiteboard photos, or flowcharts as input to bootstrap the knowledge graph for undocumented systems</w:t>
      </w:r>
    </w:p>
    <w:p>
      <w:pPr>
        <w:pStyle w:val="ListParagraph"/>
        <w:numPr>
          <w:ilvl w:val="0"/>
          <w:numId w:val="2"/>
        </w:numPr>
        <w:spacing w:before="60" w:after="60"/>
      </w:pPr>
      <w:r>
        <w:rPr>
          <w:rFonts w:ascii="Arial" w:cs="Arial" w:eastAsia="Arial" w:hAnsi="Arial"/>
          <w:b/>
          <w:bCs/>
          <w:color w:val="1E1B4B"/>
          <w:sz w:val="21"/>
          <w:szCs w:val="21"/>
        </w:rPr>
        <w:t xml:space="preserve">Voice Interface</w:t>
      </w:r>
      <w:r>
        <w:rPr>
          <w:rFonts w:ascii="Arial" w:cs="Arial" w:eastAsia="Arial" w:hAnsi="Arial"/>
          <w:color w:val="222222"/>
          <w:sz w:val="21"/>
          <w:szCs w:val="21"/>
        </w:rPr>
        <w:t xml:space="preserve"> — Ask questions about code verbally — especially useful for accessibility and mobile development contexts</w:t>
      </w:r>
    </w:p>
    <w:p>
      <w:pPr>
        <w:pStyle w:val="ListParagraph"/>
        <w:numPr>
          <w:ilvl w:val="0"/>
          <w:numId w:val="2"/>
        </w:numPr>
        <w:spacing w:before="60" w:after="60"/>
      </w:pPr>
      <w:r>
        <w:rPr>
          <w:rFonts w:ascii="Arial" w:cs="Arial" w:eastAsia="Arial" w:hAnsi="Arial"/>
          <w:b/>
          <w:bCs/>
          <w:color w:val="1E1B4B"/>
          <w:sz w:val="21"/>
          <w:szCs w:val="21"/>
        </w:rPr>
        <w:t xml:space="preserve">AR/VR Code Visualization</w:t>
      </w:r>
      <w:r>
        <w:rPr>
          <w:rFonts w:ascii="Arial" w:cs="Arial" w:eastAsia="Arial" w:hAnsi="Arial"/>
          <w:color w:val="222222"/>
          <w:sz w:val="21"/>
          <w:szCs w:val="21"/>
        </w:rPr>
        <w:t xml:space="preserve"> — Project the code knowledge graph into 3D space using AR glasses for spatial architecture exploration</w:t>
      </w:r>
    </w:p>
    <w:p>
      <w:pPr>
        <w:pStyle w:val="ListParagraph"/>
        <w:numPr>
          <w:ilvl w:val="0"/>
          <w:numId w:val="2"/>
        </w:numPr>
        <w:spacing w:before="60" w:after="60"/>
      </w:pPr>
      <w:r>
        <w:rPr>
          <w:rFonts w:ascii="Arial" w:cs="Arial" w:eastAsia="Arial" w:hAnsi="Arial"/>
          <w:b/>
          <w:bCs/>
          <w:color w:val="1E1B4B"/>
          <w:sz w:val="21"/>
          <w:szCs w:val="21"/>
        </w:rPr>
        <w:t xml:space="preserve">Formal Verification Integration</w:t>
      </w:r>
      <w:r>
        <w:rPr>
          <w:rFonts w:ascii="Arial" w:cs="Arial" w:eastAsia="Arial" w:hAnsi="Arial"/>
          <w:color w:val="222222"/>
          <w:sz w:val="21"/>
          <w:szCs w:val="21"/>
        </w:rPr>
        <w:t xml:space="preserve"> — Connect to tools like Coq or TLA+ to formally verify critical code paths identified through the knowledge graph</w:t>
      </w:r>
    </w:p>
    <w:p>
      <w:pPr>
        <w:pStyle w:val="ListParagraph"/>
        <w:numPr>
          <w:ilvl w:val="0"/>
          <w:numId w:val="2"/>
        </w:numPr>
        <w:spacing w:before="60" w:after="60"/>
      </w:pPr>
      <w:r>
        <w:rPr>
          <w:rFonts w:ascii="Arial" w:cs="Arial" w:eastAsia="Arial" w:hAnsi="Arial"/>
          <w:b/>
          <w:bCs/>
          <w:color w:val="1E1B4B"/>
          <w:sz w:val="21"/>
          <w:szCs w:val="21"/>
        </w:rPr>
        <w:t xml:space="preserve">Security Vulnerability Detection</w:t>
      </w:r>
      <w:r>
        <w:rPr>
          <w:rFonts w:ascii="Arial" w:cs="Arial" w:eastAsia="Arial" w:hAnsi="Arial"/>
          <w:color w:val="222222"/>
          <w:sz w:val="21"/>
          <w:szCs w:val="21"/>
        </w:rPr>
        <w:t xml:space="preserve"> — Cross-reference knowledge graph with CVE databases to identify vulnerable dependency patterns in the call chain</w:t>
      </w:r>
    </w:p>
    <w:p>
      <w:r>
        <w:br w:type="page"/>
      </w:r>
    </w:p>
    <w:p>
      <w:pPr>
        <w:pStyle w:val="Heading1"/>
        <w:spacing w:before="400" w:after="160"/>
      </w:pPr>
      <w:r>
        <w:rPr>
          <w:rFonts w:ascii="Arial" w:cs="Arial" w:eastAsia="Arial" w:hAnsi="Arial"/>
          <w:b/>
          <w:bCs/>
          <w:color w:val="1E1B4B"/>
          <w:sz w:val="40"/>
          <w:szCs w:val="40"/>
        </w:rPr>
        <w:t xml:space="preserve">Impact Model &amp; Validation Strategy</w:t>
      </w:r>
    </w:p>
    <w:p>
      <w:pPr>
        <w:pBdr>
          <w:bottom w:val="single" w:color="4F46E5" w:sz="6" w:space="1"/>
        </w:pBdr>
        <w:spacing w:before="160" w:after="160"/>
      </w:pPr>
    </w:p>
    <w:p>
      <w:pPr>
        <w:pStyle w:val="Heading2"/>
        <w:spacing w:before="280" w:after="120"/>
      </w:pPr>
      <w:r>
        <w:rPr>
          <w:rFonts w:ascii="Arial" w:cs="Arial" w:eastAsia="Arial" w:hAnsi="Arial"/>
          <w:b/>
          <w:bCs/>
          <w:color w:val="4F46E5"/>
          <w:sz w:val="30"/>
          <w:szCs w:val="30"/>
        </w:rPr>
        <w:t xml:space="preserve">Quantified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232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Without Chillax.AI</w:t>
            </w:r>
          </w:p>
        </w:tc>
        <w:tc>
          <w:tcPr>
            <w:tcW w:type="dxa" w:w="232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With Chillax.AI</w:t>
            </w:r>
          </w:p>
        </w:tc>
        <w:tc>
          <w:tcPr>
            <w:tcW w:type="dxa" w:w="232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Savings / Impact</w:t>
            </w:r>
          </w:p>
        </w:tc>
      </w:tr>
      <w:tr>
        <w:tc>
          <w:tcPr>
            <w:tcW w:type="dxa" w:w="24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New hire onboarding</w:t>
            </w:r>
          </w:p>
        </w:tc>
        <w:tc>
          <w:tcPr>
            <w:tcW w:type="dxa" w:w="232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60-90 days to first meaningful PR</w:t>
            </w:r>
          </w:p>
        </w:tc>
        <w:tc>
          <w:tcPr>
            <w:tcW w:type="dxa" w:w="232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3-7 days (50% improvement, aligned with DX 2025)</w:t>
            </w:r>
          </w:p>
        </w:tc>
        <w:tc>
          <w:tcPr>
            <w:tcW w:type="dxa" w:w="232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065F46"/>
                <w:sz w:val="20"/>
                <w:szCs w:val="20"/>
              </w:rPr>
              <w:t xml:space="preserve">~55 days saved per hire @ $500/day = $27,500/hire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Code review cycle</w:t>
            </w:r>
          </w:p>
        </w:tc>
        <w:tc>
          <w:tcPr>
            <w:tcW w:type="dxa" w:w="232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4-6 hrs to understand unfamiliar module</w:t>
            </w:r>
          </w:p>
        </w:tc>
        <w:tc>
          <w:tcPr>
            <w:tcW w:type="dxa" w:w="232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15-30 min with KG + AI explanation</w:t>
            </w:r>
          </w:p>
        </w:tc>
        <w:tc>
          <w:tcPr>
            <w:tcW w:type="dxa" w:w="232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065F46"/>
                <w:sz w:val="20"/>
                <w:szCs w:val="20"/>
              </w:rPr>
              <w:t xml:space="preserve">~90% time reduction per review = $200 saved per PR</w:t>
            </w:r>
          </w:p>
        </w:tc>
      </w:tr>
      <w:tr>
        <w:tc>
          <w:tcPr>
            <w:tcW w:type="dxa" w:w="24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Data breach risk</w:t>
            </w:r>
          </w:p>
        </w:tc>
        <w:tc>
          <w:tcPr>
            <w:tcW w:type="dxa" w:w="232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76% of devs send code to cloud tools — $4.88M avg breach cost</w:t>
            </w:r>
          </w:p>
        </w:tc>
        <w:tc>
          <w:tcPr>
            <w:tcW w:type="dxa" w:w="232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Zero cloud exposure — fully offline architecture</w:t>
            </w:r>
          </w:p>
        </w:tc>
        <w:tc>
          <w:tcPr>
            <w:tcW w:type="dxa" w:w="232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065F46"/>
                <w:sz w:val="20"/>
                <w:szCs w:val="20"/>
              </w:rPr>
              <w:t xml:space="preserve">$4.88M breach cost eliminated per incident</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Documentation cost</w:t>
            </w:r>
          </w:p>
        </w:tc>
        <w:tc>
          <w:tcPr>
            <w:tcW w:type="dxa" w:w="232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$15-25k/yr per project to maintain docs manually</w:t>
            </w:r>
          </w:p>
        </w:tc>
        <w:tc>
          <w:tcPr>
            <w:tcW w:type="dxa" w:w="232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Auto-generated from KG — near-zero marginal cost</w:t>
            </w:r>
          </w:p>
        </w:tc>
        <w:tc>
          <w:tcPr>
            <w:tcW w:type="dxa" w:w="232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065F46"/>
                <w:sz w:val="20"/>
                <w:szCs w:val="20"/>
              </w:rPr>
              <w:t xml:space="preserve">$20k/yr saved per project</w:t>
            </w:r>
          </w:p>
        </w:tc>
      </w:tr>
      <w:tr>
        <w:tc>
          <w:tcPr>
            <w:tcW w:type="dxa" w:w="24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Legacy modernization</w:t>
            </w:r>
          </w:p>
        </w:tc>
        <w:tc>
          <w:tcPr>
            <w:tcW w:type="dxa" w:w="232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3-6 month analysis phase before any refactor</w:t>
            </w:r>
          </w:p>
        </w:tc>
        <w:tc>
          <w:tcPr>
            <w:tcW w:type="dxa" w:w="232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1-2 weeks with full KG + AI analysis</w:t>
            </w:r>
          </w:p>
        </w:tc>
        <w:tc>
          <w:tcPr>
            <w:tcW w:type="dxa" w:w="232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065F46"/>
                <w:sz w:val="20"/>
                <w:szCs w:val="20"/>
              </w:rPr>
              <w:t xml:space="preserve">~80% reduction in pre-refactor analysis time</w:t>
            </w:r>
          </w:p>
        </w:tc>
      </w:tr>
    </w:tbl>
    <w:p>
      <w:pPr>
        <w:spacing w:before="60" w:after="60"/>
      </w:pPr>
    </w:p>
    <w:p>
      <w:pPr>
        <w:pStyle w:val="Heading2"/>
        <w:spacing w:before="280" w:after="120"/>
      </w:pPr>
      <w:r>
        <w:rPr>
          <w:rFonts w:ascii="Arial" w:cs="Arial" w:eastAsia="Arial" w:hAnsi="Arial"/>
          <w:b/>
          <w:bCs/>
          <w:color w:val="4F46E5"/>
          <w:sz w:val="30"/>
          <w:szCs w:val="30"/>
        </w:rPr>
        <w:t xml:space="preserve">Back-of-Envelope ROI for a 50-Person Engineering Team</w:t>
      </w:r>
    </w:p>
    <w:p>
      <w:pPr>
        <w:pStyle w:val="ListParagraph"/>
        <w:numPr>
          <w:ilvl w:val="0"/>
          <w:numId w:val="2"/>
        </w:numPr>
        <w:spacing w:before="60" w:after="60"/>
      </w:pPr>
      <w:r>
        <w:rPr>
          <w:rFonts w:ascii="Arial" w:cs="Arial" w:eastAsia="Arial" w:hAnsi="Arial"/>
          <w:color w:val="222222"/>
          <w:sz w:val="21"/>
          <w:szCs w:val="21"/>
        </w:rPr>
        <w:t xml:space="preserve">10 new hires/yr x $27,500 saved = $275,000 in onboarding savings</w:t>
      </w:r>
    </w:p>
    <w:p>
      <w:pPr>
        <w:pStyle w:val="ListParagraph"/>
        <w:numPr>
          <w:ilvl w:val="0"/>
          <w:numId w:val="2"/>
        </w:numPr>
        <w:spacing w:before="60" w:after="60"/>
      </w:pPr>
      <w:r>
        <w:rPr>
          <w:rFonts w:ascii="Arial" w:cs="Arial" w:eastAsia="Arial" w:hAnsi="Arial"/>
          <w:color w:val="222222"/>
          <w:sz w:val="21"/>
          <w:szCs w:val="21"/>
        </w:rPr>
        <w:t xml:space="preserve">500 PRs/yr x $200 saved = $100,000 in review efficiency</w:t>
      </w:r>
    </w:p>
    <w:p>
      <w:pPr>
        <w:pStyle w:val="ListParagraph"/>
        <w:numPr>
          <w:ilvl w:val="0"/>
          <w:numId w:val="2"/>
        </w:numPr>
        <w:spacing w:before="60" w:after="60"/>
      </w:pPr>
      <w:r>
        <w:rPr>
          <w:rFonts w:ascii="Arial" w:cs="Arial" w:eastAsia="Arial" w:hAnsi="Arial"/>
          <w:color w:val="222222"/>
          <w:sz w:val="21"/>
          <w:szCs w:val="21"/>
        </w:rPr>
        <w:t xml:space="preserve">Breach risk elimination: insurance premium reduction of ~$50,000/yr</w:t>
      </w:r>
    </w:p>
    <w:p>
      <w:pPr>
        <w:pStyle w:val="ListParagraph"/>
        <w:numPr>
          <w:ilvl w:val="0"/>
          <w:numId w:val="2"/>
        </w:numPr>
        <w:spacing w:before="60" w:after="60"/>
      </w:pPr>
      <w:r>
        <w:rPr>
          <w:rFonts w:ascii="Arial" w:cs="Arial" w:eastAsia="Arial" w:hAnsi="Arial"/>
          <w:color w:val="222222"/>
          <w:sz w:val="21"/>
          <w:szCs w:val="21"/>
        </w:rPr>
        <w:t xml:space="preserve">2 legacy projects x $20,000 doc savings = $40,000</w:t>
      </w:r>
    </w:p>
    <w:p>
      <w:pPr>
        <w:pStyle w:val="ListParagraph"/>
        <w:numPr>
          <w:ilvl w:val="0"/>
          <w:numId w:val="2"/>
        </w:numPr>
        <w:spacing w:before="80" w:after="80"/>
      </w:pPr>
      <w:r>
        <w:rPr>
          <w:rFonts w:ascii="Arial" w:cs="Arial" w:eastAsia="Arial" w:hAnsi="Arial"/>
          <w:b/>
          <w:bCs/>
          <w:color w:val="1E1B4B"/>
          <w:sz w:val="21"/>
          <w:szCs w:val="21"/>
        </w:rPr>
        <w:t xml:space="preserve">Total estimated annual value: </w:t>
      </w:r>
      <w:r>
        <w:rPr>
          <w:rFonts w:ascii="Arial" w:cs="Arial" w:eastAsia="Arial" w:hAnsi="Arial"/>
          <w:b/>
          <w:bCs/>
          <w:color w:val="065F46"/>
          <w:sz w:val="21"/>
          <w:szCs w:val="21"/>
        </w:rPr>
        <w:t xml:space="preserve">$465,000+ for a 50-person team</w:t>
      </w:r>
      <w:r>
        <w:rPr>
          <w:rFonts w:ascii="Arial" w:cs="Arial" w:eastAsia="Arial" w:hAnsi="Arial"/>
          <w:color w:val="6B7280"/>
          <w:sz w:val="21"/>
          <w:szCs w:val="21"/>
        </w:rPr>
        <w:t xml:space="preserve"> vs enterprise license cost of $9,950/yr</w:t>
      </w:r>
    </w:p>
    <w:p>
      <w:pPr>
        <w:spacing w:before="60" w:after="60"/>
      </w:pPr>
    </w:p>
    <w:p>
      <w:pPr>
        <w:pStyle w:val="Heading2"/>
        <w:spacing w:before="280" w:after="120"/>
      </w:pPr>
      <w:r>
        <w:rPr>
          <w:rFonts w:ascii="Arial" w:cs="Arial" w:eastAsia="Arial" w:hAnsi="Arial"/>
          <w:b/>
          <w:bCs/>
          <w:color w:val="4F46E5"/>
          <w:sz w:val="30"/>
          <w:szCs w:val="30"/>
        </w:rPr>
        <w:t xml:space="preserve">Validation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80"/>
        <w:gridCol w:w="3080"/>
      </w:tblGrid>
      <w:tr>
        <w:tc>
          <w:tcPr>
            <w:tcW w:type="dxa" w:w="60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240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Test Type</w:t>
            </w:r>
          </w:p>
        </w:tc>
        <w:tc>
          <w:tcPr>
            <w:tcW w:type="dxa" w:w="328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Method</w:t>
            </w:r>
          </w:p>
        </w:tc>
        <w:tc>
          <w:tcPr>
            <w:tcW w:type="dxa" w:w="3080"/>
            <w:tcBorders>
              <w:top w:val="single" w:color="E5E7EB" w:sz="1"/>
              <w:left w:val="single" w:color="E5E7EB" w:sz="1"/>
              <w:bottom w:val="single" w:color="E5E7EB" w:sz="1"/>
              <w:right w:val="single" w:color="E5E7EB" w:sz="1"/>
            </w:tcBorders>
            <w:shd w:fill="4F46E5" w:val="clear"/>
            <w:tcMar>
              <w:top w:type="dxa" w:w="100"/>
              <w:left w:type="dxa" w:w="150"/>
              <w:bottom w:type="dxa" w:w="100"/>
              <w:right w:type="dxa" w:w="150"/>
            </w:tcMar>
          </w:tcPr>
          <w:p>
            <w:r>
              <w:rPr>
                <w:rFonts w:ascii="Arial" w:cs="Arial" w:eastAsia="Arial" w:hAnsi="Arial"/>
                <w:b/>
                <w:bCs/>
                <w:color w:val="FFFFFF"/>
                <w:sz w:val="20"/>
                <w:szCs w:val="20"/>
              </w:rPr>
              <w:t xml:space="preserve">Success Target</w:t>
            </w:r>
          </w:p>
        </w:tc>
      </w:tr>
      <w:tr>
        <w:tc>
          <w:tcPr>
            <w:tcW w:type="dxa" w:w="6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4F46E5"/>
                <w:sz w:val="20"/>
                <w:szCs w:val="20"/>
              </w:rPr>
              <w:t xml:space="preserve">1</w:t>
            </w:r>
          </w:p>
        </w:tc>
        <w:tc>
          <w:tcPr>
            <w:tcW w:type="dxa" w:w="24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1E1B4B"/>
                <w:sz w:val="20"/>
                <w:szCs w:val="20"/>
              </w:rPr>
              <w:t xml:space="preserve">Accuracy Testing</w:t>
            </w:r>
          </w:p>
        </w:tc>
        <w:tc>
          <w:tcPr>
            <w:tcW w:type="dxa" w:w="328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Compare AI-generated explanations against ground-truth AST dependency graphs on 20 open-source Python projects</w:t>
            </w:r>
          </w:p>
        </w:tc>
        <w:tc>
          <w:tcPr>
            <w:tcW w:type="dxa" w:w="308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065F46"/>
                <w:sz w:val="20"/>
                <w:szCs w:val="20"/>
              </w:rPr>
              <w:t xml:space="preserve">90%+ correctness match with AST ground truth</w:t>
            </w:r>
          </w:p>
        </w:tc>
      </w:tr>
      <w:tr>
        <w:tc>
          <w:tcPr>
            <w:tcW w:type="dxa" w:w="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4F46E5"/>
                <w:sz w:val="20"/>
                <w:szCs w:val="20"/>
              </w:rPr>
              <w:t xml:space="preserve">2</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E1B4B"/>
                <w:sz w:val="20"/>
                <w:szCs w:val="20"/>
              </w:rPr>
              <w:t xml:space="preserve">Performance Benchmarking</w:t>
            </w:r>
          </w:p>
        </w:tc>
        <w:tc>
          <w:tcPr>
            <w:tcW w:type="dxa" w:w="32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Measure end-to-end inference latency on 8GB RAM laptop (base hardware target) for projects of varying sizes</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065F46"/>
                <w:sz w:val="20"/>
                <w:szCs w:val="20"/>
              </w:rPr>
              <w:t xml:space="preserve">Sub-5-second response on standard 8GB RAM machine</w:t>
            </w:r>
          </w:p>
        </w:tc>
      </w:tr>
      <w:tr>
        <w:tc>
          <w:tcPr>
            <w:tcW w:type="dxa" w:w="6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4F46E5"/>
                <w:sz w:val="20"/>
                <w:szCs w:val="20"/>
              </w:rPr>
              <w:t xml:space="preserve">3</w:t>
            </w:r>
          </w:p>
        </w:tc>
        <w:tc>
          <w:tcPr>
            <w:tcW w:type="dxa" w:w="24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1E1B4B"/>
                <w:sz w:val="20"/>
                <w:szCs w:val="20"/>
              </w:rPr>
              <w:t xml:space="preserve">User Study</w:t>
            </w:r>
          </w:p>
        </w:tc>
        <w:tc>
          <w:tcPr>
            <w:tcW w:type="dxa" w:w="328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Simulated onboarding tasks: participants find target functionality in unfamiliar codebase — with vs. without Chillax.AI</w:t>
            </w:r>
          </w:p>
        </w:tc>
        <w:tc>
          <w:tcPr>
            <w:tcW w:type="dxa" w:w="308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tcPr>
          <w:p>
            <w:r>
              <w:rPr>
                <w:rFonts w:ascii="Arial" w:cs="Arial" w:eastAsia="Arial" w:hAnsi="Arial"/>
                <w:b/>
                <w:bCs/>
                <w:color w:val="065F46"/>
                <w:sz w:val="20"/>
                <w:szCs w:val="20"/>
              </w:rPr>
              <w:t xml:space="preserve">50% faster time-to-discovery vs. control group</w:t>
            </w:r>
          </w:p>
        </w:tc>
      </w:tr>
      <w:tr>
        <w:tc>
          <w:tcPr>
            <w:tcW w:type="dxa" w:w="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4F46E5"/>
                <w:sz w:val="20"/>
                <w:szCs w:val="20"/>
              </w:rPr>
              <w:t xml:space="preserve">4</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E1B4B"/>
                <w:sz w:val="20"/>
                <w:szCs w:val="20"/>
              </w:rPr>
              <w:t xml:space="preserve">Hallucination Rate</w:t>
            </w:r>
          </w:p>
        </w:tc>
        <w:tc>
          <w:tcPr>
            <w:tcW w:type="dxa" w:w="32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Compare answer accuracy: raw LLM (no KG context) vs. Chillax.AI (KG-enriched) on 100 code Q&amp;A pairs</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065F46"/>
                <w:sz w:val="20"/>
                <w:szCs w:val="20"/>
              </w:rPr>
              <w:t xml:space="preserve">40%+ reduction in hallucination rate vs. vanilla LLM</w:t>
            </w:r>
          </w:p>
        </w:tc>
      </w:tr>
    </w:tbl>
    <w:p>
      <w:pPr>
        <w:spacing w:before="60" w:after="60"/>
      </w:pPr>
    </w:p>
    <w:p>
      <w:pPr>
        <w:pBdr>
          <w:bottom w:val="single" w:color="4F46E5" w:sz="6" w:space="1"/>
        </w:pBdr>
        <w:spacing w:before="160" w:after="160"/>
      </w:pPr>
    </w:p>
    <w:p>
      <w:pPr>
        <w:spacing w:before="60" w:after="60"/>
      </w:pPr>
    </w:p>
    <w:p>
      <w:pPr>
        <w:spacing w:before="80" w:after="40"/>
        <w:jc w:val="center"/>
      </w:pPr>
      <w:r>
        <w:rPr>
          <w:rFonts w:ascii="Arial" w:cs="Arial" w:eastAsia="Arial" w:hAnsi="Arial"/>
          <w:b/>
          <w:bCs/>
          <w:color w:val="4F46E5"/>
          <w:sz w:val="22"/>
          <w:szCs w:val="22"/>
        </w:rPr>
        <w:t xml:space="preserve">Chillax.AI  —  github.com/Sansyuh06/Chillax.AI-AI-Based-IDE</w:t>
      </w:r>
    </w:p>
    <w:p>
      <w:pPr>
        <w:spacing w:before="0" w:after="40"/>
        <w:jc w:val="center"/>
      </w:pPr>
      <w:r>
        <w:rPr>
          <w:rFonts w:ascii="Arial" w:cs="Arial" w:eastAsia="Arial" w:hAnsi="Arial"/>
          <w:color w:val="6B7280"/>
          <w:sz w:val="20"/>
          <w:szCs w:val="20"/>
        </w:rPr>
        <w:t xml:space="preserve">Team: "Pro"crastinators  |  santhnu006@outlook.com  |  ET Gen AI Hackathon 2026</w:t>
      </w:r>
    </w:p>
    <w:sectPr>
      <w:headerReference w:type="default" r:id="rId6"/>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4" w:space="3"/>
      </w:pBdr>
      <w:jc w:val="center"/>
    </w:pPr>
    <w:r>
      <w:rPr>
        <w:rFonts w:ascii="Arial" w:cs="Arial" w:eastAsia="Arial" w:hAnsi="Arial"/>
        <w:color w:val="6B7280"/>
        <w:sz w:val="17"/>
        <w:szCs w:val="17"/>
      </w:rPr>
      <w:t xml:space="preserve">Team: "Pro"crastinators  |  Page </w:t>
    </w:r>
    <w:r>
      <w:rPr>
        <w:rFonts w:ascii="Arial" w:cs="Arial" w:eastAsia="Arial" w:hAnsi="Arial"/>
        <w:color w:val="6B7280"/>
        <w:sz w:val="17"/>
        <w:szCs w:val="17"/>
      </w:rPr>
      <w:fldChar w:fldCharType="begin"/>
      <w:instrText xml:space="preserve">PAGE</w:instrText>
      <w:fldChar w:fldCharType="separate"/>
      <w:fldChar w:fldCharType="end"/>
    </w:r>
    <w:r>
      <w:rPr>
        <w:rFonts w:ascii="Arial" w:cs="Arial" w:eastAsia="Arial" w:hAnsi="Arial"/>
        <w:color w:val="6B7280"/>
        <w:sz w:val="17"/>
        <w:szCs w:val="17"/>
      </w:rPr>
      <w:t xml:space="preserve"> of </w:t>
    </w:r>
    <w:r>
      <w:rPr>
        <w:rFonts w:ascii="Arial" w:cs="Arial" w:eastAsia="Arial" w:hAnsi="Arial"/>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3"/>
      </w:pBdr>
    </w:pPr>
    <w:r>
      <w:rPr>
        <w:rFonts w:ascii="Arial" w:cs="Arial" w:eastAsia="Arial" w:hAnsi="Arial"/>
        <w:b/>
        <w:bCs/>
        <w:color w:val="4F46E5"/>
        <w:sz w:val="18"/>
        <w:szCs w:val="18"/>
      </w:rPr>
      <w:t xml:space="preserve">Chillax.AI</w:t>
    </w:r>
    <w:r>
      <w:rPr>
        <w:rFonts w:ascii="Arial" w:cs="Arial" w:eastAsia="Arial" w:hAnsi="Arial"/>
        <w:color w:val="6B7280"/>
        <w:sz w:val="18"/>
        <w:szCs w:val="18"/>
      </w:rPr>
      <w:t xml:space="preserve">  |  Stop Stressing, Start Understanding  |  ET Gen AI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1B4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4F46E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2026-03-28T14:44:00.263Z</dcterms:created>
  <dcterms:modified xsi:type="dcterms:W3CDTF">2026-03-28T14:44:00.263Z</dcterms:modified>
</cp:coreProperties>
</file>

<file path=docProps/custom.xml><?xml version="1.0" encoding="utf-8"?>
<Properties xmlns="http://schemas.openxmlformats.org/officeDocument/2006/custom-properties" xmlns:vt="http://schemas.openxmlformats.org/officeDocument/2006/docPropsVTypes"/>
</file>