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PARTE CONCEPTUAL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1) ¿Qué se define como memoria estática?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2) ¿Qué se define como memoria dinámica?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3) ¿Qué es una variable de tipo puntero?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4) ¿Qué hace la operación “NEW” aplicada en una variable del tipo puntero?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5) ¿Qué hace la operación “DISPOSE” aplicada en una variable del tipo puntero?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1) Es la memoria que utilizan las variables del programa principal, no cambia a lo largo del programa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2) Es el tamaño que realmente ocupan las variables, varía a lo largo de la ejecución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3) Es un tipo de variable que representa una dirección de memoria dinámica, son un tipo de dato simple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4) Reserva una dirección de memoria dinámica para poder asignar contenidos a la dirección de la variable puntero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5) Libera la dirección que contenía la variable puntero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