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C4" w:rsidRDefault="001469FC">
      <w:r>
        <w:rPr>
          <w:rFonts w:hint="eastAsia"/>
        </w:rPr>
        <w:t>一、绪论</w:t>
      </w:r>
    </w:p>
    <w:p w:rsidR="001469FC" w:rsidRDefault="001469FC">
      <w:r>
        <w:rPr>
          <w:rFonts w:hint="eastAsia"/>
        </w:rPr>
        <w:t>二、材料与方法</w:t>
      </w:r>
    </w:p>
    <w:p w:rsidR="001469FC" w:rsidRDefault="001469FC">
      <w:r>
        <w:rPr>
          <w:rFonts w:hint="eastAsia"/>
        </w:rPr>
        <w:t>2.1实验材料</w:t>
      </w:r>
    </w:p>
    <w:p w:rsidR="001469FC" w:rsidRDefault="001469FC">
      <w:r>
        <w:rPr>
          <w:rFonts w:hint="eastAsia"/>
        </w:rPr>
        <w:t>2.2实验试剂</w:t>
      </w:r>
    </w:p>
    <w:p w:rsidR="001469FC" w:rsidRDefault="001469FC">
      <w:r>
        <w:rPr>
          <w:rFonts w:hint="eastAsia"/>
        </w:rPr>
        <w:t>2.3实验仪器</w:t>
      </w:r>
    </w:p>
    <w:p w:rsidR="001469FC" w:rsidRDefault="001469FC">
      <w:r>
        <w:rPr>
          <w:rFonts w:hint="eastAsia"/>
        </w:rPr>
        <w:t>2.4实验方法</w:t>
      </w:r>
    </w:p>
    <w:p w:rsidR="001469FC" w:rsidRDefault="001469FC">
      <w:r>
        <w:tab/>
      </w:r>
      <w:r>
        <w:rPr>
          <w:rFonts w:hint="eastAsia"/>
        </w:rPr>
        <w:t>2.4.1水稻基因组DNA提取（CTAB方法</w:t>
      </w:r>
      <w:bookmarkStart w:id="0" w:name="_GoBack"/>
      <w:bookmarkEnd w:id="0"/>
      <w:r>
        <w:rPr>
          <w:rFonts w:hint="eastAsia"/>
        </w:rPr>
        <w:t>）</w:t>
      </w:r>
    </w:p>
    <w:p w:rsidR="001469FC" w:rsidRDefault="001469FC">
      <w:r>
        <w:tab/>
      </w:r>
      <w:r>
        <w:rPr>
          <w:rFonts w:hint="eastAsia"/>
        </w:rPr>
        <w:t>2.4.2水稻基因组定向修饰突变体材料PCR-SSCP检测</w:t>
      </w:r>
    </w:p>
    <w:p w:rsidR="001469FC" w:rsidRDefault="001469FC">
      <w:pPr>
        <w:rPr>
          <w:rFonts w:hint="eastAsia"/>
        </w:rPr>
      </w:pPr>
      <w:r>
        <w:tab/>
      </w:r>
      <w:r>
        <w:rPr>
          <w:rFonts w:hint="eastAsia"/>
        </w:rPr>
        <w:t>2.4.3水稻基因组定向修饰突变体材料盐胁迫实验</w:t>
      </w:r>
    </w:p>
    <w:p w:rsidR="001469FC" w:rsidRDefault="001469FC">
      <w:r>
        <w:rPr>
          <w:rFonts w:hint="eastAsia"/>
        </w:rPr>
        <w:t>三、结果与分析</w:t>
      </w:r>
    </w:p>
    <w:p w:rsidR="001469FC" w:rsidRDefault="001469FC">
      <w:r>
        <w:rPr>
          <w:rFonts w:hint="eastAsia"/>
        </w:rPr>
        <w:t>3.1水稻再生植株转基因阳性鉴定</w:t>
      </w:r>
    </w:p>
    <w:p w:rsidR="001469FC" w:rsidRDefault="001469FC">
      <w:r>
        <w:rPr>
          <w:rFonts w:hint="eastAsia"/>
        </w:rPr>
        <w:t>3.2水稻miRNA172植株目的基因基因突变鉴定</w:t>
      </w:r>
    </w:p>
    <w:p w:rsidR="001469FC" w:rsidRDefault="001469FC">
      <w:pPr>
        <w:rPr>
          <w:rFonts w:hint="eastAsia"/>
        </w:rPr>
      </w:pPr>
      <w:r>
        <w:rPr>
          <w:rFonts w:hint="eastAsia"/>
        </w:rPr>
        <w:t>3.3水稻miRNA172植株目的基因检测与基因型分析</w:t>
      </w:r>
    </w:p>
    <w:p w:rsidR="001469FC" w:rsidRDefault="001469FC">
      <w:r>
        <w:rPr>
          <w:rFonts w:hint="eastAsia"/>
        </w:rPr>
        <w:t>四、讨论</w:t>
      </w:r>
    </w:p>
    <w:p w:rsidR="001469FC" w:rsidRDefault="001469FC">
      <w:r>
        <w:rPr>
          <w:rFonts w:hint="eastAsia"/>
        </w:rPr>
        <w:t>五、结论</w:t>
      </w:r>
    </w:p>
    <w:p w:rsidR="001469FC" w:rsidRDefault="001469FC"/>
    <w:p w:rsidR="001469FC" w:rsidRDefault="001469FC">
      <w:pPr>
        <w:rPr>
          <w:rFonts w:hint="eastAsia"/>
        </w:rPr>
      </w:pPr>
      <w:r>
        <w:rPr>
          <w:rFonts w:hint="eastAsia"/>
        </w:rPr>
        <w:t>参考文献</w:t>
      </w:r>
    </w:p>
    <w:sectPr w:rsidR="0014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FC"/>
    <w:rsid w:val="001469FC"/>
    <w:rsid w:val="006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C81F"/>
  <w15:chartTrackingRefBased/>
  <w15:docId w15:val="{35B41887-033E-4EEF-8953-E8B29921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Acher</dc:creator>
  <cp:keywords/>
  <dc:description/>
  <cp:lastModifiedBy>Dead Acher</cp:lastModifiedBy>
  <cp:revision>1</cp:revision>
  <dcterms:created xsi:type="dcterms:W3CDTF">2020-03-01T12:23:00Z</dcterms:created>
  <dcterms:modified xsi:type="dcterms:W3CDTF">2020-03-01T12:32:00Z</dcterms:modified>
</cp:coreProperties>
</file>