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47" w:rsidRDefault="00290547" w:rsidP="00290547">
      <w:r>
        <w:t xml:space="preserve">1500-2000字，主要从以下五个方面进行阐述（参考毕业论文正文格式：宋体小4号，英文字体为Times New Rome，行间距固定20磅，可另加页）： </w:t>
      </w:r>
    </w:p>
    <w:p w:rsidR="00290547" w:rsidRPr="008D0A68" w:rsidRDefault="00290547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1．研究现状及发展态势</w:t>
      </w:r>
    </w:p>
    <w:p w:rsidR="00110B52" w:rsidRDefault="008D0A68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A7802">
        <w:rPr>
          <w:rFonts w:ascii="宋体" w:eastAsia="宋体" w:hAnsi="宋体" w:hint="eastAsia"/>
          <w:sz w:val="24"/>
          <w:szCs w:val="24"/>
        </w:rPr>
        <w:t>近年的研究表明，植物很多生命过程受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>
        <w:rPr>
          <w:rFonts w:ascii="宋体" w:eastAsia="宋体" w:hAnsi="宋体" w:hint="eastAsia"/>
          <w:sz w:val="24"/>
          <w:szCs w:val="24"/>
        </w:rPr>
        <w:t>调控，如生长发育、信号转导、抗逆性等。植物受环境元素变化的影响，其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>
        <w:rPr>
          <w:rFonts w:ascii="宋体" w:eastAsia="宋体" w:hAnsi="宋体" w:hint="eastAsia"/>
          <w:sz w:val="24"/>
          <w:szCs w:val="24"/>
        </w:rPr>
        <w:t>表达量会随环境因素变化而改变，</w:t>
      </w:r>
      <w:r w:rsidR="002A7802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A7802">
        <w:rPr>
          <w:rFonts w:ascii="宋体" w:eastAsia="宋体" w:hAnsi="宋体" w:hint="eastAsia"/>
          <w:sz w:val="24"/>
          <w:szCs w:val="24"/>
        </w:rPr>
        <w:t>通过调控其靶基因表达，使植物在生理与形态上产生对环境的适应性。</w:t>
      </w:r>
    </w:p>
    <w:p w:rsidR="008D0A68" w:rsidRDefault="00514168" w:rsidP="0051416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294610">
        <w:rPr>
          <w:rFonts w:ascii="Times New Roman" w:eastAsia="宋体" w:hAnsi="Times New Roman" w:cs="Times New Roman" w:hint="eastAsia"/>
          <w:sz w:val="24"/>
          <w:szCs w:val="24"/>
        </w:rPr>
        <w:t>miRNA172</w:t>
      </w:r>
      <w:r>
        <w:rPr>
          <w:rFonts w:ascii="宋体" w:eastAsia="宋体" w:hAnsi="宋体" w:hint="eastAsia"/>
          <w:sz w:val="24"/>
          <w:szCs w:val="24"/>
        </w:rPr>
        <w:t>是通过调节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AP2-like</w:t>
      </w:r>
      <w:r>
        <w:rPr>
          <w:rFonts w:ascii="宋体" w:eastAsia="宋体" w:hAnsi="宋体" w:hint="eastAsia"/>
          <w:sz w:val="24"/>
          <w:szCs w:val="24"/>
        </w:rPr>
        <w:t>转录因子表达参与调节植物开花时间与</w:t>
      </w:r>
      <w:r w:rsidR="00294610">
        <w:rPr>
          <w:rFonts w:ascii="宋体" w:eastAsia="宋体" w:hAnsi="宋体" w:hint="eastAsia"/>
          <w:sz w:val="24"/>
          <w:szCs w:val="24"/>
        </w:rPr>
        <w:t>花器官形成的一类重要</w:t>
      </w:r>
      <w:r w:rsidR="00294610" w:rsidRPr="00294610">
        <w:rPr>
          <w:rFonts w:ascii="Times New Roman" w:eastAsia="宋体" w:hAnsi="Times New Roman" w:cs="Times New Roman" w:hint="eastAsia"/>
          <w:sz w:val="24"/>
          <w:szCs w:val="24"/>
        </w:rPr>
        <w:t>miRNA</w:t>
      </w:r>
      <w:r w:rsidR="00294610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在水稻中，</w:t>
      </w:r>
      <w:r w:rsidR="008D0A68" w:rsidRPr="00294610">
        <w:rPr>
          <w:rFonts w:ascii="Times New Roman" w:eastAsia="宋体" w:hAnsi="Times New Roman" w:cs="Times New Roman"/>
          <w:sz w:val="24"/>
          <w:szCs w:val="24"/>
        </w:rPr>
        <w:t>miRNA172</w:t>
      </w:r>
      <w:r>
        <w:rPr>
          <w:rFonts w:ascii="宋体" w:eastAsia="宋体" w:hAnsi="宋体" w:hint="eastAsia"/>
          <w:sz w:val="24"/>
          <w:szCs w:val="24"/>
        </w:rPr>
        <w:t>家族有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个成员（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OsmiR172a-d</w:t>
      </w:r>
      <w:r>
        <w:rPr>
          <w:rFonts w:ascii="宋体" w:eastAsia="宋体" w:hAnsi="宋体" w:hint="eastAsia"/>
          <w:sz w:val="24"/>
          <w:szCs w:val="24"/>
        </w:rPr>
        <w:t>），分别位于水稻基因组第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94610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染色体上。</w:t>
      </w:r>
      <w:bookmarkStart w:id="0" w:name="_GoBack"/>
      <w:bookmarkEnd w:id="0"/>
    </w:p>
    <w:p w:rsidR="00514168" w:rsidRPr="008D0A68" w:rsidRDefault="00514168" w:rsidP="00514168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</w:p>
    <w:p w:rsidR="00290547" w:rsidRPr="008D0A68" w:rsidRDefault="00290547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2．选题依据及意义</w:t>
      </w:r>
    </w:p>
    <w:p w:rsidR="008D0A68" w:rsidRPr="008D0A68" w:rsidRDefault="008D0A68" w:rsidP="0030139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39A">
        <w:rPr>
          <w:rFonts w:ascii="宋体" w:eastAsia="宋体" w:hAnsi="宋体" w:hint="eastAsia"/>
          <w:sz w:val="24"/>
          <w:szCs w:val="24"/>
        </w:rPr>
        <w:t>通过对</w:t>
      </w:r>
      <w:r w:rsidR="0030139A"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="0030139A" w:rsidRP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="0030139A">
        <w:rPr>
          <w:rFonts w:ascii="宋体" w:eastAsia="宋体" w:hAnsi="宋体" w:hint="eastAsia"/>
          <w:sz w:val="24"/>
          <w:szCs w:val="24"/>
        </w:rPr>
        <w:t>定向敲除突变体的鉴定分析，可以为深入研究</w:t>
      </w:r>
      <w:r w:rsidR="0030139A" w:rsidRPr="0030139A">
        <w:rPr>
          <w:rFonts w:ascii="Times New Roman" w:eastAsia="宋体" w:hAnsi="Times New Roman" w:cs="Times New Roman" w:hint="eastAsia"/>
          <w:sz w:val="24"/>
          <w:szCs w:val="24"/>
        </w:rPr>
        <w:t>OsmiR172</w:t>
      </w:r>
      <w:r w:rsidR="0030139A">
        <w:rPr>
          <w:rFonts w:ascii="宋体" w:eastAsia="宋体" w:hAnsi="宋体" w:hint="eastAsia"/>
          <w:sz w:val="24"/>
          <w:szCs w:val="24"/>
        </w:rPr>
        <w:t>生物功能提供可靠突变体材料。</w:t>
      </w:r>
    </w:p>
    <w:p w:rsidR="00290547" w:rsidRPr="008D0A68" w:rsidRDefault="00290547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3．课题研究内容</w:t>
      </w:r>
    </w:p>
    <w:p w:rsidR="008D0A68" w:rsidRDefault="008D0A68" w:rsidP="0051416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 w:hint="eastAsia"/>
          <w:sz w:val="24"/>
          <w:szCs w:val="24"/>
        </w:rPr>
        <w:t>通过利用</w:t>
      </w:r>
      <w:r w:rsidRPr="0030139A">
        <w:rPr>
          <w:rFonts w:ascii="Times New Roman" w:eastAsia="宋体" w:hAnsi="Times New Roman" w:cs="Times New Roman"/>
          <w:sz w:val="24"/>
          <w:szCs w:val="24"/>
        </w:rPr>
        <w:t>SSCP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Sanger</w:t>
      </w:r>
      <w:r w:rsidRPr="008D0A68">
        <w:rPr>
          <w:rFonts w:ascii="宋体" w:eastAsia="宋体" w:hAnsi="宋体"/>
          <w:sz w:val="24"/>
          <w:szCs w:val="24"/>
        </w:rPr>
        <w:t>测序对水稻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</w:t>
      </w:r>
      <w:r w:rsidRPr="008D0A68">
        <w:rPr>
          <w:rFonts w:ascii="宋体" w:eastAsia="宋体" w:hAnsi="宋体"/>
          <w:sz w:val="24"/>
          <w:szCs w:val="24"/>
        </w:rPr>
        <w:t>定向敲除突变体的鉴定分析，筛选得到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</w:t>
      </w:r>
      <w:r w:rsidR="0030139A">
        <w:rPr>
          <w:rFonts w:ascii="Times New Roman" w:eastAsia="宋体" w:hAnsi="Times New Roman" w:cs="Times New Roman" w:hint="eastAsia"/>
          <w:sz w:val="24"/>
          <w:szCs w:val="24"/>
        </w:rPr>
        <w:t>172</w:t>
      </w:r>
      <w:r w:rsidRPr="0030139A">
        <w:rPr>
          <w:rFonts w:ascii="Times New Roman" w:eastAsia="宋体" w:hAnsi="Times New Roman" w:cs="Times New Roman"/>
          <w:sz w:val="24"/>
          <w:szCs w:val="24"/>
        </w:rPr>
        <w:t>d</w:t>
      </w:r>
      <w:r w:rsidRPr="008D0A68">
        <w:rPr>
          <w:rFonts w:ascii="宋体" w:eastAsia="宋体" w:hAnsi="宋体"/>
          <w:sz w:val="24"/>
          <w:szCs w:val="24"/>
        </w:rPr>
        <w:t>单突变体及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OsmiR172ad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OsmiR172bc</w:t>
      </w:r>
      <w:r w:rsidRPr="008D0A68">
        <w:rPr>
          <w:rFonts w:ascii="宋体" w:eastAsia="宋体" w:hAnsi="宋体"/>
          <w:sz w:val="24"/>
          <w:szCs w:val="24"/>
        </w:rPr>
        <w:t>、</w:t>
      </w:r>
      <w:r w:rsidRPr="0030139A">
        <w:rPr>
          <w:rFonts w:ascii="Times New Roman" w:eastAsia="宋体" w:hAnsi="Times New Roman" w:cs="Times New Roman"/>
          <w:sz w:val="24"/>
          <w:szCs w:val="24"/>
        </w:rPr>
        <w:t>OsmiR172abcd</w:t>
      </w:r>
      <w:r w:rsidRPr="008D0A68">
        <w:rPr>
          <w:rFonts w:ascii="宋体" w:eastAsia="宋体" w:hAnsi="宋体"/>
          <w:sz w:val="24"/>
          <w:szCs w:val="24"/>
        </w:rPr>
        <w:t>等多突变体。</w:t>
      </w:r>
    </w:p>
    <w:p w:rsidR="00514168" w:rsidRPr="008D0A68" w:rsidRDefault="00514168" w:rsidP="0051416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:rsidR="00A86CB3" w:rsidRDefault="00290547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4. 拟解决的关键问题和最终目标，以及拟采取的主要理论、技术路线和实施方案等：</w:t>
      </w:r>
    </w:p>
    <w:p w:rsidR="00A86CB3" w:rsidRDefault="00A86CB3" w:rsidP="0030139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关键问题和最终目标：需要先从材料中筛选出单突变株和多突变株，再分别对不同突变株进行测序。</w:t>
      </w:r>
    </w:p>
    <w:p w:rsidR="008D0A68" w:rsidRPr="008D0A68" w:rsidRDefault="00D40933" w:rsidP="0030139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86CB3">
        <w:rPr>
          <w:rFonts w:ascii="宋体" w:eastAsia="宋体" w:hAnsi="宋体" w:hint="eastAsia"/>
          <w:sz w:val="24"/>
          <w:szCs w:val="24"/>
        </w:rPr>
        <w:t>拟采取的方法：</w:t>
      </w:r>
      <w:r>
        <w:rPr>
          <w:rFonts w:ascii="宋体" w:eastAsia="宋体" w:hAnsi="宋体" w:hint="eastAsia"/>
          <w:sz w:val="24"/>
          <w:szCs w:val="24"/>
        </w:rPr>
        <w:t>通过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PCR-SSCP</w:t>
      </w:r>
      <w:r>
        <w:rPr>
          <w:rFonts w:ascii="宋体" w:eastAsia="宋体" w:hAnsi="宋体" w:hint="eastAsia"/>
          <w:sz w:val="24"/>
          <w:szCs w:val="24"/>
        </w:rPr>
        <w:t>进行简单的突变体初筛，分选出单突变体和多突变体。之后通过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Sanger</w:t>
      </w:r>
      <w:r>
        <w:rPr>
          <w:rFonts w:ascii="宋体" w:eastAsia="宋体" w:hAnsi="宋体" w:hint="eastAsia"/>
          <w:sz w:val="24"/>
          <w:szCs w:val="24"/>
        </w:rPr>
        <w:t>测序判断具体的突变情况，得到突变体的基因型。</w:t>
      </w:r>
    </w:p>
    <w:p w:rsidR="00290547" w:rsidRPr="008D0A68" w:rsidRDefault="00290547" w:rsidP="0030139A">
      <w:pPr>
        <w:spacing w:line="400" w:lineRule="exact"/>
        <w:rPr>
          <w:rFonts w:ascii="宋体" w:eastAsia="宋体" w:hAnsi="宋体"/>
          <w:sz w:val="24"/>
          <w:szCs w:val="24"/>
        </w:rPr>
      </w:pPr>
      <w:r w:rsidRPr="008D0A68">
        <w:rPr>
          <w:rFonts w:ascii="宋体" w:eastAsia="宋体" w:hAnsi="宋体"/>
          <w:sz w:val="24"/>
          <w:szCs w:val="24"/>
        </w:rPr>
        <w:t>5．论文特色或创新点</w:t>
      </w:r>
    </w:p>
    <w:p w:rsidR="008D0A68" w:rsidRPr="008D0A68" w:rsidRDefault="00110B52" w:rsidP="0030139A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通过筛选与鉴定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OsmiR172</w:t>
      </w:r>
      <w:r>
        <w:rPr>
          <w:rFonts w:ascii="宋体" w:eastAsia="宋体" w:hAnsi="宋体" w:hint="eastAsia"/>
          <w:sz w:val="24"/>
          <w:szCs w:val="24"/>
        </w:rPr>
        <w:t>定向敲除突变体，并对其遗传稳定性、胁迫表型等进行分析，可以为研究</w:t>
      </w:r>
      <w:r w:rsidRPr="0030139A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Pr="0030139A">
        <w:rPr>
          <w:rFonts w:ascii="Times New Roman" w:eastAsia="宋体" w:hAnsi="Times New Roman" w:cs="Times New Roman"/>
          <w:sz w:val="24"/>
          <w:szCs w:val="24"/>
        </w:rPr>
        <w:t>miR172</w:t>
      </w:r>
      <w:r>
        <w:rPr>
          <w:rFonts w:ascii="宋体" w:eastAsia="宋体" w:hAnsi="宋体" w:hint="eastAsia"/>
          <w:sz w:val="24"/>
          <w:szCs w:val="24"/>
        </w:rPr>
        <w:t>生物功能提供可靠突变体材料及实验数据。</w:t>
      </w:r>
    </w:p>
    <w:sectPr w:rsidR="008D0A68" w:rsidRPr="008D0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47"/>
    <w:rsid w:val="000C7183"/>
    <w:rsid w:val="00110B52"/>
    <w:rsid w:val="00290547"/>
    <w:rsid w:val="00294610"/>
    <w:rsid w:val="002A7802"/>
    <w:rsid w:val="0030139A"/>
    <w:rsid w:val="00514168"/>
    <w:rsid w:val="00766411"/>
    <w:rsid w:val="008D0A68"/>
    <w:rsid w:val="00A86CB3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35AE"/>
  <w15:chartTrackingRefBased/>
  <w15:docId w15:val="{8FE443B4-1574-4D0E-B13D-73AC185F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Acher Dead</dc:creator>
  <cp:keywords/>
  <dc:description/>
  <cp:lastModifiedBy>Dead Acher</cp:lastModifiedBy>
  <cp:revision>1</cp:revision>
  <dcterms:created xsi:type="dcterms:W3CDTF">2019-12-30T09:18:00Z</dcterms:created>
  <dcterms:modified xsi:type="dcterms:W3CDTF">2019-12-30T15:24:00Z</dcterms:modified>
</cp:coreProperties>
</file>