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APÓLICE DE SEGURO DE RESPONSABILIDADE CIVIL DE ADMINISTRADORES E DIRETORES (D&amp;O)</w:t>
      </w:r>
    </w:p>
    <w:p>
      <w:r>
        <w:rPr>
          <w:b/>
        </w:rPr>
        <w:t>Aurelius Seguros S.A. – CNPJ 11.204.877/0001-30 – Código SUSEP 06.412</w:t>
      </w:r>
    </w:p>
    <w:p>
      <w:r>
        <w:rPr>
          <w:color w:val="3B4A5A"/>
          <w:sz w:val="16"/>
        </w:rPr>
        <w:t>Av. Brigadeiro Faria Lima, 4.100, 12º andar, São Paulo/SP. Ouvidoria: 0800 700 0118, ouvidoria@aurelius.example.</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084"/>
            <w:shd w:val="clear" w:fill="E6EAEE"/>
          </w:tcPr>
          <w:p>
            <w:pPr>
              <w:spacing w:after="20"/>
            </w:pPr>
            <w:r>
              <w:rPr>
                <w:sz w:val="17"/>
              </w:rPr>
            </w:r>
            <w:r>
              <w:rPr>
                <w:b/>
                <w:sz w:val="17"/>
              </w:rPr>
              <w:t>Campo</w:t>
            </w:r>
          </w:p>
        </w:tc>
        <w:tc>
          <w:tcPr>
            <w:tcW w:type="dxa" w:w="6554"/>
            <w:shd w:val="clear" w:fill="E6EAEE"/>
          </w:tcPr>
          <w:p>
            <w:pPr>
              <w:spacing w:after="20"/>
            </w:pPr>
            <w:r>
              <w:rPr>
                <w:sz w:val="17"/>
              </w:rPr>
            </w:r>
            <w:r>
              <w:rPr>
                <w:b/>
                <w:sz w:val="17"/>
              </w:rPr>
              <w:t>Informação</w:t>
            </w:r>
          </w:p>
        </w:tc>
      </w:tr>
      <w:tr>
        <w:trPr>
          <w:cantSplit/>
        </w:trPr>
        <w:tc>
          <w:tcPr>
            <w:tcW w:type="dxa" w:w="3084"/>
          </w:tcPr>
          <w:p>
            <w:pPr>
              <w:spacing w:after="20"/>
            </w:pPr>
            <w:r>
              <w:rPr>
                <w:sz w:val="17"/>
              </w:rPr>
              <w:t>Apólice nº</w:t>
            </w:r>
          </w:p>
        </w:tc>
        <w:tc>
          <w:tcPr>
            <w:tcW w:type="dxa" w:w="6554"/>
          </w:tcPr>
          <w:p>
            <w:pPr>
              <w:spacing w:after="20"/>
            </w:pPr>
            <w:r>
              <w:rPr>
                <w:sz w:val="17"/>
              </w:rPr>
              <w:t>AUR-0351-2026-000118</w:t>
            </w:r>
          </w:p>
        </w:tc>
      </w:tr>
      <w:tr>
        <w:trPr>
          <w:cantSplit/>
        </w:trPr>
        <w:tc>
          <w:tcPr>
            <w:tcW w:type="dxa" w:w="3084"/>
          </w:tcPr>
          <w:p>
            <w:pPr>
              <w:spacing w:after="20"/>
            </w:pPr>
            <w:r>
              <w:rPr>
                <w:sz w:val="17"/>
              </w:rPr>
              <w:t>Proposta nº</w:t>
            </w:r>
          </w:p>
        </w:tc>
        <w:tc>
          <w:tcPr>
            <w:tcW w:type="dxa" w:w="6554"/>
          </w:tcPr>
          <w:p>
            <w:pPr>
              <w:spacing w:after="20"/>
            </w:pPr>
            <w:r>
              <w:rPr>
                <w:sz w:val="17"/>
              </w:rPr>
              <w:t>AUR-P-2026-045210</w:t>
            </w:r>
          </w:p>
        </w:tc>
      </w:tr>
      <w:tr>
        <w:trPr>
          <w:cantSplit/>
        </w:trPr>
        <w:tc>
          <w:tcPr>
            <w:tcW w:type="dxa" w:w="3084"/>
          </w:tcPr>
          <w:p>
            <w:pPr>
              <w:spacing w:after="20"/>
            </w:pPr>
            <w:r>
              <w:rPr>
                <w:sz w:val="17"/>
              </w:rPr>
              <w:t>Processo SUSEP nº</w:t>
            </w:r>
          </w:p>
        </w:tc>
        <w:tc>
          <w:tcPr>
            <w:tcW w:type="dxa" w:w="6554"/>
          </w:tcPr>
          <w:p>
            <w:pPr>
              <w:spacing w:after="20"/>
            </w:pPr>
            <w:r>
              <w:rPr>
                <w:sz w:val="17"/>
              </w:rPr>
              <w:t>15414.900118/2019-71 (fictício)</w:t>
            </w:r>
          </w:p>
        </w:tc>
      </w:tr>
      <w:tr>
        <w:trPr>
          <w:cantSplit/>
        </w:trPr>
        <w:tc>
          <w:tcPr>
            <w:tcW w:type="dxa" w:w="3084"/>
          </w:tcPr>
          <w:p>
            <w:pPr>
              <w:spacing w:after="20"/>
            </w:pPr>
            <w:r>
              <w:rPr>
                <w:sz w:val="17"/>
              </w:rPr>
              <w:t>Ramo / Modalidade</w:t>
            </w:r>
          </w:p>
        </w:tc>
        <w:tc>
          <w:tcPr>
            <w:tcW w:type="dxa" w:w="6554"/>
          </w:tcPr>
          <w:p>
            <w:pPr>
              <w:spacing w:after="20"/>
            </w:pPr>
            <w:r>
              <w:rPr>
                <w:sz w:val="17"/>
              </w:rPr>
              <w:t>0351 – Responsabilidade Civil de Administradores e Diretores (D&amp;O) – base de reclamações (claims made) com notificação</w:t>
            </w:r>
          </w:p>
        </w:tc>
      </w:tr>
      <w:tr>
        <w:trPr>
          <w:cantSplit/>
        </w:trPr>
        <w:tc>
          <w:tcPr>
            <w:tcW w:type="dxa" w:w="3084"/>
          </w:tcPr>
          <w:p>
            <w:pPr>
              <w:spacing w:after="20"/>
            </w:pPr>
            <w:r>
              <w:rPr>
                <w:sz w:val="17"/>
              </w:rPr>
              <w:t>Data de emissão</w:t>
            </w:r>
          </w:p>
        </w:tc>
        <w:tc>
          <w:tcPr>
            <w:tcW w:type="dxa" w:w="6554"/>
          </w:tcPr>
          <w:p>
            <w:pPr>
              <w:spacing w:after="20"/>
            </w:pPr>
            <w:r>
              <w:rPr>
                <w:sz w:val="17"/>
              </w:rPr>
              <w:t>29/09/2026</w:t>
            </w:r>
          </w:p>
        </w:tc>
      </w:tr>
      <w:tr>
        <w:trPr>
          <w:cantSplit/>
        </w:trPr>
        <w:tc>
          <w:tcPr>
            <w:tcW w:type="dxa" w:w="3084"/>
          </w:tcPr>
          <w:p>
            <w:pPr>
              <w:spacing w:after="20"/>
            </w:pPr>
            <w:r>
              <w:rPr>
                <w:sz w:val="17"/>
              </w:rPr>
              <w:t>Vigência</w:t>
            </w:r>
          </w:p>
        </w:tc>
        <w:tc>
          <w:tcPr>
            <w:tcW w:type="dxa" w:w="6554"/>
          </w:tcPr>
          <w:p>
            <w:pPr>
              <w:spacing w:after="20"/>
            </w:pPr>
            <w:r>
              <w:rPr>
                <w:sz w:val="17"/>
              </w:rPr>
              <w:t>Das 24h de 10/10/2026 às 24h de 10/10/2027</w:t>
            </w:r>
          </w:p>
        </w:tc>
      </w:tr>
      <w:tr>
        <w:trPr>
          <w:cantSplit/>
        </w:trPr>
        <w:tc>
          <w:tcPr>
            <w:tcW w:type="dxa" w:w="3084"/>
          </w:tcPr>
          <w:p>
            <w:pPr>
              <w:spacing w:after="20"/>
            </w:pPr>
            <w:r>
              <w:rPr>
                <w:sz w:val="17"/>
              </w:rPr>
              <w:t>Tomador / Segurado principal</w:t>
            </w:r>
          </w:p>
        </w:tc>
        <w:tc>
          <w:tcPr>
            <w:tcW w:type="dxa" w:w="6554"/>
          </w:tcPr>
          <w:p>
            <w:pPr>
              <w:spacing w:after="20"/>
            </w:pPr>
            <w:r>
              <w:rPr>
                <w:sz w:val="17"/>
              </w:rPr>
              <w:t>Aurora Energia Renovável S.A. – CNPJ 21.630.455/0001-08</w:t>
            </w:r>
          </w:p>
        </w:tc>
      </w:tr>
      <w:tr>
        <w:trPr>
          <w:cantSplit/>
        </w:trPr>
        <w:tc>
          <w:tcPr>
            <w:tcW w:type="dxa" w:w="3084"/>
          </w:tcPr>
          <w:p>
            <w:pPr>
              <w:spacing w:after="20"/>
            </w:pPr>
            <w:r>
              <w:rPr>
                <w:sz w:val="17"/>
              </w:rPr>
              <w:t>Endereço</w:t>
            </w:r>
          </w:p>
        </w:tc>
        <w:tc>
          <w:tcPr>
            <w:tcW w:type="dxa" w:w="6554"/>
          </w:tcPr>
          <w:p>
            <w:pPr>
              <w:spacing w:after="20"/>
            </w:pPr>
            <w:r>
              <w:rPr>
                <w:sz w:val="17"/>
              </w:rPr>
              <w:t>Av. das Nações Unidas, 12.995, 20º andar, São Paulo/SP</w:t>
            </w:r>
          </w:p>
        </w:tc>
      </w:tr>
      <w:tr>
        <w:trPr>
          <w:cantSplit/>
        </w:trPr>
        <w:tc>
          <w:tcPr>
            <w:tcW w:type="dxa" w:w="3084"/>
          </w:tcPr>
          <w:p>
            <w:pPr>
              <w:spacing w:after="20"/>
            </w:pPr>
            <w:r>
              <w:rPr>
                <w:sz w:val="17"/>
              </w:rPr>
              <w:t>Atividade</w:t>
            </w:r>
          </w:p>
        </w:tc>
        <w:tc>
          <w:tcPr>
            <w:tcW w:type="dxa" w:w="6554"/>
          </w:tcPr>
          <w:p>
            <w:pPr>
              <w:spacing w:after="20"/>
            </w:pPr>
            <w:r>
              <w:rPr>
                <w:sz w:val="17"/>
              </w:rPr>
              <w:t>Geração e comercialização de energia eólica e solar; companhia aberta com ações negociadas na B3 (Novo Mercado).</w:t>
            </w:r>
          </w:p>
        </w:tc>
      </w:tr>
      <w:tr>
        <w:trPr>
          <w:cantSplit/>
        </w:trPr>
        <w:tc>
          <w:tcPr>
            <w:tcW w:type="dxa" w:w="3084"/>
          </w:tcPr>
          <w:p>
            <w:pPr>
              <w:spacing w:after="20"/>
            </w:pPr>
            <w:r>
              <w:rPr>
                <w:sz w:val="17"/>
              </w:rPr>
              <w:t>Corretor de seguros</w:t>
            </w:r>
          </w:p>
        </w:tc>
        <w:tc>
          <w:tcPr>
            <w:tcW w:type="dxa" w:w="6554"/>
          </w:tcPr>
          <w:p>
            <w:pPr>
              <w:spacing w:after="20"/>
            </w:pPr>
            <w:r>
              <w:rPr>
                <w:sz w:val="17"/>
              </w:rPr>
              <w:t>Meridiano Corretora de Seguros Ltda. – SUSEP nº 202045118 (fictício)</w:t>
            </w:r>
          </w:p>
        </w:tc>
      </w:tr>
    </w:tbl>
    <w:p>
      <w:pPr>
        <w:spacing w:after="40"/>
      </w:pPr>
    </w:p>
    <w:p>
      <w:pPr>
        <w:jc w:val="both"/>
      </w:pPr>
      <w:r>
        <w:t>A Seguradora, em contraprestação ao prêmio e com base nas declarações prestadas na proposta, garante ao Tomador e aos Segurados as coberturas contratadas indicadas nas Condições Particulares, nos termos destas Condições Gerais e dos endossos emitidos, observada a Circular SUSEP nº 637, de 27 de julho de 2021, e os arts. 757 a 802 do Código Civil (Lei nº 10.406/2002).</w:t>
      </w:r>
    </w:p>
    <w:p>
      <w:r>
        <w:rPr>
          <w:color w:val="3B4A5A"/>
          <w:sz w:val="16"/>
        </w:rPr>
        <w:t>Documento fictício, criado exclusivamente para testes do ClauseAI. As empresas, números, processos e pessoas citados não existem e o texto não tem valor contratual. O registro do produto na SUSEP é automático e não representa aprovação ou recomendação por parte da autarquia.</w:t>
      </w:r>
    </w:p>
    <w:p>
      <w:r>
        <w:br w:type="page"/>
      </w:r>
    </w:p>
    <w:p>
      <w:pPr>
        <w:pStyle w:val="Heading1"/>
      </w:pPr>
      <w:r>
        <w:t>SEÇÃO I – CONDIÇÕES PARTICULARES E QUADRO RESUMO</w:t>
      </w:r>
    </w:p>
    <w:p>
      <w:pPr>
        <w:jc w:val="both"/>
      </w:pPr>
      <w:r>
        <w:t>Apólice nº AUR-0351-2026-000118 · Tomador: Aurora Energia Renovável S.A.. Somente as coberturas indicadas como Contratada estão em vigor. As coberturas Não contratadas ou Excluídas não geram direito a indenização, ainda que mencionadas nas Condições Gerais.</w:t>
      </w:r>
    </w:p>
    <w:p>
      <w:pPr>
        <w:keepNext/>
        <w:spacing w:before="160"/>
      </w:pPr>
      <w:r>
        <w:rPr>
          <w:b/>
          <w:color w:val="3B4A5A"/>
        </w:rPr>
        <w:t>Quadro 0 – Limite, moeda e prêmio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Limite Máximo de Garantia (LMG)</w:t>
            </w:r>
          </w:p>
        </w:tc>
        <w:tc>
          <w:tcPr>
            <w:tcW w:type="dxa" w:w="6361"/>
          </w:tcPr>
          <w:p>
            <w:pPr>
              <w:spacing w:after="20"/>
            </w:pPr>
            <w:r>
              <w:rPr>
                <w:sz w:val="17"/>
              </w:rPr>
              <w:t>R$ 50.000.000,00 por vigência, em base agregada, para todas as Coberturas, Perdas e Custos de Defesa, salvo quando indicado em contrário.</w:t>
            </w:r>
          </w:p>
        </w:tc>
      </w:tr>
      <w:tr>
        <w:trPr>
          <w:cantSplit/>
        </w:trPr>
        <w:tc>
          <w:tcPr>
            <w:tcW w:type="dxa" w:w="3277"/>
          </w:tcPr>
          <w:p>
            <w:pPr>
              <w:spacing w:after="20"/>
            </w:pPr>
            <w:r>
              <w:rPr>
                <w:sz w:val="17"/>
              </w:rPr>
              <w:t>Limite adicional exclusivo da Cobertura A (DIC)</w:t>
            </w:r>
          </w:p>
        </w:tc>
        <w:tc>
          <w:tcPr>
            <w:tcW w:type="dxa" w:w="6361"/>
          </w:tcPr>
          <w:p>
            <w:pPr>
              <w:spacing w:after="20"/>
            </w:pPr>
            <w:r>
              <w:rPr>
                <w:sz w:val="17"/>
              </w:rPr>
              <w:t>R$ 10.000.000,00, disponível apenas ao Segurado após o esgotamento do LMG.</w:t>
            </w:r>
          </w:p>
        </w:tc>
      </w:tr>
      <w:tr>
        <w:trPr>
          <w:cantSplit/>
        </w:trPr>
        <w:tc>
          <w:tcPr>
            <w:tcW w:type="dxa" w:w="3277"/>
          </w:tcPr>
          <w:p>
            <w:pPr>
              <w:spacing w:after="20"/>
            </w:pPr>
            <w:r>
              <w:rPr>
                <w:sz w:val="17"/>
              </w:rPr>
              <w:t>Moeda</w:t>
            </w:r>
          </w:p>
        </w:tc>
        <w:tc>
          <w:tcPr>
            <w:tcW w:type="dxa" w:w="6361"/>
          </w:tcPr>
          <w:p>
            <w:pPr>
              <w:spacing w:after="20"/>
            </w:pPr>
            <w:r>
              <w:rPr>
                <w:sz w:val="17"/>
              </w:rPr>
              <w:t>Real (R$). Reclamações em moeda estrangeira serão convertidas pela taxa PTAX de venda do Banco Central do Brasil na data do pagamento.</w:t>
            </w:r>
          </w:p>
        </w:tc>
      </w:tr>
      <w:tr>
        <w:trPr>
          <w:cantSplit/>
        </w:trPr>
        <w:tc>
          <w:tcPr>
            <w:tcW w:type="dxa" w:w="3277"/>
          </w:tcPr>
          <w:p>
            <w:pPr>
              <w:spacing w:after="20"/>
            </w:pPr>
            <w:r>
              <w:rPr>
                <w:sz w:val="17"/>
              </w:rPr>
              <w:t>Prêmio líquido</w:t>
            </w:r>
          </w:p>
        </w:tc>
        <w:tc>
          <w:tcPr>
            <w:tcW w:type="dxa" w:w="6361"/>
          </w:tcPr>
          <w:p>
            <w:pPr>
              <w:spacing w:after="20"/>
            </w:pPr>
            <w:r>
              <w:rPr>
                <w:sz w:val="17"/>
              </w:rPr>
              <w:t>R$ 1.180.000,00</w:t>
            </w:r>
          </w:p>
        </w:tc>
      </w:tr>
      <w:tr>
        <w:trPr>
          <w:cantSplit/>
        </w:trPr>
        <w:tc>
          <w:tcPr>
            <w:tcW w:type="dxa" w:w="3277"/>
          </w:tcPr>
          <w:p>
            <w:pPr>
              <w:spacing w:after="20"/>
            </w:pPr>
            <w:r>
              <w:rPr>
                <w:sz w:val="17"/>
              </w:rPr>
              <w:t>IOF (7,38%)</w:t>
            </w:r>
          </w:p>
        </w:tc>
        <w:tc>
          <w:tcPr>
            <w:tcW w:type="dxa" w:w="6361"/>
          </w:tcPr>
          <w:p>
            <w:pPr>
              <w:spacing w:after="20"/>
            </w:pPr>
            <w:r>
              <w:rPr>
                <w:sz w:val="17"/>
              </w:rPr>
              <w:t>R$ 87.084,00</w:t>
            </w:r>
          </w:p>
        </w:tc>
      </w:tr>
      <w:tr>
        <w:trPr>
          <w:cantSplit/>
        </w:trPr>
        <w:tc>
          <w:tcPr>
            <w:tcW w:type="dxa" w:w="3277"/>
          </w:tcPr>
          <w:p>
            <w:pPr>
              <w:spacing w:after="20"/>
            </w:pPr>
            <w:r>
              <w:rPr>
                <w:sz w:val="17"/>
              </w:rPr>
              <w:t>Prêmio total</w:t>
            </w:r>
          </w:p>
        </w:tc>
        <w:tc>
          <w:tcPr>
            <w:tcW w:type="dxa" w:w="6361"/>
          </w:tcPr>
          <w:p>
            <w:pPr>
              <w:spacing w:after="20"/>
            </w:pPr>
            <w:r>
              <w:rPr>
                <w:sz w:val="17"/>
              </w:rPr>
              <w:t>R$ 1.267.084,00, em 4 parcelas mensais de R$ 316.771,00</w:t>
            </w:r>
          </w:p>
        </w:tc>
      </w:tr>
    </w:tbl>
    <w:p>
      <w:pPr>
        <w:spacing w:after="40"/>
      </w:pPr>
    </w:p>
    <w:p>
      <w:pPr>
        <w:keepNext/>
        <w:spacing w:before="160"/>
      </w:pPr>
      <w:r>
        <w:rPr>
          <w:b/>
          <w:color w:val="3B4A5A"/>
        </w:rPr>
        <w:t>Quadro 1 – Limite Máximo de Garantia, coberturas e sublimites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trPr>
        <w:tc>
          <w:tcPr>
            <w:tcW w:type="dxa" w:w="3662"/>
            <w:shd w:val="clear" w:fill="E6EAEE"/>
          </w:tcPr>
          <w:p>
            <w:pPr>
              <w:spacing w:after="20"/>
            </w:pPr>
            <w:r>
              <w:rPr>
                <w:sz w:val="17"/>
              </w:rPr>
            </w:r>
            <w:r>
              <w:rPr>
                <w:b/>
                <w:sz w:val="17"/>
              </w:rPr>
              <w:t>Cobertura</w:t>
            </w:r>
          </w:p>
        </w:tc>
        <w:tc>
          <w:tcPr>
            <w:tcW w:type="dxa" w:w="1349"/>
            <w:shd w:val="clear" w:fill="E6EAEE"/>
          </w:tcPr>
          <w:p>
            <w:pPr>
              <w:spacing w:after="20"/>
            </w:pPr>
            <w:r>
              <w:rPr>
                <w:sz w:val="17"/>
              </w:rPr>
            </w:r>
            <w:r>
              <w:rPr>
                <w:b/>
                <w:sz w:val="17"/>
              </w:rPr>
              <w:t>Situação</w:t>
            </w:r>
          </w:p>
        </w:tc>
        <w:tc>
          <w:tcPr>
            <w:tcW w:type="dxa" w:w="2506"/>
            <w:shd w:val="clear" w:fill="E6EAEE"/>
          </w:tcPr>
          <w:p>
            <w:pPr>
              <w:spacing w:after="20"/>
            </w:pPr>
            <w:r>
              <w:rPr>
                <w:sz w:val="17"/>
              </w:rPr>
            </w:r>
            <w:r>
              <w:rPr>
                <w:b/>
                <w:sz w:val="17"/>
              </w:rPr>
              <w:t>Limite / Sublimite</w:t>
            </w:r>
          </w:p>
        </w:tc>
        <w:tc>
          <w:tcPr>
            <w:tcW w:type="dxa" w:w="2120"/>
            <w:shd w:val="clear" w:fill="E6EAEE"/>
          </w:tcPr>
          <w:p>
            <w:pPr>
              <w:spacing w:after="20"/>
            </w:pPr>
            <w:r>
              <w:rPr>
                <w:sz w:val="17"/>
              </w:rPr>
            </w:r>
            <w:r>
              <w:rPr>
                <w:b/>
                <w:sz w:val="17"/>
              </w:rPr>
              <w:t>Franquia</w:t>
            </w:r>
          </w:p>
        </w:tc>
      </w:tr>
      <w:tr>
        <w:trPr>
          <w:cantSplit/>
        </w:trPr>
        <w:tc>
          <w:tcPr>
            <w:tcW w:type="dxa" w:w="3662"/>
          </w:tcPr>
          <w:p>
            <w:pPr>
              <w:spacing w:after="20"/>
            </w:pPr>
            <w:r>
              <w:rPr>
                <w:sz w:val="17"/>
              </w:rPr>
              <w:t>Cobertura A – Indenização ao Segurado</w:t>
            </w:r>
          </w:p>
        </w:tc>
        <w:tc>
          <w:tcPr>
            <w:tcW w:type="dxa" w:w="1349"/>
          </w:tcPr>
          <w:p>
            <w:pPr>
              <w:spacing w:after="20"/>
            </w:pPr>
            <w:r>
              <w:rPr>
                <w:sz w:val="17"/>
              </w:rPr>
              <w:t>Contratada</w:t>
            </w:r>
          </w:p>
        </w:tc>
        <w:tc>
          <w:tcPr>
            <w:tcW w:type="dxa" w:w="2506"/>
          </w:tcPr>
          <w:p>
            <w:pPr>
              <w:spacing w:after="20"/>
            </w:pPr>
            <w:r>
              <w:rPr>
                <w:sz w:val="17"/>
              </w:rPr>
              <w:t>R$ 50.000.000,00</w:t>
            </w:r>
          </w:p>
        </w:tc>
        <w:tc>
          <w:tcPr>
            <w:tcW w:type="dxa" w:w="2120"/>
          </w:tcPr>
          <w:p>
            <w:pPr>
              <w:spacing w:after="20"/>
            </w:pPr>
            <w:r>
              <w:rPr>
                <w:sz w:val="17"/>
              </w:rPr>
              <w:t>Sem franquia</w:t>
            </w:r>
          </w:p>
        </w:tc>
      </w:tr>
      <w:tr>
        <w:trPr>
          <w:cantSplit/>
        </w:trPr>
        <w:tc>
          <w:tcPr>
            <w:tcW w:type="dxa" w:w="3662"/>
          </w:tcPr>
          <w:p>
            <w:pPr>
              <w:spacing w:after="20"/>
            </w:pPr>
            <w:r>
              <w:rPr>
                <w:sz w:val="17"/>
              </w:rPr>
              <w:t>Cobertura B – Reembolso ao Tomador</w:t>
            </w:r>
          </w:p>
        </w:tc>
        <w:tc>
          <w:tcPr>
            <w:tcW w:type="dxa" w:w="1349"/>
          </w:tcPr>
          <w:p>
            <w:pPr>
              <w:spacing w:after="20"/>
            </w:pPr>
            <w:r>
              <w:rPr>
                <w:sz w:val="17"/>
              </w:rPr>
              <w:t>Contratada</w:t>
            </w:r>
          </w:p>
        </w:tc>
        <w:tc>
          <w:tcPr>
            <w:tcW w:type="dxa" w:w="2506"/>
          </w:tcPr>
          <w:p>
            <w:pPr>
              <w:spacing w:after="20"/>
            </w:pPr>
            <w:r>
              <w:rPr>
                <w:sz w:val="17"/>
              </w:rPr>
              <w:t>R$ 50.000.000,00</w:t>
            </w:r>
          </w:p>
        </w:tc>
        <w:tc>
          <w:tcPr>
            <w:tcW w:type="dxa" w:w="2120"/>
          </w:tcPr>
          <w:p>
            <w:pPr>
              <w:spacing w:after="20"/>
            </w:pPr>
            <w:r>
              <w:rPr>
                <w:sz w:val="17"/>
              </w:rPr>
              <w:t>R$ 100.000,00 por Reclamação</w:t>
            </w:r>
          </w:p>
        </w:tc>
      </w:tr>
      <w:tr>
        <w:trPr>
          <w:cantSplit/>
        </w:trPr>
        <w:tc>
          <w:tcPr>
            <w:tcW w:type="dxa" w:w="3662"/>
          </w:tcPr>
          <w:p>
            <w:pPr>
              <w:spacing w:after="20"/>
            </w:pPr>
            <w:r>
              <w:rPr>
                <w:sz w:val="17"/>
              </w:rPr>
              <w:t>Cobertura C – Reclamações de Mercado de Valores Mobiliários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R$ 250.000,00 por Reclamação</w:t>
            </w:r>
          </w:p>
        </w:tc>
      </w:tr>
      <w:tr>
        <w:trPr>
          <w:cantSplit/>
        </w:trPr>
        <w:tc>
          <w:tcPr>
            <w:tcW w:type="dxa" w:w="3662"/>
          </w:tcPr>
          <w:p>
            <w:pPr>
              <w:spacing w:after="20"/>
            </w:pPr>
            <w:r>
              <w:rPr>
                <w:sz w:val="17"/>
              </w:rPr>
              <w:t>Custos de Defesa (adiantamento)</w:t>
            </w:r>
          </w:p>
        </w:tc>
        <w:tc>
          <w:tcPr>
            <w:tcW w:type="dxa" w:w="1349"/>
          </w:tcPr>
          <w:p>
            <w:pPr>
              <w:spacing w:after="20"/>
            </w:pPr>
            <w:r>
              <w:rPr>
                <w:sz w:val="17"/>
              </w:rPr>
              <w:t>Contratada</w:t>
            </w:r>
          </w:p>
        </w:tc>
        <w:tc>
          <w:tcPr>
            <w:tcW w:type="dxa" w:w="2506"/>
          </w:tcPr>
          <w:p>
            <w:pPr>
              <w:spacing w:after="20"/>
            </w:pPr>
            <w:r>
              <w:rPr>
                <w:sz w:val="17"/>
              </w:rPr>
              <w:t>Integrante do LMG</w:t>
            </w:r>
          </w:p>
        </w:tc>
        <w:tc>
          <w:tcPr>
            <w:tcW w:type="dxa" w:w="2120"/>
          </w:tcPr>
          <w:p>
            <w:pPr>
              <w:spacing w:after="20"/>
            </w:pPr>
            <w:r>
              <w:rPr>
                <w:sz w:val="17"/>
              </w:rPr>
              <w:t>Conforme Cobertura B</w:t>
            </w:r>
          </w:p>
        </w:tc>
      </w:tr>
      <w:tr>
        <w:trPr>
          <w:cantSplit/>
        </w:trPr>
        <w:tc>
          <w:tcPr>
            <w:tcW w:type="dxa" w:w="3662"/>
          </w:tcPr>
          <w:p>
            <w:pPr>
              <w:spacing w:after="20"/>
            </w:pPr>
            <w:r>
              <w:rPr>
                <w:sz w:val="17"/>
              </w:rPr>
              <w:t>Custos de Defesa – Bens e Liberdade</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Bloqueio e Indisponibilidade de Bens e Penhora On-line</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Depósitos Recursais, Cauções e Garantias Judiciais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Custos Emergenciais de Defesa</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Custos de Investigação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Salvamento e Contenção</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Diretor de Entidade Externa</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Extradição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Avalistas, Fiadores e Fiel Depositário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Inabilitação de Segurado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Multas e Penalidades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Novas Subsidiárias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Práticas Trabalhistas Indevidas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Proteção da Imagem Pessoal e Relações Públicas</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Tributária e Previdenciária</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Advogados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Contadores, Gerentes de Riscos e Auditores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Danos Corporais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Danos Materiais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Danos Morais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Erros e Omissões – Prestação de Serviços Profissionais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Eventos Extraordinários com Reguladores</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Gerenciamento de Crise</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Herdeiros, Sucessores, Espólio, Cônjuge e Companheiro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Solidária sobre Bens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Civil Ambiental</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Reclamações da Sociedade, Acionistas ou Sócios contra o Segurado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Reclamações entre Segurados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TAC, Termos de Compromisso e Acordos com Autoridades</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Atos Lesivos à Administração Pública (Lei 12.846/2013)</w:t>
            </w:r>
          </w:p>
        </w:tc>
        <w:tc>
          <w:tcPr>
            <w:tcW w:type="dxa" w:w="1349"/>
          </w:tcPr>
          <w:p>
            <w:pPr>
              <w:spacing w:after="20"/>
            </w:pPr>
            <w:r>
              <w:rPr>
                <w:sz w:val="17"/>
              </w:rPr>
              <w:t>Contratada</w:t>
            </w:r>
          </w:p>
        </w:tc>
        <w:tc>
          <w:tcPr>
            <w:tcW w:type="dxa" w:w="2506"/>
          </w:tcPr>
          <w:p>
            <w:pPr>
              <w:spacing w:after="20"/>
            </w:pPr>
            <w:r>
              <w:rPr>
                <w:sz w:val="17"/>
              </w:rPr>
              <w:t>R$ 5.000.000,00 (só Custos de Defesa)</w:t>
            </w:r>
          </w:p>
        </w:tc>
        <w:tc>
          <w:tcPr>
            <w:tcW w:type="dxa" w:w="2120"/>
          </w:tcPr>
          <w:p>
            <w:pPr>
              <w:spacing w:after="20"/>
            </w:pPr>
            <w:r>
              <w:rPr>
                <w:sz w:val="17"/>
              </w:rPr>
              <w:t>Conforme Cobertura B</w:t>
            </w:r>
          </w:p>
        </w:tc>
      </w:tr>
      <w:tr>
        <w:trPr>
          <w:cantSplit/>
        </w:trPr>
        <w:tc>
          <w:tcPr>
            <w:tcW w:type="dxa" w:w="3662"/>
          </w:tcPr>
          <w:p>
            <w:pPr>
              <w:spacing w:after="20"/>
            </w:pPr>
            <w:r>
              <w:rPr>
                <w:sz w:val="17"/>
              </w:rPr>
              <w:t>Processos no Exterior</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bl>
    <w:p>
      <w:pPr>
        <w:spacing w:after="40"/>
      </w:pPr>
    </w:p>
    <w:p>
      <w:pPr>
        <w:keepNext/>
        <w:spacing w:before="160"/>
      </w:pPr>
      <w:r>
        <w:rPr>
          <w:b/>
          <w:color w:val="3B4A5A"/>
        </w:rPr>
        <w:t>Quadro 2 – Franquias, retenção e participação obrigatória</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Cobertura A</w:t>
            </w:r>
          </w:p>
        </w:tc>
        <w:tc>
          <w:tcPr>
            <w:tcW w:type="dxa" w:w="6361"/>
          </w:tcPr>
          <w:p>
            <w:pPr>
              <w:spacing w:after="20"/>
            </w:pPr>
            <w:r>
              <w:rPr>
                <w:sz w:val="17"/>
              </w:rPr>
              <w:t>Sem franquia.</w:t>
            </w:r>
          </w:p>
        </w:tc>
      </w:tr>
      <w:tr>
        <w:trPr>
          <w:cantSplit/>
        </w:trPr>
        <w:tc>
          <w:tcPr>
            <w:tcW w:type="dxa" w:w="3277"/>
          </w:tcPr>
          <w:p>
            <w:pPr>
              <w:spacing w:after="20"/>
            </w:pPr>
            <w:r>
              <w:rPr>
                <w:sz w:val="17"/>
              </w:rPr>
              <w:t>Cobertura B e adicionais</w:t>
            </w:r>
          </w:p>
        </w:tc>
        <w:tc>
          <w:tcPr>
            <w:tcW w:type="dxa" w:w="6361"/>
          </w:tcPr>
          <w:p>
            <w:pPr>
              <w:spacing w:after="20"/>
            </w:pPr>
            <w:r>
              <w:rPr>
                <w:sz w:val="17"/>
              </w:rPr>
              <w:t>R$ 100.000,00 por Reclamação.</w:t>
            </w:r>
          </w:p>
        </w:tc>
      </w:tr>
      <w:tr>
        <w:trPr>
          <w:cantSplit/>
        </w:trPr>
        <w:tc>
          <w:tcPr>
            <w:tcW w:type="dxa" w:w="3277"/>
          </w:tcPr>
          <w:p>
            <w:pPr>
              <w:spacing w:after="20"/>
            </w:pPr>
            <w:r>
              <w:rPr>
                <w:sz w:val="17"/>
              </w:rPr>
              <w:t>Cobertura C</w:t>
            </w:r>
          </w:p>
        </w:tc>
        <w:tc>
          <w:tcPr>
            <w:tcW w:type="dxa" w:w="6361"/>
          </w:tcPr>
          <w:p>
            <w:pPr>
              <w:spacing w:after="20"/>
            </w:pPr>
            <w:r>
              <w:rPr>
                <w:sz w:val="17"/>
              </w:rPr>
              <w:t>R$ 250.000,00 por Reclamação.</w:t>
            </w:r>
          </w:p>
        </w:tc>
      </w:tr>
      <w:tr>
        <w:trPr>
          <w:cantSplit/>
        </w:trPr>
        <w:tc>
          <w:tcPr>
            <w:tcW w:type="dxa" w:w="3277"/>
          </w:tcPr>
          <w:p>
            <w:pPr>
              <w:spacing w:after="20"/>
            </w:pPr>
            <w:r>
              <w:rPr>
                <w:sz w:val="17"/>
              </w:rPr>
              <w:t>Participação obrigatória do Segurado</w:t>
            </w:r>
          </w:p>
        </w:tc>
        <w:tc>
          <w:tcPr>
            <w:tcW w:type="dxa" w:w="6361"/>
          </w:tcPr>
          <w:p>
            <w:pPr>
              <w:spacing w:after="20"/>
            </w:pPr>
            <w:r>
              <w:rPr>
                <w:sz w:val="17"/>
              </w:rPr>
              <w:t>Não há participação obrigatória do Segurado.</w:t>
            </w:r>
          </w:p>
        </w:tc>
      </w:tr>
    </w:tbl>
    <w:p>
      <w:pPr>
        <w:spacing w:after="40"/>
      </w:pPr>
    </w:p>
    <w:p>
      <w:pPr>
        <w:keepNext/>
        <w:spacing w:before="160"/>
      </w:pPr>
      <w:r>
        <w:rPr>
          <w:b/>
          <w:color w:val="3B4A5A"/>
        </w:rPr>
        <w:t>Quadro 3 – Segurados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Categoria de Segurado</w:t>
            </w:r>
          </w:p>
        </w:tc>
        <w:tc>
          <w:tcPr>
            <w:tcW w:type="dxa" w:w="6361"/>
            <w:shd w:val="clear" w:fill="E6EAEE"/>
          </w:tcPr>
          <w:p>
            <w:pPr>
              <w:spacing w:after="20"/>
            </w:pPr>
            <w:r>
              <w:rPr>
                <w:sz w:val="17"/>
              </w:rPr>
            </w:r>
            <w:r>
              <w:rPr>
                <w:b/>
                <w:sz w:val="17"/>
              </w:rPr>
              <w:t>Abrangência</w:t>
            </w:r>
          </w:p>
        </w:tc>
      </w:tr>
      <w:tr>
        <w:trPr>
          <w:cantSplit/>
        </w:trPr>
        <w:tc>
          <w:tcPr>
            <w:tcW w:type="dxa" w:w="3277"/>
          </w:tcPr>
          <w:p>
            <w:pPr>
              <w:spacing w:after="20"/>
            </w:pPr>
            <w:r>
              <w:rPr>
                <w:sz w:val="17"/>
              </w:rPr>
              <w:t>Conselho de Administração</w:t>
            </w:r>
          </w:p>
        </w:tc>
        <w:tc>
          <w:tcPr>
            <w:tcW w:type="dxa" w:w="6361"/>
          </w:tcPr>
          <w:p>
            <w:pPr>
              <w:spacing w:after="20"/>
            </w:pPr>
            <w:r>
              <w:rPr>
                <w:sz w:val="17"/>
              </w:rPr>
              <w:t>Todos os membros titulares e suplentes.</w:t>
            </w:r>
          </w:p>
        </w:tc>
      </w:tr>
      <w:tr>
        <w:trPr>
          <w:cantSplit/>
        </w:trPr>
        <w:tc>
          <w:tcPr>
            <w:tcW w:type="dxa" w:w="3277"/>
          </w:tcPr>
          <w:p>
            <w:pPr>
              <w:spacing w:after="20"/>
            </w:pPr>
            <w:r>
              <w:rPr>
                <w:sz w:val="17"/>
              </w:rPr>
              <w:t>Diretoria Estatutária</w:t>
            </w:r>
          </w:p>
        </w:tc>
        <w:tc>
          <w:tcPr>
            <w:tcW w:type="dxa" w:w="6361"/>
          </w:tcPr>
          <w:p>
            <w:pPr>
              <w:spacing w:after="20"/>
            </w:pPr>
            <w:r>
              <w:rPr>
                <w:sz w:val="17"/>
              </w:rPr>
              <w:t>Todos os diretores estatutários.</w:t>
            </w:r>
          </w:p>
        </w:tc>
      </w:tr>
      <w:tr>
        <w:trPr>
          <w:cantSplit/>
        </w:trPr>
        <w:tc>
          <w:tcPr>
            <w:tcW w:type="dxa" w:w="3277"/>
          </w:tcPr>
          <w:p>
            <w:pPr>
              <w:spacing w:after="20"/>
            </w:pPr>
            <w:r>
              <w:rPr>
                <w:sz w:val="17"/>
              </w:rPr>
              <w:t>Conselho Fiscal e comitês</w:t>
            </w:r>
          </w:p>
        </w:tc>
        <w:tc>
          <w:tcPr>
            <w:tcW w:type="dxa" w:w="6361"/>
          </w:tcPr>
          <w:p>
            <w:pPr>
              <w:spacing w:after="20"/>
            </w:pPr>
            <w:r>
              <w:rPr>
                <w:sz w:val="17"/>
              </w:rPr>
              <w:t>Membros do Conselho Fiscal e dos comitês de assessoramento.</w:t>
            </w:r>
          </w:p>
        </w:tc>
      </w:tr>
      <w:tr>
        <w:trPr>
          <w:cantSplit/>
        </w:trPr>
        <w:tc>
          <w:tcPr>
            <w:tcW w:type="dxa" w:w="3277"/>
          </w:tcPr>
          <w:p>
            <w:pPr>
              <w:spacing w:after="20"/>
            </w:pPr>
            <w:r>
              <w:rPr>
                <w:sz w:val="17"/>
              </w:rPr>
              <w:t>Empregados com poderes de gestão</w:t>
            </w:r>
          </w:p>
        </w:tc>
        <w:tc>
          <w:tcPr>
            <w:tcW w:type="dxa" w:w="6361"/>
          </w:tcPr>
          <w:p>
            <w:pPr>
              <w:spacing w:after="20"/>
            </w:pPr>
            <w:r>
              <w:rPr>
                <w:sz w:val="17"/>
              </w:rPr>
              <w:t>Gerentes e superintendentes com procuração.</w:t>
            </w:r>
          </w:p>
        </w:tc>
      </w:tr>
    </w:tbl>
    <w:p>
      <w:pPr>
        <w:spacing w:after="40"/>
      </w:pPr>
    </w:p>
    <w:p>
      <w:pPr>
        <w:keepNext/>
        <w:spacing w:before="160"/>
      </w:pPr>
      <w:r>
        <w:rPr>
          <w:b/>
          <w:color w:val="3B4A5A"/>
        </w:rPr>
        <w:t>Quadro 4 – Subsidiárias cobertas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5783"/>
            <w:shd w:val="clear" w:fill="E6EAEE"/>
          </w:tcPr>
          <w:p>
            <w:pPr>
              <w:spacing w:after="20"/>
            </w:pPr>
            <w:r>
              <w:rPr>
                <w:sz w:val="17"/>
              </w:rPr>
            </w:r>
            <w:r>
              <w:rPr>
                <w:b/>
                <w:sz w:val="17"/>
              </w:rPr>
              <w:t>Subsidiária</w:t>
            </w:r>
          </w:p>
        </w:tc>
        <w:tc>
          <w:tcPr>
            <w:tcW w:type="dxa" w:w="3855"/>
            <w:shd w:val="clear" w:fill="E6EAEE"/>
          </w:tcPr>
          <w:p>
            <w:pPr>
              <w:spacing w:after="20"/>
            </w:pPr>
            <w:r>
              <w:rPr>
                <w:sz w:val="17"/>
              </w:rPr>
            </w:r>
            <w:r>
              <w:rPr>
                <w:b/>
                <w:sz w:val="17"/>
              </w:rPr>
              <w:t>Participação / país</w:t>
            </w:r>
          </w:p>
        </w:tc>
      </w:tr>
      <w:tr>
        <w:trPr>
          <w:cantSplit/>
        </w:trPr>
        <w:tc>
          <w:tcPr>
            <w:tcW w:type="dxa" w:w="5783"/>
          </w:tcPr>
          <w:p>
            <w:pPr>
              <w:spacing w:after="20"/>
            </w:pPr>
            <w:r>
              <w:rPr>
                <w:sz w:val="17"/>
              </w:rPr>
              <w:t>Aurora Eólica Nordeste S.A.</w:t>
            </w:r>
          </w:p>
        </w:tc>
        <w:tc>
          <w:tcPr>
            <w:tcW w:type="dxa" w:w="3855"/>
          </w:tcPr>
          <w:p>
            <w:pPr>
              <w:spacing w:after="20"/>
            </w:pPr>
            <w:r>
              <w:rPr>
                <w:sz w:val="17"/>
              </w:rPr>
              <w:t>100%</w:t>
            </w:r>
          </w:p>
        </w:tc>
      </w:tr>
      <w:tr>
        <w:trPr>
          <w:cantSplit/>
        </w:trPr>
        <w:tc>
          <w:tcPr>
            <w:tcW w:type="dxa" w:w="5783"/>
          </w:tcPr>
          <w:p>
            <w:pPr>
              <w:spacing w:after="20"/>
            </w:pPr>
            <w:r>
              <w:rPr>
                <w:sz w:val="17"/>
              </w:rPr>
              <w:t>Aurora Solar Centro-Oeste Ltda.</w:t>
            </w:r>
          </w:p>
        </w:tc>
        <w:tc>
          <w:tcPr>
            <w:tcW w:type="dxa" w:w="3855"/>
          </w:tcPr>
          <w:p>
            <w:pPr>
              <w:spacing w:after="20"/>
            </w:pPr>
            <w:r>
              <w:rPr>
                <w:sz w:val="17"/>
              </w:rPr>
              <w:t>80%</w:t>
            </w:r>
          </w:p>
        </w:tc>
      </w:tr>
      <w:tr>
        <w:trPr>
          <w:cantSplit/>
        </w:trPr>
        <w:tc>
          <w:tcPr>
            <w:tcW w:type="dxa" w:w="5783"/>
          </w:tcPr>
          <w:p>
            <w:pPr>
              <w:spacing w:after="20"/>
            </w:pPr>
            <w:r>
              <w:rPr>
                <w:sz w:val="17"/>
              </w:rPr>
              <w:t>Aurora Transmissão Sul S.A.</w:t>
            </w:r>
          </w:p>
        </w:tc>
        <w:tc>
          <w:tcPr>
            <w:tcW w:type="dxa" w:w="3855"/>
          </w:tcPr>
          <w:p>
            <w:pPr>
              <w:spacing w:after="20"/>
            </w:pPr>
            <w:r>
              <w:rPr>
                <w:sz w:val="17"/>
              </w:rPr>
              <w:t>51%</w:t>
            </w:r>
          </w:p>
        </w:tc>
      </w:tr>
    </w:tbl>
    <w:p>
      <w:pPr>
        <w:spacing w:after="40"/>
      </w:pPr>
    </w:p>
    <w:p>
      <w:pPr>
        <w:keepNext/>
        <w:spacing w:before="160"/>
      </w:pPr>
      <w:r>
        <w:rPr>
          <w:b/>
          <w:color w:val="3B4A5A"/>
        </w:rPr>
        <w:t>Quadro 5 – Retroatividade, prazos, território e notificação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699"/>
            <w:shd w:val="clear" w:fill="E6EAEE"/>
          </w:tcPr>
          <w:p>
            <w:pPr>
              <w:spacing w:after="20"/>
            </w:pPr>
            <w:r>
              <w:rPr>
                <w:sz w:val="17"/>
              </w:rPr>
            </w:r>
            <w:r>
              <w:rPr>
                <w:b/>
                <w:sz w:val="17"/>
              </w:rPr>
              <w:t>Item</w:t>
            </w:r>
          </w:p>
        </w:tc>
        <w:tc>
          <w:tcPr>
            <w:tcW w:type="dxa" w:w="6939"/>
            <w:shd w:val="clear" w:fill="E6EAEE"/>
          </w:tcPr>
          <w:p>
            <w:pPr>
              <w:spacing w:after="20"/>
            </w:pPr>
            <w:r>
              <w:rPr>
                <w:sz w:val="17"/>
              </w:rPr>
            </w:r>
            <w:r>
              <w:rPr>
                <w:b/>
                <w:sz w:val="17"/>
              </w:rPr>
              <w:t>Condição</w:t>
            </w:r>
          </w:p>
        </w:tc>
      </w:tr>
      <w:tr>
        <w:trPr>
          <w:cantSplit/>
        </w:trPr>
        <w:tc>
          <w:tcPr>
            <w:tcW w:type="dxa" w:w="2699"/>
          </w:tcPr>
          <w:p>
            <w:pPr>
              <w:spacing w:after="20"/>
            </w:pPr>
            <w:r>
              <w:rPr>
                <w:sz w:val="17"/>
              </w:rPr>
              <w:t>Retroatividade</w:t>
            </w:r>
          </w:p>
        </w:tc>
        <w:tc>
          <w:tcPr>
            <w:tcW w:type="dxa" w:w="6939"/>
          </w:tcPr>
          <w:p>
            <w:pPr>
              <w:spacing w:after="20"/>
            </w:pPr>
            <w:r>
              <w:rPr>
                <w:sz w:val="17"/>
              </w:rPr>
              <w:t>Retroatividade ilimitada, exceto fatos ou circunstâncias conhecidos.</w:t>
            </w:r>
          </w:p>
        </w:tc>
      </w:tr>
      <w:tr>
        <w:trPr>
          <w:cantSplit/>
        </w:trPr>
        <w:tc>
          <w:tcPr>
            <w:tcW w:type="dxa" w:w="2699"/>
          </w:tcPr>
          <w:p>
            <w:pPr>
              <w:spacing w:after="20"/>
            </w:pPr>
            <w:r>
              <w:rPr>
                <w:sz w:val="17"/>
              </w:rPr>
              <w:t>Prazo complementar</w:t>
            </w:r>
          </w:p>
        </w:tc>
        <w:tc>
          <w:tcPr>
            <w:tcW w:type="dxa" w:w="6939"/>
          </w:tcPr>
          <w:p>
            <w:pPr>
              <w:spacing w:after="20"/>
            </w:pPr>
            <w:r>
              <w:rPr>
                <w:sz w:val="17"/>
              </w:rPr>
              <w:t>36 (trinta e seis) meses, automático e sem prêmio adicional, em caso de não renovação.</w:t>
            </w:r>
          </w:p>
        </w:tc>
      </w:tr>
      <w:tr>
        <w:trPr>
          <w:cantSplit/>
        </w:trPr>
        <w:tc>
          <w:tcPr>
            <w:tcW w:type="dxa" w:w="2699"/>
          </w:tcPr>
          <w:p>
            <w:pPr>
              <w:spacing w:after="20"/>
            </w:pPr>
            <w:r>
              <w:rPr>
                <w:sz w:val="17"/>
              </w:rPr>
              <w:t>Prazo suplementar</w:t>
            </w:r>
          </w:p>
        </w:tc>
        <w:tc>
          <w:tcPr>
            <w:tcW w:type="dxa" w:w="6939"/>
          </w:tcPr>
          <w:p>
            <w:pPr>
              <w:spacing w:after="20"/>
            </w:pPr>
            <w:r>
              <w:rPr>
                <w:sz w:val="17"/>
              </w:rPr>
              <w:t>72 (setenta e dois) meses, contratável mediante prêmio adicional de 60% do prêmio anual, solicitado em até 30 dias do fim da vigência.</w:t>
            </w:r>
          </w:p>
        </w:tc>
      </w:tr>
      <w:tr>
        <w:trPr>
          <w:cantSplit/>
        </w:trPr>
        <w:tc>
          <w:tcPr>
            <w:tcW w:type="dxa" w:w="2699"/>
          </w:tcPr>
          <w:p>
            <w:pPr>
              <w:spacing w:after="20"/>
            </w:pPr>
            <w:r>
              <w:rPr>
                <w:sz w:val="17"/>
              </w:rPr>
              <w:t>Âmbito territorial</w:t>
            </w:r>
          </w:p>
        </w:tc>
        <w:tc>
          <w:tcPr>
            <w:tcW w:type="dxa" w:w="6939"/>
          </w:tcPr>
          <w:p>
            <w:pPr>
              <w:spacing w:after="20"/>
            </w:pPr>
            <w:r>
              <w:rPr>
                <w:sz w:val="17"/>
              </w:rPr>
              <w:t>Mundial.</w:t>
            </w:r>
          </w:p>
        </w:tc>
      </w:tr>
      <w:tr>
        <w:trPr>
          <w:cantSplit/>
        </w:trPr>
        <w:tc>
          <w:tcPr>
            <w:tcW w:type="dxa" w:w="2699"/>
          </w:tcPr>
          <w:p>
            <w:pPr>
              <w:spacing w:after="20"/>
            </w:pPr>
            <w:r>
              <w:rPr>
                <w:sz w:val="17"/>
              </w:rPr>
              <w:t>Jurisdição</w:t>
            </w:r>
          </w:p>
        </w:tc>
        <w:tc>
          <w:tcPr>
            <w:tcW w:type="dxa" w:w="6939"/>
          </w:tcPr>
          <w:p>
            <w:pPr>
              <w:spacing w:after="20"/>
            </w:pPr>
            <w:r>
              <w:rPr>
                <w:sz w:val="17"/>
              </w:rPr>
              <w:t>Qualquer jurisdição, observada a Cláusula de Sanções.</w:t>
            </w:r>
          </w:p>
        </w:tc>
      </w:tr>
      <w:tr>
        <w:trPr>
          <w:cantSplit/>
        </w:trPr>
        <w:tc>
          <w:tcPr>
            <w:tcW w:type="dxa" w:w="2699"/>
          </w:tcPr>
          <w:p>
            <w:pPr>
              <w:spacing w:after="20"/>
            </w:pPr>
            <w:r>
              <w:rPr>
                <w:sz w:val="17"/>
              </w:rPr>
              <w:t>Notificação de circunstâncias</w:t>
            </w:r>
          </w:p>
        </w:tc>
        <w:tc>
          <w:tcPr>
            <w:tcW w:type="dxa" w:w="6939"/>
          </w:tcPr>
          <w:p>
            <w:pPr>
              <w:spacing w:after="20"/>
            </w:pPr>
            <w:r>
              <w:rPr>
                <w:sz w:val="17"/>
              </w:rPr>
              <w:t>Até 30 (trinta) dias após o conhecimento do fato ou circunstância, e sempre até o fim do prazo complementar.</w:t>
            </w:r>
          </w:p>
        </w:tc>
      </w:tr>
      <w:tr>
        <w:trPr>
          <w:cantSplit/>
        </w:trPr>
        <w:tc>
          <w:tcPr>
            <w:tcW w:type="dxa" w:w="2699"/>
          </w:tcPr>
          <w:p>
            <w:pPr>
              <w:spacing w:after="20"/>
            </w:pPr>
            <w:r>
              <w:rPr>
                <w:sz w:val="17"/>
              </w:rPr>
              <w:t>Foro / solução de disputas</w:t>
            </w:r>
          </w:p>
        </w:tc>
        <w:tc>
          <w:tcPr>
            <w:tcW w:type="dxa" w:w="6939"/>
          </w:tcPr>
          <w:p>
            <w:pPr>
              <w:spacing w:after="20"/>
            </w:pPr>
            <w:r>
              <w:rPr>
                <w:sz w:val="17"/>
              </w:rPr>
              <w:t>Arbitragem, sede em São Paulo/SP, nos termos da Cláusula 19.</w:t>
            </w:r>
          </w:p>
        </w:tc>
      </w:tr>
    </w:tbl>
    <w:p>
      <w:pPr>
        <w:spacing w:after="40"/>
      </w:pPr>
    </w:p>
    <w:p>
      <w:r>
        <w:br w:type="page"/>
      </w:r>
    </w:p>
    <w:p>
      <w:pPr>
        <w:pStyle w:val="Heading1"/>
      </w:pPr>
      <w:r>
        <w:t>SEÇÃO II – CONDIÇÕES GERAIS</w:t>
      </w:r>
    </w:p>
    <w:p>
      <w:pPr>
        <w:jc w:val="both"/>
      </w:pPr>
      <w:r>
        <w:t>Condições Gerais do Seguro de Responsabilidade Civil de Administradores e Diretores (D&amp;O), Processo SUSEP nº 15414.900118/2019-71 (fictício).</w:t>
      </w:r>
    </w:p>
    <w:p>
      <w:pPr>
        <w:pStyle w:val="Heading2"/>
      </w:pPr>
      <w:r>
        <w:t>CLÁUSULA 1 – OBJETO DO SEGURO</w:t>
      </w:r>
    </w:p>
    <w:p>
      <w:pPr>
        <w:ind w:left="624" w:hanging="624"/>
        <w:jc w:val="both"/>
      </w:pPr>
      <w:r>
        <w:rPr>
          <w:b/>
        </w:rPr>
        <w:t xml:space="preserve">1.1  </w:t>
      </w:r>
      <w:r>
        <w:t>Este seguro garante, até o Limite Máximo de Garantia (LMG) indicado na Especificação, o pagamento das Perdas decorrentes de Reclamações apresentadas contra o Segurado durante a vigência, o Prazo Complementar ou o Prazo Suplementar, por Ato Danoso praticado no exercício de suas funções no Tomador ou em Subsidiária, sem limite de data anterior, ressalvados os fatos e circunstâncias conhecidos.</w:t>
      </w:r>
    </w:p>
    <w:p>
      <w:pPr>
        <w:ind w:left="624" w:hanging="624"/>
        <w:jc w:val="both"/>
      </w:pPr>
      <w:r>
        <w:rPr>
          <w:b/>
        </w:rPr>
        <w:t xml:space="preserve">1.2  </w:t>
      </w:r>
      <w:r>
        <w:t>O seguro é contratado na modalidade de base de reclamações (claims made), com notificação, e rege-se pelas Condições Particulares, por estas Condições Gerais, pelos endossos, pela Circular SUSEP nº 637/2021 e pelo Código Civil. Em caso de divergência, prevalecem os endossos, depois as Condições Particulares.</w:t>
      </w:r>
    </w:p>
    <w:p>
      <w:pPr>
        <w:ind w:left="624" w:hanging="624"/>
        <w:jc w:val="both"/>
      </w:pPr>
      <w:r>
        <w:rPr>
          <w:b/>
        </w:rPr>
        <w:t xml:space="preserve">1.3  </w:t>
      </w:r>
      <w:r>
        <w:t>A contratação de cada cobertura somente se comprova pela Especificação e pelas Condições Particulares. A previsão de uma cobertura nestas Condições Gerais não implica sua contratação.</w:t>
      </w:r>
    </w:p>
    <w:p>
      <w:pPr>
        <w:pStyle w:val="Heading2"/>
      </w:pPr>
      <w:r>
        <w:t>CLÁUSULA 2 – DEFINIÇÕES</w:t>
      </w:r>
    </w:p>
    <w:p>
      <w:pPr>
        <w:ind w:left="624" w:hanging="624"/>
        <w:jc w:val="both"/>
      </w:pPr>
      <w:r>
        <w:rPr>
          <w:b/>
        </w:rPr>
        <w:t xml:space="preserve">2.1  </w:t>
      </w:r>
      <w:r>
        <w:t>“Apólice”: instrumento que formaliza o contrato, composto pela proposta, Condições Particulares, Condições Gerais e endossos.</w:t>
      </w:r>
    </w:p>
    <w:p>
      <w:pPr>
        <w:ind w:left="624" w:hanging="624"/>
        <w:jc w:val="both"/>
      </w:pPr>
      <w:r>
        <w:rPr>
          <w:b/>
        </w:rPr>
        <w:t xml:space="preserve">2.2  </w:t>
      </w:r>
      <w:r>
        <w:t>“Tomador”: a pessoa jurídica indicada na capa da apólice, que contrata o seguro em favor dos Segurados e responde pelo pagamento do prêmio.</w:t>
      </w:r>
    </w:p>
    <w:p>
      <w:pPr>
        <w:ind w:left="624" w:hanging="624"/>
        <w:jc w:val="both"/>
      </w:pPr>
      <w:r>
        <w:rPr>
          <w:b/>
        </w:rPr>
        <w:t xml:space="preserve">2.3  </w:t>
      </w:r>
      <w:r>
        <w:t>“Subsidiária”: sociedade em que o Tomador detenha, direta ou indiretamente, mais de 50% (cinquenta por cento) do capital votante, ou o poder de eleger a maioria dos administradores, indicada no Quadro 4 ou incluída por endosso.</w:t>
      </w:r>
    </w:p>
    <w:p>
      <w:pPr>
        <w:ind w:left="624" w:hanging="624"/>
        <w:jc w:val="both"/>
      </w:pPr>
      <w:r>
        <w:rPr>
          <w:b/>
        </w:rPr>
        <w:t xml:space="preserve">2.4  </w:t>
      </w:r>
      <w:r>
        <w:t>“Segurado”: as pessoas físicas indicadas no Quadro 3, presentes, passadas ou futuras, que exerçam ou tenham exercido cargo de administração, em conselho, comitê estatutário ou função de gestão com poderes de representação no Tomador ou em Subsidiária, inclusive, quando previsto, o espólio e os herdeiros.</w:t>
      </w:r>
    </w:p>
    <w:p>
      <w:pPr>
        <w:ind w:left="624" w:hanging="624"/>
        <w:jc w:val="both"/>
      </w:pPr>
      <w:r>
        <w:rPr>
          <w:b/>
        </w:rPr>
        <w:t xml:space="preserve">2.5  </w:t>
      </w:r>
      <w:r>
        <w:t>“Ato Danoso”: ato ou omissão culposa, erro, declaração inexata, violação de dever legal, estatutário ou fiduciário, real ou alegado, praticado pelo Segurado no exercício de suas funções.</w:t>
      </w:r>
    </w:p>
    <w:p>
      <w:pPr>
        <w:ind w:left="624" w:hanging="624"/>
        <w:jc w:val="both"/>
      </w:pPr>
      <w:r>
        <w:rPr>
          <w:b/>
        </w:rPr>
        <w:t xml:space="preserve">2.6  </w:t>
      </w:r>
      <w:r>
        <w:t>“Reclamação”: (a) citação ou notificação judicial em ação civil, criminal ou administrativa; (b) pedido escrito de indenização ou reparação; (c) instauração de processo arbitral; (d) Investigação Formal contra o Segurado.</w:t>
      </w:r>
    </w:p>
    <w:p>
      <w:pPr>
        <w:ind w:left="624" w:hanging="624"/>
        <w:jc w:val="both"/>
      </w:pPr>
      <w:r>
        <w:rPr>
          <w:b/>
        </w:rPr>
        <w:t xml:space="preserve">2.7  </w:t>
      </w:r>
      <w:r>
        <w:t>“Sinistro”: toda Reclamação, ou conjunto de Reclamações decorrentes do mesmo Ato Danoso ou de Atos Danosos relacionados, considerado um único Sinistro na data da primeira Reclamação.</w:t>
      </w:r>
    </w:p>
    <w:p>
      <w:pPr>
        <w:ind w:left="624" w:hanging="624"/>
        <w:jc w:val="both"/>
      </w:pPr>
      <w:r>
        <w:rPr>
          <w:b/>
        </w:rPr>
        <w:t xml:space="preserve">2.8  </w:t>
      </w:r>
      <w:r>
        <w:t>“Perdas”: valores que o Segurado for obrigado a pagar por decisão judicial, arbitral ou acordo aprovado pela Seguradora, inclusive Custos de Defesa, exceto tributos, multas e sanções que a lei aplicável proíba segurar, e as demais exclusões desta apólice.</w:t>
      </w:r>
    </w:p>
    <w:p>
      <w:pPr>
        <w:ind w:left="624" w:hanging="624"/>
        <w:jc w:val="both"/>
      </w:pPr>
      <w:r>
        <w:rPr>
          <w:b/>
        </w:rPr>
        <w:t xml:space="preserve">2.9  </w:t>
      </w:r>
      <w:r>
        <w:t>“Custos de Defesa”: honorários advocatícios e periciais, custas judiciais, cauções e demais despesas razoáveis e necessárias à defesa do Segurado, aprovadas pela Seguradora.</w:t>
      </w:r>
    </w:p>
    <w:p>
      <w:pPr>
        <w:ind w:left="624" w:hanging="624"/>
        <w:jc w:val="both"/>
      </w:pPr>
      <w:r>
        <w:rPr>
          <w:b/>
        </w:rPr>
        <w:t xml:space="preserve">2.10  </w:t>
      </w:r>
      <w:r>
        <w:t>“Investigação Formal”: procedimento formal de apuração instaurado por autoridade pública, regulador ou autorregulador, em que o Segurado seja intimado ou convocado.</w:t>
      </w:r>
    </w:p>
    <w:p>
      <w:pPr>
        <w:ind w:left="624" w:hanging="624"/>
        <w:jc w:val="both"/>
      </w:pPr>
      <w:r>
        <w:rPr>
          <w:b/>
        </w:rPr>
        <w:t xml:space="preserve">2.11  </w:t>
      </w:r>
      <w:r>
        <w:t>“Circunstância”: fato ou situação específica, conhecida durante a vigência, que possa razoavelmente originar uma Reclamação.</w:t>
      </w:r>
    </w:p>
    <w:p>
      <w:pPr>
        <w:ind w:left="624" w:hanging="624"/>
        <w:jc w:val="both"/>
      </w:pPr>
      <w:r>
        <w:rPr>
          <w:b/>
        </w:rPr>
        <w:t xml:space="preserve">2.12  </w:t>
      </w:r>
      <w:r>
        <w:t>“Limite Máximo de Garantia (LMG)”: valor máximo de responsabilidade da Seguradora por todas as Perdas, Custos de Defesa e coberturas, na vigência.</w:t>
      </w:r>
    </w:p>
    <w:p>
      <w:pPr>
        <w:ind w:left="624" w:hanging="624"/>
        <w:jc w:val="both"/>
      </w:pPr>
      <w:r>
        <w:rPr>
          <w:b/>
        </w:rPr>
        <w:t xml:space="preserve">2.13  </w:t>
      </w:r>
      <w:r>
        <w:t>“Franquia”: parcela das Perdas que fica a cargo do Tomador ou do Segurado, deduzida de cada Reclamação, conforme o Quadro 2.</w:t>
      </w:r>
    </w:p>
    <w:p>
      <w:pPr>
        <w:ind w:left="624" w:hanging="624"/>
        <w:jc w:val="both"/>
      </w:pPr>
      <w:r>
        <w:rPr>
          <w:b/>
        </w:rPr>
        <w:t xml:space="preserve">2.14  </w:t>
      </w:r>
      <w:r>
        <w:t>“Poluentes”: qualquer substância sólida, líquida, gasosa ou térmica irritante ou contaminante, inclusive fumaça, vapor, fuligem, resíduos, rejeitos, agrotóxicos e efluentes.</w:t>
      </w:r>
    </w:p>
    <w:p>
      <w:pPr>
        <w:ind w:left="624" w:hanging="624"/>
        <w:jc w:val="both"/>
      </w:pPr>
      <w:r>
        <w:rPr>
          <w:b/>
        </w:rPr>
        <w:t xml:space="preserve">2.15  </w:t>
      </w:r>
      <w:r>
        <w:t>“Entidade Externa”: pessoa jurídica sem fins lucrativos, que não seja Subsidiária, em que o Segurado ocupe cargo por indicação escrita do Tomador.</w:t>
      </w:r>
    </w:p>
    <w:p>
      <w:pPr>
        <w:ind w:left="624" w:hanging="624"/>
        <w:jc w:val="both"/>
      </w:pPr>
      <w:r>
        <w:rPr>
          <w:b/>
        </w:rPr>
        <w:t xml:space="preserve">2.16  </w:t>
      </w:r>
      <w:r>
        <w:t>“Evento de Crise”: fato que, a juízo razoável do Tomador, possa gerar Reclamação relevante ou dano grave à reputação do Tomador ou do Segurado.</w:t>
      </w:r>
    </w:p>
    <w:p>
      <w:pPr>
        <w:ind w:left="624" w:hanging="624"/>
        <w:jc w:val="both"/>
      </w:pPr>
      <w:r>
        <w:rPr>
          <w:b/>
        </w:rPr>
        <w:t xml:space="preserve">2.17  </w:t>
      </w:r>
      <w:r>
        <w:t>“Prazo Complementar”: período posterior ao fim da vigência, em que Reclamações por atos anteriores ao término podem ser apresentadas e notificadas.</w:t>
      </w:r>
    </w:p>
    <w:p>
      <w:pPr>
        <w:ind w:left="624" w:hanging="624"/>
        <w:jc w:val="both"/>
      </w:pPr>
      <w:r>
        <w:rPr>
          <w:b/>
        </w:rPr>
        <w:t xml:space="preserve">2.18  </w:t>
      </w:r>
      <w:r>
        <w:t>“Prazo Suplementar”: extensão contratável do período de apresentação de Reclamações após o fim da vigência, nas condições do Quadro 5.</w:t>
      </w:r>
    </w:p>
    <w:p>
      <w:pPr>
        <w:pStyle w:val="Heading2"/>
      </w:pPr>
      <w:r>
        <w:t>CLÁUSULA 3 – COBERTURAS BÁSICAS</w:t>
      </w:r>
    </w:p>
    <w:p>
      <w:pPr>
        <w:ind w:left="624" w:hanging="624"/>
        <w:jc w:val="both"/>
      </w:pPr>
      <w:r>
        <w:rPr>
          <w:b/>
        </w:rPr>
        <w:t xml:space="preserve">3.1  </w:t>
      </w:r>
      <w:r>
        <w:t>Cobertura A – Indenização ao Segurado. A Seguradora pagará diretamente ao Segurado, ou reembolsará quem o tiver feito, as Perdas decorrentes de Reclamação por Ato Danoso, quando o Tomador não puder ou não estiver legalmente autorizado a indenizá-lo (Side A), dentro do LMG.</w:t>
      </w:r>
    </w:p>
    <w:p>
      <w:pPr>
        <w:ind w:left="624" w:hanging="624"/>
        <w:jc w:val="both"/>
      </w:pPr>
      <w:r>
        <w:rPr>
          <w:b/>
        </w:rPr>
        <w:t xml:space="preserve">3.2  </w:t>
      </w:r>
      <w:r>
        <w:t>Cobertura B – Reembolso ao Tomador. A Seguradora reembolsará ao Tomador as Perdas que este, na forma da lei ou de seu estatuto, tenha pago ou adiantado em nome do Segurado em razão de Reclamação coberta (Side B), aplicada a franquia do Quadro 2.</w:t>
      </w:r>
    </w:p>
    <w:p>
      <w:pPr>
        <w:ind w:left="624" w:hanging="624"/>
        <w:jc w:val="both"/>
      </w:pPr>
      <w:r>
        <w:rPr>
          <w:b/>
        </w:rPr>
        <w:t xml:space="preserve">3.3  </w:t>
      </w:r>
      <w:r>
        <w:t>Cobertura C – Reclamações de Mercado de Valores Mobiliários. A Seguradora pagará as Perdas do próprio Tomador decorrentes de Reclamação de investidores em razão de violação da Lei 6.385/1976, da Lei 6.404/1976 ou de normas da Comissão de Valores Mobiliários (CVM), na oferta ou negociação de valores mobiliários do Tomador (Side C), até o LMG, sem sublimite específico.</w:t>
      </w:r>
    </w:p>
    <w:p>
      <w:pPr>
        <w:ind w:left="624" w:hanging="624"/>
        <w:jc w:val="both"/>
      </w:pPr>
      <w:r>
        <w:rPr>
          <w:b/>
        </w:rPr>
        <w:t xml:space="preserve">3.4  </w:t>
      </w:r>
      <w:r>
        <w:t>Limite adicional exclusivo da Cobertura A (Difference in Conditions – DIC). Esgotado o LMG, ou quando a apólice não puder indenizar por recusa do Tomador, a Seguradora pagará ao Segurado até R$ 10.000.000,00 adicionais, exclusivamente para Perdas não indenizadas pelo Tomador. Esse valor não é compartilhado com o Tomador nem com a Cobertura B.</w:t>
      </w:r>
    </w:p>
    <w:p>
      <w:pPr>
        <w:pStyle w:val="Heading2"/>
      </w:pPr>
      <w:r>
        <w:t>CLÁUSULA 4 – CUSTOS DE DEFESA E DESPESAS CORRELATAS</w:t>
      </w:r>
    </w:p>
    <w:p>
      <w:pPr>
        <w:ind w:left="624" w:hanging="624"/>
        <w:jc w:val="both"/>
      </w:pPr>
      <w:r>
        <w:rPr>
          <w:b/>
        </w:rPr>
        <w:t xml:space="preserve">4.1  </w:t>
      </w:r>
      <w:r>
        <w:t>Adiantamento de Custos de Defesa. A Seguradora adiantará, à medida que forem incorridos e em até 30 (trinta) dias da apresentação da documentação, os Custos de Defesa razoáveis do Segurado em Reclamação que possa ser coberta. Os Custos de Defesa integram o LMG e reduzem sua disponibilidade.</w:t>
      </w:r>
    </w:p>
    <w:p>
      <w:pPr>
        <w:ind w:left="624" w:hanging="624"/>
        <w:jc w:val="both"/>
      </w:pPr>
      <w:r>
        <w:rPr>
          <w:b/>
        </w:rPr>
        <w:t xml:space="preserve">4.2  </w:t>
      </w:r>
      <w:r>
        <w:t>O Segurado escolherá o advogado dentre os indicados pelo Tomador ou aprovados pela Seguradora, cuja anuência não será negada sem justo motivo. A Seguradora não responde por honorários acima de valores razoáveis de mercado para a matéria.</w:t>
      </w:r>
    </w:p>
    <w:p>
      <w:pPr>
        <w:ind w:left="624" w:hanging="624"/>
        <w:jc w:val="both"/>
      </w:pPr>
      <w:r>
        <w:rPr>
          <w:b/>
        </w:rPr>
        <w:t xml:space="preserve">4.3  </w:t>
      </w:r>
      <w:r>
        <w:t>Se, ao final, ficar demonstrado que a Reclamação não estava coberta, ou se houver decisão definitiva reconhecendo dolo, fraude ou vantagem indevida, o Segurado restituirá os valores adiantados corrigidos monetariamente, na forma da Cláusula 9.</w:t>
      </w:r>
    </w:p>
    <w:p>
      <w:pPr>
        <w:ind w:left="624" w:hanging="624"/>
        <w:jc w:val="both"/>
      </w:pPr>
      <w:r>
        <w:rPr>
          <w:b/>
        </w:rPr>
        <w:t xml:space="preserve">4.4  </w:t>
      </w:r>
      <w:r>
        <w:t>Custos de Defesa – Bens e Liberdade. Estão garantidos os Custos de Defesa do Segurado em processos, cíveis ou criminais, que coloquem em risco sua liberdade ou seu patrimônio pessoal, até o LMG, sem sublimite específico, ainda que a Reclamação tenha sido apresentada apenas contra a pessoa física.</w:t>
      </w:r>
    </w:p>
    <w:p>
      <w:pPr>
        <w:ind w:left="624" w:hanging="624"/>
        <w:jc w:val="both"/>
      </w:pPr>
      <w:r>
        <w:rPr>
          <w:b/>
        </w:rPr>
        <w:t xml:space="preserve">4.5  </w:t>
      </w:r>
      <w:r>
        <w:t>Bloqueio e Indisponibilidade de Bens e Penhora On-line. Determinado bloqueio, arresto, sequestro ou indisponibilidade de bens ou de contas correntes do Segurado, inclusive por penhora on-line, a Seguradora custeará as despesas necessárias ao seu levantamento e, quando decorrente de decisão judicial ou administrativa, a manutenção de sua subsistência, limitada ao sublimite de R$ 3.000.000,00, que integra e não se soma ao LMG.</w:t>
      </w:r>
    </w:p>
    <w:p>
      <w:pPr>
        <w:ind w:left="624" w:hanging="624"/>
        <w:jc w:val="both"/>
      </w:pPr>
      <w:r>
        <w:rPr>
          <w:b/>
        </w:rPr>
        <w:t xml:space="preserve">4.6  </w:t>
      </w:r>
      <w:r>
        <w:t>Depósitos Recursais, Cauções e Garantias Judiciais. A Seguradora arcará com o custo de fianças, cauções, seguros-garantia e depósitos recursais exigidos do Segurado para recorrer de decisão relativa a Reclamação coberta, até o LMG, sem sublimite específico. Os valores depositados em dinheiro serão devolvidos à Seguradora quando liberados.</w:t>
      </w:r>
    </w:p>
    <w:p>
      <w:pPr>
        <w:ind w:left="624" w:hanging="624"/>
        <w:jc w:val="both"/>
      </w:pPr>
      <w:r>
        <w:rPr>
          <w:b/>
        </w:rPr>
        <w:t xml:space="preserve">4.7  </w:t>
      </w:r>
      <w:r>
        <w:t>Custos Emergenciais de Defesa. Em situação de urgência, e quando não for possível obter a prévia anuência da Seguradora, os Custos de Defesa emergenciais incorridos nas primeiras 72 (setenta e duas) horas serão reembolsados, limitada ao sublimite de R$ 1.000.000,00, que integra e não se soma ao LMG, desde que o Sinistro seja comunicado em até 5 (cinco) dias úteis.</w:t>
      </w:r>
    </w:p>
    <w:p>
      <w:pPr>
        <w:ind w:left="624" w:hanging="624"/>
        <w:jc w:val="both"/>
      </w:pPr>
      <w:r>
        <w:rPr>
          <w:b/>
        </w:rPr>
        <w:t xml:space="preserve">4.8  </w:t>
      </w:r>
      <w:r>
        <w:t>Custos de Investigação. A Seguradora reembolsará ou adiantará os Custos de Defesa razoáveis do Segurado em razão de Investigação Formal instaurada por autoridade administrativa, policial, regulatória ou autorreguladora, ainda que não tenha havido Reclamação, desde que o Segurado seja intimado a prestar depoimento ou esclarecimentos, até o LMG, sem sublimite específico.</w:t>
      </w:r>
    </w:p>
    <w:p>
      <w:pPr>
        <w:ind w:left="624" w:hanging="624"/>
        <w:jc w:val="both"/>
      </w:pPr>
      <w:r>
        <w:rPr>
          <w:b/>
        </w:rPr>
        <w:t xml:space="preserve">4.9  </w:t>
      </w:r>
      <w:r>
        <w:t>Salvamento e Contenção. A Seguradora reembolsará as despesas razoáveis, previamente autorizadas, que o Segurado ou o Tomador tenham realizado para evitar ou reduzir a Perda decorrente de Ato Danoso já notificado (salvamento e contenção do Sinistro), limitada ao sublimite de R$ 2.000.000,00, que integra e não se soma ao LMG, nos termos do art. 771, parágrafo único, do Código Civil.</w:t>
      </w:r>
    </w:p>
    <w:p>
      <w:pPr>
        <w:pStyle w:val="Heading2"/>
      </w:pPr>
      <w:r>
        <w:t>CLÁUSULA 5 – EXTENSÕES DE COBERTURA</w:t>
      </w:r>
    </w:p>
    <w:p>
      <w:pPr>
        <w:ind w:left="624" w:hanging="624"/>
        <w:jc w:val="both"/>
      </w:pPr>
      <w:r>
        <w:rPr>
          <w:b/>
        </w:rPr>
        <w:t xml:space="preserve">5.1  </w:t>
      </w:r>
      <w:r>
        <w:t>Sujeitas ao LMG, às Franquias e às exclusões destas Condições Gerais, estão contratadas as extensões abaixo, nos limites do Quadro 1. Sublimites integram o LMG e não são adicionais a ele.</w:t>
      </w:r>
    </w:p>
    <w:p>
      <w:pPr>
        <w:ind w:left="624" w:hanging="624"/>
        <w:jc w:val="both"/>
      </w:pPr>
      <w:r>
        <w:rPr>
          <w:b/>
        </w:rPr>
        <w:t xml:space="preserve">5.2  </w:t>
      </w:r>
      <w:r>
        <w:t>Diretor de Entidade Externa. Estende-se a cobertura ao Segurado que, por indicação escrita do Tomador, exerça cargo em Entidade Externa, limitada ao sublimite de R$ 5.000.000,00, que integra e não se soma ao LMG. Esta cobertura é excedente a qualquer seguro ou indenização prestado pela Entidade Externa.</w:t>
      </w:r>
    </w:p>
    <w:p>
      <w:pPr>
        <w:ind w:left="624" w:hanging="624"/>
        <w:jc w:val="both"/>
      </w:pPr>
      <w:r>
        <w:rPr>
          <w:b/>
        </w:rPr>
        <w:t xml:space="preserve">5.3  </w:t>
      </w:r>
      <w:r>
        <w:t>Multas e Penalidades. Estão cobertas as multas e penalidades civis e administrativas impostas pessoalmente ao Segurado, na medida em que sejam seguráveis pela lei aplicável, limitada ao sublimite de R$ 5.000.000,00, que integra e não se soma ao LMG. A Seguradora pagará também os Custos de Defesa do processo que as originou.</w:t>
      </w:r>
    </w:p>
    <w:p>
      <w:pPr>
        <w:ind w:left="624" w:hanging="624"/>
        <w:jc w:val="both"/>
      </w:pPr>
      <w:r>
        <w:rPr>
          <w:b/>
        </w:rPr>
        <w:t xml:space="preserve">5.4  </w:t>
      </w:r>
      <w:r>
        <w:t>Novas Subsidiárias. Consideram-se automaticamente Subsidiárias as sociedades constituídas ou adquiridas pelo Tomador após o início da vigência cujo ativo total não exceda 25% (vinte e cinco por cento) do ativo consolidado do Tomador. Acima desse percentual, a inclusão depende de aceitação pela Seguradora e de eventual prêmio adicional. A extensão é concedida até o LMG, sem sublimite específico.</w:t>
      </w:r>
    </w:p>
    <w:p>
      <w:pPr>
        <w:ind w:left="624" w:hanging="624"/>
        <w:jc w:val="both"/>
      </w:pPr>
      <w:r>
        <w:rPr>
          <w:b/>
        </w:rPr>
        <w:t xml:space="preserve">5.5  </w:t>
      </w:r>
      <w:r>
        <w:t>Práticas Trabalhistas Indevidas. Estão cobertas as Reclamações contra o Segurado por Práticas Trabalhistas Indevidas, assim entendidas demissão sem justa causa alegadamente abusiva, discriminação, assédio moral ou sexual e retaliação, até o LMG, sem sublimite específico. A cobertura não abrange verbas rescisórias, salários, encargos e benefícios devidos pelo Tomador.</w:t>
      </w:r>
    </w:p>
    <w:p>
      <w:pPr>
        <w:ind w:left="624" w:hanging="624"/>
        <w:jc w:val="both"/>
      </w:pPr>
      <w:r>
        <w:rPr>
          <w:b/>
        </w:rPr>
        <w:t xml:space="preserve">5.6  </w:t>
      </w:r>
      <w:r>
        <w:t>Proteção da Imagem Pessoal e Relações Públicas. A Seguradora reembolsará as despesas com consultoria de comunicação e relações públicas contratadas com sua prévia aprovação para proteger a imagem pessoal do Segurado após a notificação de Reclamação coberta, limitada ao sublimite de R$ 1.000.000,00, que integra e não se soma ao LMG.</w:t>
      </w:r>
    </w:p>
    <w:p>
      <w:pPr>
        <w:ind w:left="624" w:hanging="624"/>
        <w:jc w:val="both"/>
      </w:pPr>
      <w:r>
        <w:rPr>
          <w:b/>
        </w:rPr>
        <w:t xml:space="preserve">5.7  </w:t>
      </w:r>
      <w:r>
        <w:t>Responsabilidade Tributária e Previdenciária. Estão cobertas as Reclamações que atribuam ao Segurado responsabilidade pessoal por tributos e contribuições não recolhidos pelo Tomador (arts. 135 do Código Tributário Nacional e 50 do Código Civil), até o LMG, sem sublimite específico. O tributo em si, seus acréscimos e a multa fiscal ficam excluídos, salvo se expressamente indicados no Quadro 1.</w:t>
      </w:r>
    </w:p>
    <w:p>
      <w:pPr>
        <w:ind w:left="624" w:hanging="624"/>
        <w:jc w:val="both"/>
      </w:pPr>
      <w:r>
        <w:rPr>
          <w:b/>
        </w:rPr>
        <w:t xml:space="preserve">5.8  </w:t>
      </w:r>
      <w:r>
        <w:t>Advogados Internos. O empregado do Tomador que exerça função jurídica interna é Segurado apenas quando atuar como membro de órgão de administração ou por delegação expressa da diretoria, até o LMG, sem sublimite específico. Não estão cobertas Reclamações por serviços jurídicos prestados a terceiros.</w:t>
      </w:r>
    </w:p>
    <w:p>
      <w:pPr>
        <w:ind w:left="624" w:hanging="624"/>
        <w:jc w:val="both"/>
      </w:pPr>
      <w:r>
        <w:rPr>
          <w:b/>
        </w:rPr>
        <w:t xml:space="preserve">5.9  </w:t>
      </w:r>
      <w:r>
        <w:t>Contadores, Gerentes de Riscos e Auditores Internos. São equiparados ao Segurado os contadores, gerentes de riscos, de conformidade e auditores internos do Tomador, pelos atos praticados nessa função e dentro do escopo de suas atribuições, até o LMG, sem sublimite específico.</w:t>
      </w:r>
    </w:p>
    <w:p>
      <w:pPr>
        <w:ind w:left="624" w:hanging="624"/>
        <w:jc w:val="both"/>
      </w:pPr>
      <w:r>
        <w:rPr>
          <w:b/>
        </w:rPr>
        <w:t xml:space="preserve">5.10  </w:t>
      </w:r>
      <w:r>
        <w:t>Danos Corporais. Estão cobertas as Reclamações por danos corporais, inclusive morte, sofridos por terceiros, quando imputados ao Segurado por falha de gestão, limitada ao sublimite de R$ 5.000.000,00, que integra e não se soma ao LMG.</w:t>
      </w:r>
    </w:p>
    <w:p>
      <w:pPr>
        <w:ind w:left="624" w:hanging="624"/>
        <w:jc w:val="both"/>
      </w:pPr>
      <w:r>
        <w:rPr>
          <w:b/>
        </w:rPr>
        <w:t xml:space="preserve">5.11  </w:t>
      </w:r>
      <w:r>
        <w:t>Danos Materiais. Estão cobertas as Reclamações por danos materiais causados a terceiros por Ato Danoso do Segurado, limitada ao sublimite de R$ 5.000.000,00, que integra e não se soma ao LMG.</w:t>
      </w:r>
    </w:p>
    <w:p>
      <w:pPr>
        <w:ind w:left="624" w:hanging="624"/>
        <w:jc w:val="both"/>
      </w:pPr>
      <w:r>
        <w:rPr>
          <w:b/>
        </w:rPr>
        <w:t xml:space="preserve">5.12  </w:t>
      </w:r>
      <w:r>
        <w:t>Danos Morais. Estão cobertas as indenizações por danos morais impostas ao Segurado em decorrência de Reclamação coberta, até o LMG, sem sublimite específico.</w:t>
      </w:r>
    </w:p>
    <w:p>
      <w:pPr>
        <w:ind w:left="624" w:hanging="624"/>
        <w:jc w:val="both"/>
      </w:pPr>
      <w:r>
        <w:rPr>
          <w:b/>
        </w:rPr>
        <w:t xml:space="preserve">5.13  </w:t>
      </w:r>
      <w:r>
        <w:t>Eventos Extraordinários com Reguladores. Estão cobertos os Custos de Defesa e de assessoria do Segurado em eventos extraordinários iniciados por reguladores, como fiscalização especial, intervenção, regime especial ou termo de cessação, limitada ao sublimite de R$ 2.000.000,00, que integra e não se soma ao LMG.</w:t>
      </w:r>
    </w:p>
    <w:p>
      <w:pPr>
        <w:ind w:left="624" w:hanging="624"/>
        <w:jc w:val="both"/>
      </w:pPr>
      <w:r>
        <w:rPr>
          <w:b/>
        </w:rPr>
        <w:t xml:space="preserve">5.14  </w:t>
      </w:r>
      <w:r>
        <w:t>Gerenciamento de Crise. A Seguradora reembolsará ao Tomador as despesas com consultoria de gerenciamento de crise contratada após um Evento de Crise notificado, pelo prazo de até 90 dias, limitada ao sublimite de R$ 1.000.000,00, que integra e não se soma ao LMG.</w:t>
      </w:r>
    </w:p>
    <w:p>
      <w:pPr>
        <w:ind w:left="624" w:hanging="624"/>
        <w:jc w:val="both"/>
      </w:pPr>
      <w:r>
        <w:rPr>
          <w:b/>
        </w:rPr>
        <w:t xml:space="preserve">5.15  </w:t>
      </w:r>
      <w:r>
        <w:t>Herdeiros, Sucessores, Espólio, Cônjuge e Companheiro. A cobertura se estende a herdeiros, sucessores, representantes legais, ao espólio e ao cônjuge ou companheiro do Segurado, quando Reclamados exclusivamente por ato do Segurado coberto por esta apólice, até o LMG, sem sublimite específico.</w:t>
      </w:r>
    </w:p>
    <w:p>
      <w:pPr>
        <w:ind w:left="624" w:hanging="624"/>
        <w:jc w:val="both"/>
      </w:pPr>
      <w:r>
        <w:rPr>
          <w:b/>
        </w:rPr>
        <w:t xml:space="preserve">5.16  </w:t>
      </w:r>
      <w:r>
        <w:t>Responsabilidade Solidária sobre Bens. Fica garantida a Reclamação em que o patrimônio comum do Segurado e de seu cônjuge ou companheiro responda solidariamente por dívida decorrente de Ato Danoso coberto, até o LMG, sem sublimite específico.</w:t>
      </w:r>
    </w:p>
    <w:p>
      <w:pPr>
        <w:ind w:left="624" w:hanging="624"/>
        <w:jc w:val="both"/>
      </w:pPr>
      <w:r>
        <w:rPr>
          <w:b/>
        </w:rPr>
        <w:t xml:space="preserve">5.17  </w:t>
      </w:r>
      <w:r>
        <w:t>Responsabilidade Civil Ambiental. Estão cobertas as Reclamações contra o Segurado por dano ambiental decorrente de decisão de gestão, com base nos arts. 3º e 14 da Lei 6.938/1981 e 225 da Constituição Federal, limitada ao sublimite de R$ 5.000.000,00, que integra e não se soma ao LMG. Ficam excluídos os custos de limpeza, remediação e recuperação da área, a cargo do Tomador.</w:t>
      </w:r>
    </w:p>
    <w:p>
      <w:pPr>
        <w:ind w:left="624" w:hanging="624"/>
        <w:jc w:val="both"/>
      </w:pPr>
      <w:r>
        <w:rPr>
          <w:b/>
        </w:rPr>
        <w:t xml:space="preserve">5.18  </w:t>
      </w:r>
      <w:r>
        <w:t>Reclamações da Sociedade, Acionistas ou Sócios contra o Segurado. Estão cobertas as Reclamações contra o Segurado apresentadas pelo Tomador, por acionista ou por sócio, inclusive ação social de responsabilidade (art. 159 da Lei 6.404/1976) e ação derivada, até o LMG, sem sublimite específico.</w:t>
      </w:r>
    </w:p>
    <w:p>
      <w:pPr>
        <w:ind w:left="624" w:hanging="624"/>
        <w:jc w:val="both"/>
      </w:pPr>
      <w:r>
        <w:rPr>
          <w:b/>
        </w:rPr>
        <w:t xml:space="preserve">5.19  </w:t>
      </w:r>
      <w:r>
        <w:t>Reclamações entre Segurados. Estão cobertas as Reclamações apresentadas por um Segurado contra outro Segurado, desde que não instigadas por outro Segurado, até o LMG, sem sublimite específico.</w:t>
      </w:r>
    </w:p>
    <w:p>
      <w:pPr>
        <w:ind w:left="624" w:hanging="624"/>
        <w:jc w:val="both"/>
      </w:pPr>
      <w:r>
        <w:rPr>
          <w:b/>
        </w:rPr>
        <w:t xml:space="preserve">5.20  </w:t>
      </w:r>
      <w:r>
        <w:t>TAC, Termos de Compromisso e Acordos com Autoridades. A Seguradora arcará com os Custos de Defesa e com os valores acordados pelo Segurado em Termo de Ajustamento de Conduta (TAC), Termo de Compromisso (TC) ou acordo administrativo com autoridade, limitada ao sublimite de R$ 3.000.000,00, que integra e não se soma ao LMG, desde que precedidos de consentimento.</w:t>
      </w:r>
    </w:p>
    <w:p>
      <w:pPr>
        <w:ind w:left="624" w:hanging="624"/>
        <w:jc w:val="both"/>
      </w:pPr>
      <w:r>
        <w:rPr>
          <w:b/>
        </w:rPr>
        <w:t xml:space="preserve">5.21  </w:t>
      </w:r>
      <w:r>
        <w:t>Atos Lesivos à Administração Pública (Lei 12.846/2013). Estão garantidos os Custos de Defesa do Segurado em processo administrativo ou judicial fundado na Lei 12.846/2013 (Lei Anticorrupção), limitada ao sublimite de R$ 5.000.000,00 (só Custos de Defesa), que integra e não se soma ao LMG, não se pagando multas, ressarcimentos ou perdimento de bens. A cobertura limita-se aos Custos de Defesa; não se pagam indenizações, multas ou condenações.</w:t>
      </w:r>
    </w:p>
    <w:p>
      <w:pPr>
        <w:ind w:left="624" w:hanging="624"/>
        <w:jc w:val="both"/>
      </w:pPr>
      <w:r>
        <w:rPr>
          <w:b/>
        </w:rPr>
        <w:t xml:space="preserve">5.22  </w:t>
      </w:r>
      <w:r>
        <w:t>Processos no Exterior. Estão cobertas as Reclamações e Investigações Formais apresentadas fora do Brasil, em qualquer jurisdição não sancionada, até o LMG, sem sublimite específico, observados o Âmbito Territorial e a Cláusula de Sanções.</w:t>
      </w:r>
    </w:p>
    <w:p>
      <w:pPr>
        <w:ind w:left="624" w:hanging="624"/>
        <w:jc w:val="both"/>
      </w:pPr>
      <w:r>
        <w:rPr>
          <w:b/>
        </w:rPr>
        <w:t xml:space="preserve">5.23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Extradição.</w:t>
      </w:r>
    </w:p>
    <w:p>
      <w:pPr>
        <w:ind w:left="907"/>
        <w:jc w:val="both"/>
      </w:pPr>
      <w:r>
        <w:t>b) Avalistas, Fiadores e Fiel Depositário.</w:t>
      </w:r>
    </w:p>
    <w:p>
      <w:pPr>
        <w:ind w:left="907"/>
        <w:jc w:val="both"/>
      </w:pPr>
      <w:r>
        <w:t>c) Inabilitação de Segurado.</w:t>
      </w:r>
    </w:p>
    <w:p>
      <w:pPr>
        <w:pStyle w:val="Heading2"/>
      </w:pPr>
      <w:r>
        <w:t>CLÁUSULA 6 – LIMITES, SUBLIMITES, FRANQUIA E EROSÃO</w:t>
      </w:r>
    </w:p>
    <w:p>
      <w:pPr>
        <w:ind w:left="624" w:hanging="624"/>
        <w:jc w:val="both"/>
      </w:pPr>
      <w:r>
        <w:rPr>
          <w:b/>
        </w:rPr>
        <w:t xml:space="preserve">6.1  </w:t>
      </w:r>
      <w:r>
        <w:t>O LMG é o valor máximo agregado que a Seguradora pagará na vigência, incluindo o Prazo Complementar, para todas as Reclamações, Perdas e coberturas, independentemente do número de Segurados, Reclamações ou reclamantes.</w:t>
      </w:r>
    </w:p>
    <w:p>
      <w:pPr>
        <w:ind w:left="624" w:hanging="624"/>
        <w:jc w:val="both"/>
      </w:pPr>
      <w:r>
        <w:rPr>
          <w:b/>
        </w:rPr>
        <w:t xml:space="preserve">6.2  </w:t>
      </w:r>
      <w:r>
        <w:t>Sublimites, quando indicados no Quadro 1, são agregados por vigência, integram o LMG e não se somam a ele. O pagamento de um sublimite erode o LMG.</w:t>
      </w:r>
    </w:p>
    <w:p>
      <w:pPr>
        <w:ind w:left="624" w:hanging="624"/>
        <w:jc w:val="both"/>
      </w:pPr>
      <w:r>
        <w:rPr>
          <w:b/>
        </w:rPr>
        <w:t xml:space="preserve">6.3  </w:t>
      </w:r>
      <w:r>
        <w:t>A Franquia do Quadro 2 é deduzida de cada Reclamação. Quando mais de uma Franquia for aplicável a um mesmo Sinistro, prevalecerá a maior. Não se aplica Franquia aos Custos de Defesa da Cobertura A.</w:t>
      </w:r>
    </w:p>
    <w:p>
      <w:pPr>
        <w:ind w:left="624" w:hanging="624"/>
        <w:jc w:val="both"/>
      </w:pPr>
      <w:r>
        <w:rPr>
          <w:b/>
        </w:rPr>
        <w:t xml:space="preserve">6.4  </w:t>
      </w:r>
      <w:r>
        <w:t>Ordem de pagamento. Existindo Reclamações simultâneas, a Seguradora pagará primeiro as Perdas da Cobertura A, depois as da Cobertura B e, por último, as demais coberturas, podendo suspender pagamentos da Cobertura B ou da Cobertura C, para não comprometer o LMG em prejuízo dos Segurados.</w:t>
      </w:r>
    </w:p>
    <w:p>
      <w:pPr>
        <w:ind w:left="624" w:hanging="624"/>
        <w:jc w:val="both"/>
      </w:pPr>
      <w:r>
        <w:rPr>
          <w:b/>
        </w:rPr>
        <w:t xml:space="preserve">6.5  </w:t>
      </w:r>
      <w:r>
        <w:t>Esgotado o LMG, cessam todas as obrigações da Seguradora, inclusive o adiantamento de Custos de Defesa, salvo o Limite adicional da Cobertura A, se contratado.</w:t>
      </w:r>
    </w:p>
    <w:p>
      <w:pPr>
        <w:pStyle w:val="Heading2"/>
      </w:pPr>
      <w:r>
        <w:t>CLÁUSULA 7 – VIGÊNCIA, RETROATIVIDADE, PRAZO COMPLEMENTAR E SUPLEMENTAR</w:t>
      </w:r>
    </w:p>
    <w:p>
      <w:pPr>
        <w:ind w:left="624" w:hanging="624"/>
        <w:jc w:val="both"/>
      </w:pPr>
      <w:r>
        <w:rPr>
          <w:b/>
        </w:rPr>
        <w:t xml:space="preserve">7.1  </w:t>
      </w:r>
      <w:r>
        <w:t>A vigência da apólice é a indicada na capa, com início e término às 24 horas das datas ali informadas.</w:t>
      </w:r>
    </w:p>
    <w:p>
      <w:pPr>
        <w:ind w:left="624" w:hanging="624"/>
        <w:jc w:val="both"/>
      </w:pPr>
      <w:r>
        <w:rPr>
          <w:b/>
        </w:rPr>
        <w:t xml:space="preserve">7.2  </w:t>
      </w:r>
      <w:r>
        <w:t>Retroatividade ilimitada. O seguro cobre Reclamações por Ato Danoso praticado a qualquer tempo antes da vigência, desde que nenhum Segurado ou o Tomador tenha tido conhecimento, antes do início da vigência, de fato ou Circunstância que razoavelmente pudesse originar a Reclamação (Cláusula 9).</w:t>
      </w:r>
    </w:p>
    <w:p>
      <w:pPr>
        <w:ind w:left="624" w:hanging="624"/>
        <w:jc w:val="both"/>
      </w:pPr>
      <w:r>
        <w:rPr>
          <w:b/>
        </w:rPr>
        <w:t xml:space="preserve">7.3  </w:t>
      </w:r>
      <w:r>
        <w:t>Prazo Complementar. Em caso de cancelamento por iniciativa da Seguradora, ou de não renovação sem substituição por apólice que preserve a retroatividade, aplica-se automaticamente, sem cobrança de prêmio adicional, Prazo Complementar de 36 (trinta e seis) meses, para Reclamações por atos anteriores ao término da vigência, notificadas nos termos da Cláusula 11.</w:t>
      </w:r>
    </w:p>
    <w:p>
      <w:pPr>
        <w:ind w:left="624" w:hanging="624"/>
        <w:jc w:val="both"/>
      </w:pPr>
      <w:r>
        <w:rPr>
          <w:b/>
        </w:rPr>
        <w:t xml:space="preserve">7.4  </w:t>
      </w:r>
      <w:r>
        <w:t>Prazo Suplementar. Além do Prazo Complementar, o Tomador poderá contratar Prazo Suplementar de 72 (setenta e dois) meses mediante prêmio adicional de 60% do prêmio anual, requerido em até 30 dias após o término da vigência. O Prazo Suplementar não reinstala o limite e cobre somente atos anteriores ao término.</w:t>
      </w:r>
    </w:p>
    <w:p>
      <w:pPr>
        <w:ind w:left="624" w:hanging="624"/>
        <w:jc w:val="both"/>
      </w:pPr>
      <w:r>
        <w:rPr>
          <w:b/>
        </w:rPr>
        <w:t xml:space="preserve">7.5  </w:t>
      </w:r>
      <w:r>
        <w:t>Segurados aposentados. O Segurado que, durante a vigência, se aposentar ou deixar o cargo por término de mandato terá Prazo Complementar de 72 (setenta e dois) meses para Reclamações por atos anteriores ao desligamento, independentemente da renovação da apólice.</w:t>
      </w:r>
    </w:p>
    <w:p>
      <w:pPr>
        <w:ind w:left="624" w:hanging="624"/>
        <w:jc w:val="both"/>
      </w:pPr>
      <w:r>
        <w:rPr>
          <w:b/>
        </w:rPr>
        <w:t xml:space="preserve">7.6  </w:t>
      </w:r>
      <w:r>
        <w:t>Demissão voluntária e desligamento. O Segurado que, durante a vigência, se desligar por demissão voluntária terá Prazo Complementar de 36 (trinta e seis) meses para Reclamações por atos anteriores ao desligamento, independentemente da renovação da apólice.</w:t>
      </w:r>
    </w:p>
    <w:p>
      <w:pPr>
        <w:pStyle w:val="Heading2"/>
      </w:pPr>
      <w:r>
        <w:t>CLÁUSULA 8 – ÂMBITO TERRITORIAL E JURISDIÇÃO</w:t>
      </w:r>
    </w:p>
    <w:p>
      <w:pPr>
        <w:ind w:left="624" w:hanging="624"/>
        <w:jc w:val="both"/>
      </w:pPr>
      <w:r>
        <w:rPr>
          <w:b/>
        </w:rPr>
        <w:t xml:space="preserve">8.1  </w:t>
      </w:r>
      <w:r>
        <w:t>A cobertura vale em todo o mundo, para Reclamações apresentadas em qualquer jurisdição, inclusive Estados Unidos e Canadá, sem sublimite específico.</w:t>
      </w:r>
    </w:p>
    <w:p>
      <w:pPr>
        <w:ind w:left="624" w:hanging="624"/>
        <w:jc w:val="both"/>
      </w:pPr>
      <w:r>
        <w:rPr>
          <w:b/>
        </w:rPr>
        <w:t xml:space="preserve">8.2  </w:t>
      </w:r>
      <w:r>
        <w:t>Jurisdição: Qualquer jurisdição, observada a Cláusula de Sanções.</w:t>
      </w:r>
    </w:p>
    <w:p>
      <w:pPr>
        <w:ind w:left="624" w:hanging="624"/>
        <w:jc w:val="both"/>
      </w:pPr>
      <w:r>
        <w:rPr>
          <w:b/>
        </w:rPr>
        <w:t xml:space="preserve">8.3  </w:t>
      </w:r>
      <w:r>
        <w:t>Sanções. A Seguradora não presta cobertura, nem paga sinistro ou benefício, se isso a expuser a sanção, proibição ou restrição decorrente de resoluções da ONU, ou de leis de sanções econômicas ou comerciais do Brasil, da União Europeia, do Reino Unido ou dos Estados Unidos da América.</w:t>
      </w:r>
    </w:p>
    <w:p>
      <w:pPr>
        <w:pStyle w:val="Heading2"/>
      </w:pPr>
      <w:r>
        <w:t>CLÁUSULA 9 – EXCLUSÕES GERAIS</w:t>
      </w:r>
    </w:p>
    <w:p>
      <w:pPr>
        <w:ind w:left="624" w:hanging="624"/>
        <w:jc w:val="both"/>
      </w:pPr>
      <w:r>
        <w:rPr>
          <w:b/>
        </w:rPr>
        <w:t xml:space="preserve">9.1  </w:t>
      </w:r>
      <w:r>
        <w:t>Além dos riscos excluídos por lei, a Seguradora não responde por Reclamações, Perdas ou Custos de Defesa:</w:t>
      </w:r>
    </w:p>
    <w:p>
      <w:pPr>
        <w:ind w:left="907"/>
        <w:jc w:val="both"/>
      </w:pPr>
      <w:r>
        <w:t>a) decorrentes de ato doloso, fraude, ato de improbidade ou vantagem pessoal indevida do Segurado, reconhecidos em decisão judicial ou arbitral definitiva. Até a decisão, os Custos de Defesa serão adiantados, com restituição posterior;</w:t>
      </w:r>
    </w:p>
    <w:p>
      <w:pPr>
        <w:ind w:left="907"/>
        <w:jc w:val="both"/>
      </w:pPr>
      <w:r>
        <w:t>b) por lucro, remuneração ou vantagem a que o Segurado não tinha direito legal, inclusive operações com partes relacionadas em condições não equitativas;</w:t>
      </w:r>
    </w:p>
    <w:p>
      <w:pPr>
        <w:ind w:left="907"/>
        <w:jc w:val="both"/>
      </w:pPr>
      <w:r>
        <w:t>c) fundadas em fatos, atos ou Circunstâncias conhecidos pelo Tomador ou pelo Segurado antes do início da vigência, ou já notificados a outra apólice;</w:t>
      </w:r>
    </w:p>
    <w:p>
      <w:pPr>
        <w:ind w:left="907"/>
        <w:jc w:val="both"/>
      </w:pPr>
      <w:r>
        <w:t>d) decorrentes de processo judicial, arbitral ou administrativo pendente, ou de litígio anterior, ou de fatos neles alegados;</w:t>
      </w:r>
    </w:p>
    <w:p>
      <w:pPr>
        <w:ind w:left="907"/>
        <w:jc w:val="both"/>
      </w:pPr>
      <w:r>
        <w:t>e) por guerra, invasão, atos de inimigo estrangeiro, guerra civil, terrorismo, radiação, contaminação nuclear ou reação nuclear;</w:t>
      </w:r>
    </w:p>
    <w:p>
      <w:pPr>
        <w:ind w:left="907"/>
        <w:jc w:val="both"/>
      </w:pPr>
      <w:r>
        <w:t>f) por responsabilidade assumida por contrato, garantia ou promessa, salvo se a responsabilidade existisse independentemente do contrato;</w:t>
      </w:r>
    </w:p>
    <w:p>
      <w:pPr>
        <w:ind w:left="907"/>
        <w:jc w:val="both"/>
      </w:pPr>
      <w:r>
        <w:t>g) por Reclamação relativa a benefícios de previdência complementar, Lei ERISA ou administração de plano de benefícios;</w:t>
      </w:r>
    </w:p>
    <w:p>
      <w:pPr>
        <w:ind w:left="907"/>
        <w:jc w:val="both"/>
      </w:pPr>
      <w:r>
        <w:t>h) por multa, sanção ou penalidade que a lei proíba segurar, ou de caráter punitivo ou exemplar;</w:t>
      </w:r>
    </w:p>
    <w:p>
      <w:pPr>
        <w:ind w:left="907"/>
        <w:jc w:val="both"/>
      </w:pPr>
      <w:r>
        <w:t>i) por descumprimento de obrigação de pagar prêmios, tributos, encargos ou verbas trabalhistas próprios do Tomador;</w:t>
      </w:r>
    </w:p>
    <w:p>
      <w:pPr>
        <w:ind w:left="907"/>
        <w:jc w:val="both"/>
      </w:pPr>
      <w:r>
        <w:t>j) por propriedade intelectual, patentes, marcas, segredos industriais ou direitos autorais, salvo Custos de Defesa;</w:t>
      </w:r>
    </w:p>
    <w:p>
      <w:pPr>
        <w:ind w:left="907"/>
        <w:jc w:val="both"/>
      </w:pPr>
      <w:r>
        <w:t>k) por atos do Segurado em outra sociedade não indicada como Subsidiária ou Entidade Externa coberta;</w:t>
      </w:r>
    </w:p>
    <w:p>
      <w:pPr>
        <w:ind w:left="907"/>
        <w:jc w:val="both"/>
      </w:pPr>
      <w:r>
        <w:t>l) por Reclamação apresentada em jurisdição ou por pessoa sujeita a sanção que impeça o pagamento (Cláusula 8).</w:t>
      </w:r>
    </w:p>
    <w:p>
      <w:pPr>
        <w:pStyle w:val="Heading2"/>
      </w:pPr>
      <w:r>
        <w:t>CLÁUSULA 10 – EXCLUSÕES ESPECÍFICAS</w:t>
      </w:r>
    </w:p>
    <w:p>
      <w:pPr>
        <w:ind w:left="624" w:hanging="624"/>
        <w:jc w:val="both"/>
      </w:pPr>
      <w:r>
        <w:rPr>
          <w:b/>
        </w:rPr>
        <w:t xml:space="preserve">10.1  </w:t>
      </w:r>
      <w:r>
        <w:t>Poluição. Ficam excluídos os custos de limpeza, remoção, remediação, monitoramento e recuperação de área contaminada, ainda que impostos ao Segurado, bem como Reclamações por poluição intencional ou por descumprimento de licença ou ordem ambiental conhecida.</w:t>
      </w:r>
    </w:p>
    <w:p>
      <w:pPr>
        <w:ind w:left="624" w:hanging="624"/>
        <w:jc w:val="both"/>
      </w:pPr>
      <w:r>
        <w:rPr>
          <w:b/>
        </w:rPr>
        <w:t xml:space="preserve">10.2  </w:t>
      </w:r>
      <w:r>
        <w:t>Observada a exclusão, as Reclamações por dano ambiental decorrentes de decisão de gestão estão cobertas nos termos da Cláusula 5, dentro do sublimite indicado no Quadro 1.</w:t>
      </w:r>
    </w:p>
    <w:p>
      <w:pPr>
        <w:ind w:left="624" w:hanging="624"/>
        <w:jc w:val="both"/>
      </w:pPr>
      <w:r>
        <w:rPr>
          <w:b/>
        </w:rPr>
        <w:t xml:space="preserve">10.3  </w:t>
      </w:r>
      <w:r>
        <w:t>Erros e Omissões – Prestação de Serviços Profissionais. Ficam excluídas Reclamações decorrentes da prestação ou da omissão de prestação de serviços profissionais a terceiros, em qualquer atividade (erros e omissões), ressalvada a cobertura de administradores por falha de supervisão, se contratada.</w:t>
      </w:r>
    </w:p>
    <w:p>
      <w:pPr>
        <w:pStyle w:val="Heading2"/>
      </w:pPr>
      <w:r>
        <w:t>CLÁUSULA 11 – NOTIFICAÇÃO DE RECLAMAÇÕES E CIRCUNSTÂNCIAS</w:t>
      </w:r>
    </w:p>
    <w:p>
      <w:pPr>
        <w:ind w:left="624" w:hanging="624"/>
        <w:jc w:val="both"/>
      </w:pPr>
      <w:r>
        <w:rPr>
          <w:b/>
        </w:rPr>
        <w:t xml:space="preserve">11.1  </w:t>
      </w:r>
      <w:r>
        <w:t>O Tomador ou o Segurado deverá notificar a Seguradora, por escrito, de qualquer Reclamação assim que dela tomar conhecimento e em até 30 (trinta) dias, e sempre até o fim da vigência ou do Prazo Complementar, o que ocorrer primeiro.</w:t>
      </w:r>
    </w:p>
    <w:p>
      <w:pPr>
        <w:ind w:left="624" w:hanging="624"/>
        <w:jc w:val="both"/>
      </w:pPr>
      <w:r>
        <w:rPr>
          <w:b/>
        </w:rPr>
        <w:t xml:space="preserve">11.2  </w:t>
      </w:r>
      <w:r>
        <w:t>Notificação de Circunstâncias. Se, durante a vigência, o Tomador ou o Segurado tiver conhecimento de Circunstância que possa originar Reclamação, poderá notificá-la à Seguradora com descrição dos fatos, das pessoas envolvidas, da data e dos possíveis reclamantes. A Reclamação posterior será tratada como apresentada na vigência em que a Circunstância foi notificada.</w:t>
      </w:r>
    </w:p>
    <w:p>
      <w:pPr>
        <w:ind w:left="624" w:hanging="624"/>
        <w:jc w:val="both"/>
      </w:pPr>
      <w:r>
        <w:rPr>
          <w:b/>
        </w:rPr>
        <w:t xml:space="preserve">11.3  </w:t>
      </w:r>
      <w:r>
        <w:t>A notificação tardia não prejudica a cobertura se realizada dentro da vigência ou do Prazo Complementar, mas a Seguradora não responde por Custos de Defesa incorridos antes da notificação sem sua anuência.</w:t>
      </w:r>
    </w:p>
    <w:p>
      <w:pPr>
        <w:pStyle w:val="Heading2"/>
      </w:pPr>
      <w:r>
        <w:t>CLÁUSULA 12 – SINISTRO, DEFESA E COOPERAÇÃO</w:t>
      </w:r>
    </w:p>
    <w:p>
      <w:pPr>
        <w:ind w:left="624" w:hanging="624"/>
        <w:jc w:val="both"/>
      </w:pPr>
      <w:r>
        <w:rPr>
          <w:b/>
        </w:rPr>
        <w:t xml:space="preserve">12.1  </w:t>
      </w:r>
      <w:r>
        <w:t>O Segurado e o Tomador cooperarão com a Seguradora, fornecendo documentos e informações, e não admitirão responsabilidade, não firmarão acordo nem incorrerão em despesas sem prévia anuência da Seguradora, que não a negará sem justo motivo.</w:t>
      </w:r>
    </w:p>
    <w:p>
      <w:pPr>
        <w:ind w:left="624" w:hanging="624"/>
        <w:jc w:val="both"/>
      </w:pPr>
      <w:r>
        <w:rPr>
          <w:b/>
        </w:rPr>
        <w:t xml:space="preserve">12.2  </w:t>
      </w:r>
      <w:r>
        <w:t>A Seguradora tem o direito de participar da defesa e das negociações. Se o Segurado recusar acordo recomendado pela Seguradora e aceito pelo reclamante, a Seguradora responde apenas até o valor do acordo recusado mais os Custos de Defesa razoáveis até então incorridos.</w:t>
      </w:r>
    </w:p>
    <w:p>
      <w:pPr>
        <w:ind w:left="624" w:hanging="624"/>
        <w:jc w:val="both"/>
      </w:pPr>
      <w:r>
        <w:rPr>
          <w:b/>
        </w:rPr>
        <w:t xml:space="preserve">12.3  </w:t>
      </w:r>
      <w:r>
        <w:t>A Seguradora tem 30 (trinta) dias, contados da entrega de todos os documentos, para se manifestar sobre a cobertura. O pedido de documentos complementares suspende esse prazo uma única vez. O pagamento será feito em até 30 (trinta) dias da decisão, sob pena de atualização monetária pelo IPCA e juros moratórios de 1% (um por cento) ao mês.</w:t>
      </w:r>
    </w:p>
    <w:p>
      <w:pPr>
        <w:pStyle w:val="Heading2"/>
      </w:pPr>
      <w:r>
        <w:t>CLÁUSULA 13 – DIREITO DE REGRESSO E SUB-ROGAÇÃO</w:t>
      </w:r>
    </w:p>
    <w:p>
      <w:pPr>
        <w:ind w:left="624" w:hanging="624"/>
        <w:jc w:val="both"/>
      </w:pPr>
      <w:r>
        <w:rPr>
          <w:b/>
        </w:rPr>
        <w:t xml:space="preserve">13.1  </w:t>
      </w:r>
      <w:r>
        <w:t>Paga a indenização, a Seguradora fica sub-rogada, até o limite do valor pago, nos direitos e ações do Segurado ou do Tomador contra terceiros, nos termos do art. 786 do Código Civil, obrigando-se o Segurado a colaborar e a não praticar ato que os prejudique.</w:t>
      </w:r>
    </w:p>
    <w:p>
      <w:pPr>
        <w:ind w:left="624" w:hanging="624"/>
        <w:jc w:val="both"/>
      </w:pPr>
      <w:r>
        <w:rPr>
          <w:b/>
        </w:rPr>
        <w:t xml:space="preserve">13.2  </w:t>
      </w:r>
      <w:r>
        <w:t>A Seguradora não exercerá direito de regresso contra o Segurado, exceto se a Reclamação for excluída por dolo ou fraude, hipótese em que poderá cobrar os valores pagos, atualizados. Não haverá regresso contra o Segurado por culpa, ainda que grave.</w:t>
      </w:r>
    </w:p>
    <w:p>
      <w:pPr>
        <w:ind w:left="624" w:hanging="624"/>
        <w:jc w:val="both"/>
      </w:pPr>
      <w:r>
        <w:rPr>
          <w:b/>
        </w:rPr>
        <w:t xml:space="preserve">13.3  </w:t>
      </w:r>
      <w:r>
        <w:t>Também não haverá sub-rogação contra herdeiros, cônjuge ou companheiro do Segurado, salvo nas hipóteses de dolo ou fraude.</w:t>
      </w:r>
    </w:p>
    <w:p>
      <w:pPr>
        <w:pStyle w:val="Heading2"/>
      </w:pPr>
      <w:r>
        <w:t>CLÁUSULA 14 – RATEIO, ALOCAÇÃO E OUTROS SEGUROS</w:t>
      </w:r>
    </w:p>
    <w:p>
      <w:pPr>
        <w:ind w:left="624" w:hanging="624"/>
        <w:jc w:val="both"/>
      </w:pPr>
      <w:r>
        <w:rPr>
          <w:b/>
        </w:rPr>
        <w:t xml:space="preserve">14.1  </w:t>
      </w:r>
      <w:r>
        <w:t>Quando a Reclamação envolver Perdas cobertas e não cobertas, ou Segurados cobertos e não cobertos, aplicar-se-á alocação justa e proporcional às exposições, envidando as partes seus melhores esforços para acordá-la. Os Custos de Defesa serão alocados integralmente à parte coberta quando a defesa beneficiar ambas.</w:t>
      </w:r>
    </w:p>
    <w:p>
      <w:pPr>
        <w:ind w:left="624" w:hanging="624"/>
        <w:jc w:val="both"/>
      </w:pPr>
      <w:r>
        <w:rPr>
          <w:b/>
        </w:rPr>
        <w:t xml:space="preserve">14.2  </w:t>
      </w:r>
      <w:r>
        <w:t>Este seguro é excedente a qualquer outro seguro válido e cobrável, inclusive de Entidade Externa, salvo o seguro contratado especificamente como excedente desta apólice.</w:t>
      </w:r>
    </w:p>
    <w:p>
      <w:pPr>
        <w:ind w:left="624" w:hanging="624"/>
        <w:jc w:val="both"/>
      </w:pPr>
      <w:r>
        <w:rPr>
          <w:b/>
        </w:rPr>
        <w:t xml:space="preserve">14.3  </w:t>
      </w:r>
      <w:r>
        <w:t>Havendo mais de uma apólice da Seguradora que cubra a mesma Reclamação, a responsabilidade total da Seguradora não excederá o maior limite aplicável.</w:t>
      </w:r>
    </w:p>
    <w:p>
      <w:pPr>
        <w:pStyle w:val="Heading2"/>
      </w:pPr>
      <w:r>
        <w:t>CLÁUSULA 15 – DECLARAÇÕES, AGRAVAMENTO DO RISCO E PERDA DE DIREITOS</w:t>
      </w:r>
    </w:p>
    <w:p>
      <w:pPr>
        <w:ind w:left="624" w:hanging="624"/>
        <w:jc w:val="both"/>
      </w:pPr>
      <w:r>
        <w:rPr>
          <w:b/>
        </w:rPr>
        <w:t xml:space="preserve">15.1  </w:t>
      </w:r>
      <w:r>
        <w:t>O Tomador e o Segurado declaram ser verdadeiras as informações da proposta, base desta apólice. Nos termos dos arts. 765 e 766 do Código Civil, a omissão ou inexatidão de má-fé, ou que influa na aceitação ou no prêmio, implica perda do direito à garantia. Se sem má-fé, a indenização será reduzida proporcionalmente à diferença de prêmio.</w:t>
      </w:r>
    </w:p>
    <w:p>
      <w:pPr>
        <w:ind w:left="624" w:hanging="624"/>
        <w:jc w:val="both"/>
      </w:pPr>
      <w:r>
        <w:rPr>
          <w:b/>
        </w:rPr>
        <w:t xml:space="preserve">15.2  </w:t>
      </w:r>
      <w:r>
        <w:t>O Tomador comunicará à Seguradora, em até 15 (quinze) dias, fusão, incorporação, cisão, alienação de controle, liquidação, recuperação judicial ou extrajudicial ou falência, de que resulte mudança do risco, nos termos do art. 769 do Código Civil.</w:t>
      </w:r>
    </w:p>
    <w:p>
      <w:pPr>
        <w:ind w:left="624" w:hanging="624"/>
        <w:jc w:val="both"/>
      </w:pPr>
      <w:r>
        <w:rPr>
          <w:b/>
        </w:rPr>
        <w:t xml:space="preserve">15.3  </w:t>
      </w:r>
      <w:r>
        <w:t>Perde direito à indenização quem agravar intencionalmente o risco, nos termos do art. 768 do Código Civil, ou quem prestar declaração falsa na notificação do Sinistro.</w:t>
      </w:r>
    </w:p>
    <w:p>
      <w:pPr>
        <w:pStyle w:val="Heading2"/>
      </w:pPr>
      <w:r>
        <w:t>CLÁUSULA 16 – PRÊMIO E PAGAMENTO</w:t>
      </w:r>
    </w:p>
    <w:p>
      <w:pPr>
        <w:ind w:left="624" w:hanging="624"/>
        <w:jc w:val="both"/>
      </w:pPr>
      <w:r>
        <w:rPr>
          <w:b/>
        </w:rPr>
        <w:t xml:space="preserve">16.1  </w:t>
      </w:r>
      <w:r>
        <w:t>O prêmio será pago em 4 parcelas mensais nas datas indicadas na proposta. O atraso de pagamento de qualquer parcela sujeita o valor a atualização monetária e juros de 1% (um por cento) ao mês e multa de 2% (dois por cento).</w:t>
      </w:r>
    </w:p>
    <w:p>
      <w:pPr>
        <w:ind w:left="624" w:hanging="624"/>
        <w:jc w:val="both"/>
      </w:pPr>
      <w:r>
        <w:rPr>
          <w:b/>
        </w:rPr>
        <w:t xml:space="preserve">16.2  </w:t>
      </w:r>
      <w:r>
        <w:t>A falta de pagamento de parcela, após notificação do Tomador, por 30 (trinta) dias, poderá levar ao cancelamento da apólice, conforme a Circular SUSEP nº 637/2021. Ocorrido o sinistro, as parcelas vincendas serão deduzidas da indenização.</w:t>
      </w:r>
    </w:p>
    <w:p>
      <w:pPr>
        <w:pStyle w:val="Heading2"/>
      </w:pPr>
      <w:r>
        <w:t>CLÁUSULA 17 – CANCELAMENTO E RENOVAÇÃO</w:t>
      </w:r>
    </w:p>
    <w:p>
      <w:pPr>
        <w:ind w:left="624" w:hanging="624"/>
        <w:jc w:val="both"/>
      </w:pPr>
      <w:r>
        <w:rPr>
          <w:b/>
        </w:rPr>
        <w:t xml:space="preserve">17.1  </w:t>
      </w:r>
      <w:r>
        <w:t>A apólice poderá ser cancelada pelo Tomador, a qualquer tempo, com devolução do prêmio proporcional ao prazo a decorrer, deduzida a parcela relativa às despesas de emissão, salvo se houver Reclamação notificada, caso em que o prêmio não será devolvido.</w:t>
      </w:r>
    </w:p>
    <w:p>
      <w:pPr>
        <w:ind w:left="624" w:hanging="624"/>
        <w:jc w:val="both"/>
      </w:pPr>
      <w:r>
        <w:rPr>
          <w:b/>
        </w:rPr>
        <w:t xml:space="preserve">17.2  </w:t>
      </w:r>
      <w:r>
        <w:t>A Seguradora somente poderá cancelar por falta de pagamento (Cláusula 16), por fraude ou por agravamento do risco (Cláusula 15), mediante aviso prévio de 30 (trinta) dias.</w:t>
      </w:r>
    </w:p>
    <w:p>
      <w:pPr>
        <w:ind w:left="624" w:hanging="624"/>
        <w:jc w:val="both"/>
      </w:pPr>
      <w:r>
        <w:rPr>
          <w:b/>
        </w:rPr>
        <w:t xml:space="preserve">17.3  </w:t>
      </w:r>
      <w:r>
        <w:t>A renovação depende de nova proposta e de aceitação pela Seguradora, que informará eventuais alterações com antecedência mínima de 60 (sessenta) dias. Não há renovação automática.</w:t>
      </w:r>
    </w:p>
    <w:p>
      <w:pPr>
        <w:pStyle w:val="Heading2"/>
      </w:pPr>
      <w:r>
        <w:t>CLÁUSULA 18 – PRESCRIÇÃO</w:t>
      </w:r>
    </w:p>
    <w:p>
      <w:pPr>
        <w:ind w:left="624" w:hanging="624"/>
        <w:jc w:val="both"/>
      </w:pPr>
      <w:r>
        <w:rPr>
          <w:b/>
        </w:rPr>
        <w:t xml:space="preserve">18.1  </w:t>
      </w:r>
      <w:r>
        <w:t>Os prazos prescricionais são os previstos em lei. A pretensão do Segurado ou do Tomador contra a Seguradora prescreve em 1 (um) ano, contado da ciência do fato gerador da pretensão (art. 206, § 1º, inciso II, do Código Civil).</w:t>
      </w:r>
    </w:p>
    <w:p>
      <w:pPr>
        <w:ind w:left="624" w:hanging="624"/>
        <w:jc w:val="both"/>
      </w:pPr>
      <w:r>
        <w:rPr>
          <w:b/>
        </w:rPr>
        <w:t xml:space="preserve">18.2  </w:t>
      </w:r>
      <w:r>
        <w:t>O pedido de indenização à Seguradora suspende o prazo prescricional até a ciência do Segurado ou do Tomador da decisão, nos termos da Súmula 229 do Superior Tribunal de Justiça.</w:t>
      </w:r>
    </w:p>
    <w:p>
      <w:pPr>
        <w:pStyle w:val="Heading2"/>
      </w:pPr>
      <w:r>
        <w:t>CLÁUSULA 19 – ARBITRAGEM</w:t>
      </w:r>
    </w:p>
    <w:p>
      <w:pPr>
        <w:ind w:left="624" w:hanging="624"/>
        <w:jc w:val="both"/>
      </w:pPr>
      <w:r>
        <w:rPr>
          <w:b/>
        </w:rPr>
        <w:t xml:space="preserve">19.1  </w:t>
      </w:r>
      <w:r>
        <w:t>Qualquer controvérsia sobre esta apólice será resolvida por arbitragem, na forma da Lei 9.307/1996, por três árbitros, com sede em São Paulo/SP, em português e conforme o regulamento da câmara de arbitragem indicada na Especificação.</w:t>
      </w:r>
    </w:p>
    <w:p>
      <w:pPr>
        <w:ind w:left="624" w:hanging="624"/>
        <w:jc w:val="both"/>
      </w:pPr>
      <w:r>
        <w:rPr>
          <w:b/>
        </w:rPr>
        <w:t xml:space="preserve">19.2  </w:t>
      </w:r>
      <w:r>
        <w:t>Ficam ressalvadas as medidas de urgência perante o Poder Judiciário e a possibilidade de o Tomador ou o Segurado, na condição de consumidor, optar pelo Poder Judiciário, nos termos da lei. O foro da comarca de São Paulo/SP será o competente para essas medidas.</w:t>
      </w:r>
    </w:p>
    <w:p>
      <w:pPr>
        <w:pStyle w:val="Heading2"/>
      </w:pPr>
      <w:r>
        <w:t>CLÁUSULA 20 – DISPOSIÇÕES FINAIS</w:t>
      </w:r>
    </w:p>
    <w:p>
      <w:pPr>
        <w:ind w:left="624" w:hanging="624"/>
        <w:jc w:val="both"/>
      </w:pPr>
      <w:r>
        <w:rPr>
          <w:b/>
        </w:rPr>
        <w:t xml:space="preserve">20.1  </w:t>
      </w:r>
      <w:r>
        <w:t>Os dados pessoais são tratados nos termos da Lei 13.709/2018 (LGPD), exclusivamente para a gestão desta apólice e de eventuais sinistros.</w:t>
      </w:r>
    </w:p>
    <w:p>
      <w:pPr>
        <w:ind w:left="624" w:hanging="624"/>
        <w:jc w:val="both"/>
      </w:pPr>
      <w:r>
        <w:rPr>
          <w:b/>
        </w:rPr>
        <w:t xml:space="preserve">20.2  </w:t>
      </w:r>
      <w:r>
        <w:t>Reclamações, dúvidas e sugestões: SAC da Seguradora e Ouvidoria (0800 700 0118, ouvidoria@aurelius.example). Sem solução, o segurado pode consultar a SUSEP pelo telefone 0800 021 8484 ou em www.gov.br/susep.</w:t>
      </w:r>
    </w:p>
    <w:p>
      <w:pPr>
        <w:ind w:left="624" w:hanging="624"/>
        <w:jc w:val="both"/>
      </w:pPr>
      <w:r>
        <w:rPr>
          <w:b/>
        </w:rPr>
        <w:t xml:space="preserve">20.3  </w:t>
      </w:r>
      <w:r>
        <w:t>Corretor: Meridiano Corretora de Seguros Ltda.. O corretor indicado é o intermediário da contratação, sem poderes para alterar estas Condições.</w:t>
      </w:r>
    </w:p>
    <w:p>
      <w:r>
        <w:br w:type="page"/>
      </w:r>
    </w:p>
    <w:p>
      <w:pPr>
        <w:pStyle w:val="Heading1"/>
      </w:pPr>
      <w:r>
        <w:t>SEÇÃO III – ENDOSSOS E CLÁUSULAS ESPECIAIS</w:t>
      </w:r>
    </w:p>
    <w:p>
      <w:pPr>
        <w:pStyle w:val="Heading2"/>
      </w:pPr>
      <w:r>
        <w:t>ENDOSSO Nº 001 – CLÁUSULA DE SANÇÕES ECONÔMICAS</w:t>
      </w:r>
    </w:p>
    <w:p>
      <w:pPr>
        <w:jc w:val="both"/>
      </w:pPr>
      <w:r>
        <w:t>Fica entendido e acordado que nenhuma cobertura, pagamento de sinistro ou benefício será devido se sua prestação expuser a Seguradora, ou qualquer de suas resseguradoras, a sanção, proibição ou restrição imposta por resolução das Nações Unidas ou por leis e regulamentos de sanções econômicas ou comerciais aplicáveis.</w:t>
      </w:r>
    </w:p>
    <w:p>
      <w:pPr>
        <w:jc w:val="both"/>
      </w:pPr>
      <w:r>
        <w:t>Permanecem inalteradas as demais disposições da apólice não alteradas por este endosso.</w:t>
      </w:r>
    </w:p>
    <w:p>
      <w:pPr>
        <w:pStyle w:val="Heading2"/>
      </w:pPr>
      <w:r>
        <w:t>ENDOSSO Nº 002 – INCLUSÃO DE SUBSIDIÁRIA</w:t>
      </w:r>
    </w:p>
    <w:p>
      <w:pPr>
        <w:jc w:val="both"/>
      </w:pPr>
      <w:r>
        <w:t>Fica incluída como Subsidiária, a partir de 10/10/2026, a sociedade Aurora Transmissão Sul S.A., com participação de 51% do Tomador, cobertos os atos praticados a partir da data da aquisição do controle.</w:t>
      </w:r>
    </w:p>
    <w:p>
      <w:pPr>
        <w:pStyle w:val="Heading2"/>
      </w:pPr>
      <w:r>
        <w:t>ENDOSSO Nº 003 – EXCLUSÃO DE FATOS E PROCESSOS CONHECIDOS</w:t>
      </w:r>
    </w:p>
    <w:p>
      <w:pPr>
        <w:jc w:val="both"/>
      </w:pPr>
      <w:r>
        <w:t>Ficam excluídas, com efeito a partir de 10/10/2026, as Reclamações decorrentes de, baseadas em ou relacionadas com o processo administrativo sancionador nº 19957.004321/2025-14, em curso perante a CVM, envolvendo a divulgação de fato relevante em 2025, bem como qualquer processo ou circunstância nele descrito, ainda que a Reclamação seja apresentada durante a vigência desta apólice.</w:t>
      </w:r>
    </w:p>
    <w:p>
      <w:pPr>
        <w:jc w:val="both"/>
      </w:pPr>
      <w:r>
        <w:t>Local e data: São Paulo, 29/09/2026. Aurelius Seguros S.A. – Diretoria Técnica. Corretor: Meridiano Corretora de Seguros Ltda..</w:t>
      </w:r>
    </w:p>
    <w:sectPr w:rsidR="00FC693F" w:rsidRPr="0006063C" w:rsidSect="00034616">
      <w:headerReference w:type="default" r:id="rId4"/>
      <w:footerReference w:type="default" r:id="rId9"/>
      <w:pgSz w:w="11906" w:h="16838"/>
      <w:pgMar w:top="1361"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Aurelius Seguros S.A. · Apólice nº AUR-0351-2026-000118 · Documento fictício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AURELIUS SEGUROS S.A. · Seguro D&amp;O · Apólice nº AUR-0351-2026-000118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4A5A"/>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3B4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B4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4"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Apólice D&amp;O AUR-0351-2026-000118</dc:title>
  <dc:subject>Seguro de Responsabilidade Civil de Administradores e Diretores (D&amp;O)</dc:subject>
  <dc:creator>Aurelius Seguros S.A.</dc:creator>
  <cp:keywords/>
  <dc:description>generated by python-docx</dc:description>
  <cp:lastModifiedBy>Aurelius Seguros S.A.</cp:lastModifiedBy>
  <cp:revision>1</cp:revision>
  <dcterms:created xsi:type="dcterms:W3CDTF">2026-09-29T12:00:00Z</dcterms:created>
  <dcterms:modified xsi:type="dcterms:W3CDTF">2026-09-29T12:00:00Z</dcterms:modified>
  <cp:category/>
</cp:coreProperties>
</file>