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APÓLICE DE SEGURO DE RESPONSABILIDADE CIVIL DE ADMINISTRADORES E DIRETORES (D&amp;O)</w:t>
      </w:r>
    </w:p>
    <w:p>
      <w:r>
        <w:rPr>
          <w:b/>
        </w:rPr>
        <w:t>Boreal Proteção Seguros S.A. – CNPJ 33.518.902/0001-47 – Código SUSEP 04.877</w:t>
      </w:r>
    </w:p>
    <w:p>
      <w:r>
        <w:rPr>
          <w:color w:val="3B4A5A"/>
          <w:sz w:val="16"/>
        </w:rPr>
        <w:t>Rua da Bahia, 1.148, 9º andar, Belo Horizonte/MG. Ouvidoria: 0800 600 3105, ouvidoria@boreal.example.</w:t>
      </w:r>
    </w:p>
    <w:tbl>
      <w:tblPr>
        <w:tblStyle w:val="TableGrid"/>
        <w:tblW w:type="auto" w:w="0"/>
        <w:tblLayout w:type="fixed"/>
        <w:tblLook w:firstColumn="1" w:firstRow="1" w:lastColumn="0" w:lastRow="0" w:noHBand="0" w:noVBand="1" w:val="04A0"/>
      </w:tblPr>
      <w:tblGrid>
        <w:gridCol w:w="4819"/>
        <w:gridCol w:w="4819"/>
      </w:tblGrid>
      <w:tr>
        <w:trPr>
          <w:tblHeader/>
        </w:trPr>
        <w:tc>
          <w:tcPr>
            <w:tcW w:type="dxa" w:w="3084"/>
            <w:shd w:val="clear" w:fill="E6EAEE"/>
          </w:tcPr>
          <w:p>
            <w:pPr>
              <w:spacing w:after="20"/>
            </w:pPr>
            <w:r>
              <w:rPr>
                <w:sz w:val="17"/>
              </w:rPr>
            </w:r>
            <w:r>
              <w:rPr>
                <w:b/>
                <w:sz w:val="17"/>
              </w:rPr>
              <w:t>Campo</w:t>
            </w:r>
          </w:p>
        </w:tc>
        <w:tc>
          <w:tcPr>
            <w:tcW w:type="dxa" w:w="6554"/>
            <w:shd w:val="clear" w:fill="E6EAEE"/>
          </w:tcPr>
          <w:p>
            <w:pPr>
              <w:spacing w:after="20"/>
            </w:pPr>
            <w:r>
              <w:rPr>
                <w:sz w:val="17"/>
              </w:rPr>
            </w:r>
            <w:r>
              <w:rPr>
                <w:b/>
                <w:sz w:val="17"/>
              </w:rPr>
              <w:t>Informação</w:t>
            </w:r>
          </w:p>
        </w:tc>
      </w:tr>
      <w:tr>
        <w:trPr>
          <w:cantSplit/>
        </w:trPr>
        <w:tc>
          <w:tcPr>
            <w:tcW w:type="dxa" w:w="3084"/>
          </w:tcPr>
          <w:p>
            <w:pPr>
              <w:spacing w:after="20"/>
            </w:pPr>
            <w:r>
              <w:rPr>
                <w:sz w:val="17"/>
              </w:rPr>
              <w:t>Apólice nº</w:t>
            </w:r>
          </w:p>
        </w:tc>
        <w:tc>
          <w:tcPr>
            <w:tcW w:type="dxa" w:w="6554"/>
          </w:tcPr>
          <w:p>
            <w:pPr>
              <w:spacing w:after="20"/>
            </w:pPr>
            <w:r>
              <w:rPr>
                <w:sz w:val="17"/>
              </w:rPr>
              <w:t>BOR-0351-2026-004512</w:t>
            </w:r>
          </w:p>
        </w:tc>
      </w:tr>
      <w:tr>
        <w:trPr>
          <w:cantSplit/>
        </w:trPr>
        <w:tc>
          <w:tcPr>
            <w:tcW w:type="dxa" w:w="3084"/>
          </w:tcPr>
          <w:p>
            <w:pPr>
              <w:spacing w:after="20"/>
            </w:pPr>
            <w:r>
              <w:rPr>
                <w:sz w:val="17"/>
              </w:rPr>
              <w:t>Proposta nº</w:t>
            </w:r>
          </w:p>
        </w:tc>
        <w:tc>
          <w:tcPr>
            <w:tcW w:type="dxa" w:w="6554"/>
          </w:tcPr>
          <w:p>
            <w:pPr>
              <w:spacing w:after="20"/>
            </w:pPr>
            <w:r>
              <w:rPr>
                <w:sz w:val="17"/>
              </w:rPr>
              <w:t>BOR-P-2026-011873</w:t>
            </w:r>
          </w:p>
        </w:tc>
      </w:tr>
      <w:tr>
        <w:trPr>
          <w:cantSplit/>
        </w:trPr>
        <w:tc>
          <w:tcPr>
            <w:tcW w:type="dxa" w:w="3084"/>
          </w:tcPr>
          <w:p>
            <w:pPr>
              <w:spacing w:after="20"/>
            </w:pPr>
            <w:r>
              <w:rPr>
                <w:sz w:val="17"/>
              </w:rPr>
              <w:t>Processo SUSEP nº</w:t>
            </w:r>
          </w:p>
        </w:tc>
        <w:tc>
          <w:tcPr>
            <w:tcW w:type="dxa" w:w="6554"/>
          </w:tcPr>
          <w:p>
            <w:pPr>
              <w:spacing w:after="20"/>
            </w:pPr>
            <w:r>
              <w:rPr>
                <w:sz w:val="17"/>
              </w:rPr>
              <w:t>15414.601245/2021-33</w:t>
            </w:r>
          </w:p>
        </w:tc>
      </w:tr>
      <w:tr>
        <w:trPr>
          <w:cantSplit/>
        </w:trPr>
        <w:tc>
          <w:tcPr>
            <w:tcW w:type="dxa" w:w="3084"/>
          </w:tcPr>
          <w:p>
            <w:pPr>
              <w:spacing w:after="20"/>
            </w:pPr>
            <w:r>
              <w:rPr>
                <w:sz w:val="17"/>
              </w:rPr>
              <w:t>Ramo / Modalidade</w:t>
            </w:r>
          </w:p>
        </w:tc>
        <w:tc>
          <w:tcPr>
            <w:tcW w:type="dxa" w:w="6554"/>
          </w:tcPr>
          <w:p>
            <w:pPr>
              <w:spacing w:after="20"/>
            </w:pPr>
            <w:r>
              <w:rPr>
                <w:sz w:val="17"/>
              </w:rPr>
              <w:t>0351 – Responsabilidade Civil de Administradores e Diretores (D&amp;O) – base de reclamações (claims made) com notificação</w:t>
            </w:r>
          </w:p>
        </w:tc>
      </w:tr>
      <w:tr>
        <w:trPr>
          <w:cantSplit/>
        </w:trPr>
        <w:tc>
          <w:tcPr>
            <w:tcW w:type="dxa" w:w="3084"/>
          </w:tcPr>
          <w:p>
            <w:pPr>
              <w:spacing w:after="20"/>
            </w:pPr>
            <w:r>
              <w:rPr>
                <w:sz w:val="17"/>
              </w:rPr>
              <w:t>Data de emissão</w:t>
            </w:r>
          </w:p>
        </w:tc>
        <w:tc>
          <w:tcPr>
            <w:tcW w:type="dxa" w:w="6554"/>
          </w:tcPr>
          <w:p>
            <w:pPr>
              <w:spacing w:after="20"/>
            </w:pPr>
            <w:r>
              <w:rPr>
                <w:sz w:val="17"/>
              </w:rPr>
              <w:t>15/09/2026</w:t>
            </w:r>
          </w:p>
        </w:tc>
      </w:tr>
      <w:tr>
        <w:trPr>
          <w:cantSplit/>
        </w:trPr>
        <w:tc>
          <w:tcPr>
            <w:tcW w:type="dxa" w:w="3084"/>
          </w:tcPr>
          <w:p>
            <w:pPr>
              <w:spacing w:after="20"/>
            </w:pPr>
            <w:r>
              <w:rPr>
                <w:sz w:val="17"/>
              </w:rPr>
              <w:t>Vigência</w:t>
            </w:r>
          </w:p>
        </w:tc>
        <w:tc>
          <w:tcPr>
            <w:tcW w:type="dxa" w:w="6554"/>
          </w:tcPr>
          <w:p>
            <w:pPr>
              <w:spacing w:after="20"/>
            </w:pPr>
            <w:r>
              <w:rPr>
                <w:sz w:val="17"/>
              </w:rPr>
              <w:t>Das 24h de 01/10/2026 às 24h de 01/10/2027</w:t>
            </w:r>
          </w:p>
        </w:tc>
      </w:tr>
      <w:tr>
        <w:trPr>
          <w:cantSplit/>
        </w:trPr>
        <w:tc>
          <w:tcPr>
            <w:tcW w:type="dxa" w:w="3084"/>
          </w:tcPr>
          <w:p>
            <w:pPr>
              <w:spacing w:after="20"/>
            </w:pPr>
            <w:r>
              <w:rPr>
                <w:sz w:val="17"/>
              </w:rPr>
              <w:t>Contratante / Segurado principal</w:t>
            </w:r>
          </w:p>
        </w:tc>
        <w:tc>
          <w:tcPr>
            <w:tcW w:type="dxa" w:w="6554"/>
          </w:tcPr>
          <w:p>
            <w:pPr>
              <w:spacing w:after="20"/>
            </w:pPr>
            <w:r>
              <w:rPr>
                <w:sz w:val="17"/>
              </w:rPr>
              <w:t>Ferrolar Indústria Metalúrgica S.A. – CNPJ 08.443.190/0001-52</w:t>
            </w:r>
          </w:p>
        </w:tc>
      </w:tr>
      <w:tr>
        <w:trPr>
          <w:cantSplit/>
        </w:trPr>
        <w:tc>
          <w:tcPr>
            <w:tcW w:type="dxa" w:w="3084"/>
          </w:tcPr>
          <w:p>
            <w:pPr>
              <w:spacing w:after="20"/>
            </w:pPr>
            <w:r>
              <w:rPr>
                <w:sz w:val="17"/>
              </w:rPr>
              <w:t>Endereço</w:t>
            </w:r>
          </w:p>
        </w:tc>
        <w:tc>
          <w:tcPr>
            <w:tcW w:type="dxa" w:w="6554"/>
          </w:tcPr>
          <w:p>
            <w:pPr>
              <w:spacing w:after="20"/>
            </w:pPr>
            <w:r>
              <w:rPr>
                <w:sz w:val="17"/>
              </w:rPr>
              <w:t>Rodovia MG-050, km 42, Distrito Industrial, Itaúna/MG</w:t>
            </w:r>
          </w:p>
        </w:tc>
      </w:tr>
      <w:tr>
        <w:trPr>
          <w:cantSplit/>
        </w:trPr>
        <w:tc>
          <w:tcPr>
            <w:tcW w:type="dxa" w:w="3084"/>
          </w:tcPr>
          <w:p>
            <w:pPr>
              <w:spacing w:after="20"/>
            </w:pPr>
            <w:r>
              <w:rPr>
                <w:sz w:val="17"/>
              </w:rPr>
              <w:t>Atividade</w:t>
            </w:r>
          </w:p>
        </w:tc>
        <w:tc>
          <w:tcPr>
            <w:tcW w:type="dxa" w:w="6554"/>
          </w:tcPr>
          <w:p>
            <w:pPr>
              <w:spacing w:after="20"/>
            </w:pPr>
            <w:r>
              <w:rPr>
                <w:sz w:val="17"/>
              </w:rPr>
              <w:t>Fabricação de componentes metálicos e peças forjadas; sociedade anônima de capital fechado, controle familiar.</w:t>
            </w:r>
          </w:p>
        </w:tc>
      </w:tr>
      <w:tr>
        <w:trPr>
          <w:cantSplit/>
        </w:trPr>
        <w:tc>
          <w:tcPr>
            <w:tcW w:type="dxa" w:w="3084"/>
          </w:tcPr>
          <w:p>
            <w:pPr>
              <w:spacing w:after="20"/>
            </w:pPr>
            <w:r>
              <w:rPr>
                <w:sz w:val="17"/>
              </w:rPr>
              <w:t>Corretor de seguros</w:t>
            </w:r>
          </w:p>
        </w:tc>
        <w:tc>
          <w:tcPr>
            <w:tcW w:type="dxa" w:w="6554"/>
          </w:tcPr>
          <w:p>
            <w:pPr>
              <w:spacing w:after="20"/>
            </w:pPr>
            <w:r>
              <w:rPr>
                <w:sz w:val="17"/>
              </w:rPr>
              <w:t>Alvorada Corretagem de Seguros S/S Ltda. – SUSEP nº 100387554</w:t>
            </w:r>
          </w:p>
        </w:tc>
      </w:tr>
    </w:tbl>
    <w:p>
      <w:pPr>
        <w:spacing w:after="40"/>
      </w:pPr>
    </w:p>
    <w:p>
      <w:pPr>
        <w:jc w:val="both"/>
      </w:pPr>
      <w:r>
        <w:t>A Seguradora, em contraprestação ao prêmio e com base nas declarações prestadas na proposta, garante ao Contratante e aos Administradores Segurados as coberturas contratadas indicadas nas Condições Particulares, nos termos destas Condições Gerais e dos endossos emitidos, observada a Circular SUSEP nº 637, de 27 de julho de 2021, e os arts. 757 a 802 do Código Civil (Lei nº 10.406/2002).</w:t>
      </w:r>
    </w:p>
    <w:p>
      <w:r>
        <w:rPr>
          <w:color w:val="3B4A5A"/>
          <w:sz w:val="16"/>
        </w:rPr>
        <w:t>Documento fictício, criado exclusivamente para testes do ClauseAI. As empresas, números, processos e pessoas citados não existem e o texto não tem valor contratual. O registro do produto na SUSEP é automático e não representa aprovação ou recomendação por parte da autarquia.</w:t>
      </w:r>
    </w:p>
    <w:p>
      <w:r>
        <w:br w:type="page"/>
      </w:r>
    </w:p>
    <w:p>
      <w:pPr>
        <w:pStyle w:val="Heading1"/>
      </w:pPr>
      <w:r>
        <w:t>SEÇÃO I – CONDIÇÕES PARTICULARES E QUADRO RESUMO</w:t>
      </w:r>
    </w:p>
    <w:p>
      <w:pPr>
        <w:jc w:val="both"/>
      </w:pPr>
      <w:r>
        <w:t>Apólice nº BOR-0351-2026-004512 · Contratante: Ferrolar Indústria Metalúrgica S.A.. Somente as coberturas indicadas como Contratada estão em vigor. As coberturas Não contratadas ou Excluídas não geram direito a indenização, ainda que mencionadas nas Condições Gerais.</w:t>
      </w:r>
    </w:p>
    <w:p>
      <w:pPr>
        <w:keepNext/>
        <w:spacing w:before="160"/>
      </w:pPr>
      <w:r>
        <w:rPr>
          <w:b/>
          <w:color w:val="3B4A5A"/>
        </w:rPr>
        <w:t>Quadro 1 – Limite, moeda e prêmio</w:t>
      </w:r>
    </w:p>
    <w:tbl>
      <w:tblPr>
        <w:tblStyle w:val="TableGrid"/>
        <w:tblW w:type="auto" w:w="0"/>
        <w:tblLayout w:type="fixed"/>
        <w:tblLook w:firstColumn="1" w:firstRow="1" w:lastColumn="0" w:lastRow="0" w:noHBand="0" w:noVBand="1" w:val="04A0"/>
      </w:tblPr>
      <w:tblGrid>
        <w:gridCol w:w="4819"/>
        <w:gridCol w:w="4819"/>
      </w:tblGrid>
      <w:tr>
        <w:trPr>
          <w:tblHeader/>
        </w:trPr>
        <w:tc>
          <w:tcPr>
            <w:tcW w:type="dxa" w:w="3277"/>
            <w:shd w:val="clear" w:fill="E6EAEE"/>
          </w:tcPr>
          <w:p>
            <w:pPr>
              <w:spacing w:after="20"/>
            </w:pPr>
            <w:r>
              <w:rPr>
                <w:sz w:val="17"/>
              </w:rPr>
            </w:r>
            <w:r>
              <w:rPr>
                <w:b/>
                <w:sz w:val="17"/>
              </w:rPr>
              <w:t>Item</w:t>
            </w:r>
          </w:p>
        </w:tc>
        <w:tc>
          <w:tcPr>
            <w:tcW w:type="dxa" w:w="6361"/>
            <w:shd w:val="clear" w:fill="E6EAEE"/>
          </w:tcPr>
          <w:p>
            <w:pPr>
              <w:spacing w:after="20"/>
            </w:pPr>
            <w:r>
              <w:rPr>
                <w:sz w:val="17"/>
              </w:rPr>
            </w:r>
            <w:r>
              <w:rPr>
                <w:b/>
                <w:sz w:val="17"/>
              </w:rPr>
              <w:t>Condição</w:t>
            </w:r>
          </w:p>
        </w:tc>
      </w:tr>
      <w:tr>
        <w:trPr>
          <w:cantSplit/>
        </w:trPr>
        <w:tc>
          <w:tcPr>
            <w:tcW w:type="dxa" w:w="3277"/>
          </w:tcPr>
          <w:p>
            <w:pPr>
              <w:spacing w:after="20"/>
            </w:pPr>
            <w:r>
              <w:rPr>
                <w:sz w:val="17"/>
              </w:rPr>
              <w:t>Limite Máximo de Indenização (LMI)</w:t>
            </w:r>
          </w:p>
        </w:tc>
        <w:tc>
          <w:tcPr>
            <w:tcW w:type="dxa" w:w="6361"/>
          </w:tcPr>
          <w:p>
            <w:pPr>
              <w:spacing w:after="20"/>
            </w:pPr>
            <w:r>
              <w:rPr>
                <w:sz w:val="17"/>
              </w:rPr>
              <w:t>R$ 20.000.000,00 por vigência, em base agregada, para todas as Coberturas, Perdas e Custos de Defesa, salvo quando indicado em contrário.</w:t>
            </w:r>
          </w:p>
        </w:tc>
      </w:tr>
      <w:tr>
        <w:trPr>
          <w:cantSplit/>
        </w:trPr>
        <w:tc>
          <w:tcPr>
            <w:tcW w:type="dxa" w:w="3277"/>
          </w:tcPr>
          <w:p>
            <w:pPr>
              <w:spacing w:after="20"/>
            </w:pPr>
            <w:r>
              <w:rPr>
                <w:sz w:val="17"/>
              </w:rPr>
              <w:t>Limite adicional exclusivo da Cobertura A (DIC)</w:t>
            </w:r>
          </w:p>
        </w:tc>
        <w:tc>
          <w:tcPr>
            <w:tcW w:type="dxa" w:w="6361"/>
          </w:tcPr>
          <w:p>
            <w:pPr>
              <w:spacing w:after="20"/>
            </w:pPr>
            <w:r>
              <w:rPr>
                <w:sz w:val="17"/>
              </w:rPr>
              <w:t>Não contratado.</w:t>
            </w:r>
          </w:p>
        </w:tc>
      </w:tr>
      <w:tr>
        <w:trPr>
          <w:cantSplit/>
        </w:trPr>
        <w:tc>
          <w:tcPr>
            <w:tcW w:type="dxa" w:w="3277"/>
          </w:tcPr>
          <w:p>
            <w:pPr>
              <w:spacing w:after="20"/>
            </w:pPr>
            <w:r>
              <w:rPr>
                <w:sz w:val="17"/>
              </w:rPr>
              <w:t>Moeda</w:t>
            </w:r>
          </w:p>
        </w:tc>
        <w:tc>
          <w:tcPr>
            <w:tcW w:type="dxa" w:w="6361"/>
          </w:tcPr>
          <w:p>
            <w:pPr>
              <w:spacing w:after="20"/>
            </w:pPr>
            <w:r>
              <w:rPr>
                <w:sz w:val="17"/>
              </w:rPr>
              <w:t>Real (R$). Reclamações em moeda estrangeira serão convertidas pela taxa PTAX de venda do Banco Central do Brasil na data do pagamento.</w:t>
            </w:r>
          </w:p>
        </w:tc>
      </w:tr>
      <w:tr>
        <w:trPr>
          <w:cantSplit/>
        </w:trPr>
        <w:tc>
          <w:tcPr>
            <w:tcW w:type="dxa" w:w="3277"/>
          </w:tcPr>
          <w:p>
            <w:pPr>
              <w:spacing w:after="20"/>
            </w:pPr>
            <w:r>
              <w:rPr>
                <w:sz w:val="17"/>
              </w:rPr>
              <w:t>Prêmio líquido</w:t>
            </w:r>
          </w:p>
        </w:tc>
        <w:tc>
          <w:tcPr>
            <w:tcW w:type="dxa" w:w="6361"/>
          </w:tcPr>
          <w:p>
            <w:pPr>
              <w:spacing w:after="20"/>
            </w:pPr>
            <w:r>
              <w:rPr>
                <w:sz w:val="17"/>
              </w:rPr>
              <w:t>R$ 312.000,00</w:t>
            </w:r>
          </w:p>
        </w:tc>
      </w:tr>
      <w:tr>
        <w:trPr>
          <w:cantSplit/>
        </w:trPr>
        <w:tc>
          <w:tcPr>
            <w:tcW w:type="dxa" w:w="3277"/>
          </w:tcPr>
          <w:p>
            <w:pPr>
              <w:spacing w:after="20"/>
            </w:pPr>
            <w:r>
              <w:rPr>
                <w:sz w:val="17"/>
              </w:rPr>
              <w:t>IOF (7,38%)</w:t>
            </w:r>
          </w:p>
        </w:tc>
        <w:tc>
          <w:tcPr>
            <w:tcW w:type="dxa" w:w="6361"/>
          </w:tcPr>
          <w:p>
            <w:pPr>
              <w:spacing w:after="20"/>
            </w:pPr>
            <w:r>
              <w:rPr>
                <w:sz w:val="17"/>
              </w:rPr>
              <w:t>R$ 23.026,00</w:t>
            </w:r>
          </w:p>
        </w:tc>
      </w:tr>
      <w:tr>
        <w:trPr>
          <w:cantSplit/>
        </w:trPr>
        <w:tc>
          <w:tcPr>
            <w:tcW w:type="dxa" w:w="3277"/>
          </w:tcPr>
          <w:p>
            <w:pPr>
              <w:spacing w:after="20"/>
            </w:pPr>
            <w:r>
              <w:rPr>
                <w:sz w:val="17"/>
              </w:rPr>
              <w:t>Prêmio total</w:t>
            </w:r>
          </w:p>
        </w:tc>
        <w:tc>
          <w:tcPr>
            <w:tcW w:type="dxa" w:w="6361"/>
          </w:tcPr>
          <w:p>
            <w:pPr>
              <w:spacing w:after="20"/>
            </w:pPr>
            <w:r>
              <w:rPr>
                <w:sz w:val="17"/>
              </w:rPr>
              <w:t>R$ 335.026,00, em 6 parcelas mensais de R$ 55.837,00</w:t>
            </w:r>
          </w:p>
        </w:tc>
      </w:tr>
    </w:tbl>
    <w:p>
      <w:pPr>
        <w:spacing w:after="40"/>
      </w:pPr>
    </w:p>
    <w:p>
      <w:pPr>
        <w:keepNext/>
        <w:spacing w:before="160"/>
      </w:pPr>
      <w:r>
        <w:rPr>
          <w:b/>
          <w:color w:val="3B4A5A"/>
        </w:rPr>
        <w:t>Quadro 2 – Limite Máximo de Garantia, coberturas e sublimites</w:t>
      </w:r>
    </w:p>
    <w:tbl>
      <w:tblPr>
        <w:tblStyle w:val="TableGrid"/>
        <w:tblW w:type="auto" w:w="0"/>
        <w:tblLayout w:type="fixed"/>
        <w:tblLook w:firstColumn="1" w:firstRow="1" w:lastColumn="0" w:lastRow="0" w:noHBand="0" w:noVBand="1" w:val="04A0"/>
      </w:tblPr>
      <w:tblGrid>
        <w:gridCol w:w="2409"/>
        <w:gridCol w:w="2409"/>
        <w:gridCol w:w="2409"/>
        <w:gridCol w:w="2409"/>
      </w:tblGrid>
      <w:tr>
        <w:trPr>
          <w:tblHeader/>
        </w:trPr>
        <w:tc>
          <w:tcPr>
            <w:tcW w:type="dxa" w:w="3662"/>
            <w:shd w:val="clear" w:fill="E6EAEE"/>
          </w:tcPr>
          <w:p>
            <w:pPr>
              <w:spacing w:after="20"/>
            </w:pPr>
            <w:r>
              <w:rPr>
                <w:sz w:val="17"/>
              </w:rPr>
            </w:r>
            <w:r>
              <w:rPr>
                <w:b/>
                <w:sz w:val="17"/>
              </w:rPr>
              <w:t>Cobertura</w:t>
            </w:r>
          </w:p>
        </w:tc>
        <w:tc>
          <w:tcPr>
            <w:tcW w:type="dxa" w:w="1349"/>
            <w:shd w:val="clear" w:fill="E6EAEE"/>
          </w:tcPr>
          <w:p>
            <w:pPr>
              <w:spacing w:after="20"/>
            </w:pPr>
            <w:r>
              <w:rPr>
                <w:sz w:val="17"/>
              </w:rPr>
            </w:r>
            <w:r>
              <w:rPr>
                <w:b/>
                <w:sz w:val="17"/>
              </w:rPr>
              <w:t>Situação</w:t>
            </w:r>
          </w:p>
        </w:tc>
        <w:tc>
          <w:tcPr>
            <w:tcW w:type="dxa" w:w="2506"/>
            <w:shd w:val="clear" w:fill="E6EAEE"/>
          </w:tcPr>
          <w:p>
            <w:pPr>
              <w:spacing w:after="20"/>
            </w:pPr>
            <w:r>
              <w:rPr>
                <w:sz w:val="17"/>
              </w:rPr>
            </w:r>
            <w:r>
              <w:rPr>
                <w:b/>
                <w:sz w:val="17"/>
              </w:rPr>
              <w:t>Limite / Sublimite</w:t>
            </w:r>
          </w:p>
        </w:tc>
        <w:tc>
          <w:tcPr>
            <w:tcW w:type="dxa" w:w="2120"/>
            <w:shd w:val="clear" w:fill="E6EAEE"/>
          </w:tcPr>
          <w:p>
            <w:pPr>
              <w:spacing w:after="20"/>
            </w:pPr>
            <w:r>
              <w:rPr>
                <w:sz w:val="17"/>
              </w:rPr>
            </w:r>
            <w:r>
              <w:rPr>
                <w:b/>
                <w:sz w:val="17"/>
              </w:rPr>
              <w:t>Franquia</w:t>
            </w:r>
          </w:p>
        </w:tc>
      </w:tr>
      <w:tr>
        <w:trPr>
          <w:cantSplit/>
        </w:trPr>
        <w:tc>
          <w:tcPr>
            <w:tcW w:type="dxa" w:w="3662"/>
          </w:tcPr>
          <w:p>
            <w:pPr>
              <w:spacing w:after="20"/>
            </w:pPr>
            <w:r>
              <w:rPr>
                <w:sz w:val="17"/>
              </w:rPr>
              <w:t>Garantia A – Proteção Individual dos Administradores</w:t>
            </w:r>
          </w:p>
        </w:tc>
        <w:tc>
          <w:tcPr>
            <w:tcW w:type="dxa" w:w="1349"/>
          </w:tcPr>
          <w:p>
            <w:pPr>
              <w:spacing w:after="20"/>
            </w:pPr>
            <w:r>
              <w:rPr>
                <w:sz w:val="17"/>
              </w:rPr>
              <w:t>Contratada</w:t>
            </w:r>
          </w:p>
        </w:tc>
        <w:tc>
          <w:tcPr>
            <w:tcW w:type="dxa" w:w="2506"/>
          </w:tcPr>
          <w:p>
            <w:pPr>
              <w:spacing w:after="20"/>
            </w:pPr>
            <w:r>
              <w:rPr>
                <w:sz w:val="17"/>
              </w:rPr>
              <w:t>R$ 20.000.000,00</w:t>
            </w:r>
          </w:p>
        </w:tc>
        <w:tc>
          <w:tcPr>
            <w:tcW w:type="dxa" w:w="2120"/>
          </w:tcPr>
          <w:p>
            <w:pPr>
              <w:spacing w:after="20"/>
            </w:pPr>
            <w:r>
              <w:rPr>
                <w:sz w:val="17"/>
              </w:rPr>
              <w:t>Sem franquia</w:t>
            </w:r>
          </w:p>
        </w:tc>
      </w:tr>
      <w:tr>
        <w:trPr>
          <w:cantSplit/>
        </w:trPr>
        <w:tc>
          <w:tcPr>
            <w:tcW w:type="dxa" w:w="3662"/>
          </w:tcPr>
          <w:p>
            <w:pPr>
              <w:spacing w:after="20"/>
            </w:pPr>
            <w:r>
              <w:rPr>
                <w:sz w:val="17"/>
              </w:rPr>
              <w:t>Garantia B – Reembolso à Sociedade</w:t>
            </w:r>
          </w:p>
        </w:tc>
        <w:tc>
          <w:tcPr>
            <w:tcW w:type="dxa" w:w="1349"/>
          </w:tcPr>
          <w:p>
            <w:pPr>
              <w:spacing w:after="20"/>
            </w:pPr>
            <w:r>
              <w:rPr>
                <w:sz w:val="17"/>
              </w:rPr>
              <w:t>Contratada</w:t>
            </w:r>
          </w:p>
        </w:tc>
        <w:tc>
          <w:tcPr>
            <w:tcW w:type="dxa" w:w="2506"/>
          </w:tcPr>
          <w:p>
            <w:pPr>
              <w:spacing w:after="20"/>
            </w:pPr>
            <w:r>
              <w:rPr>
                <w:sz w:val="17"/>
              </w:rPr>
              <w:t>R$ 20.000.000,00</w:t>
            </w:r>
          </w:p>
        </w:tc>
        <w:tc>
          <w:tcPr>
            <w:tcW w:type="dxa" w:w="2120"/>
          </w:tcPr>
          <w:p>
            <w:pPr>
              <w:spacing w:after="20"/>
            </w:pPr>
            <w:r>
              <w:rPr>
                <w:sz w:val="17"/>
              </w:rPr>
              <w:t>R$ 250.000,00 por Reclamação</w:t>
            </w:r>
          </w:p>
        </w:tc>
      </w:tr>
      <w:tr>
        <w:trPr>
          <w:cantSplit/>
        </w:trPr>
        <w:tc>
          <w:tcPr>
            <w:tcW w:type="dxa" w:w="3662"/>
          </w:tcPr>
          <w:p>
            <w:pPr>
              <w:spacing w:after="20"/>
            </w:pPr>
            <w:r>
              <w:rPr>
                <w:sz w:val="17"/>
              </w:rPr>
              <w:t>Garantia C – Valores Mobiliários da Sociedade</w:t>
            </w:r>
          </w:p>
        </w:tc>
        <w:tc>
          <w:tcPr>
            <w:tcW w:type="dxa" w:w="1349"/>
          </w:tcPr>
          <w:p>
            <w:pPr>
              <w:spacing w:after="20"/>
            </w:pPr>
            <w:r>
              <w:rPr>
                <w:sz w:val="17"/>
              </w:rPr>
              <w:t>Excluída</w:t>
            </w:r>
          </w:p>
        </w:tc>
        <w:tc>
          <w:tcPr>
            <w:tcW w:type="dxa" w:w="2506"/>
          </w:tcPr>
          <w:p>
            <w:pPr>
              <w:spacing w:after="20"/>
            </w:pPr>
            <w:r>
              <w:rPr>
                <w:sz w:val="17"/>
              </w:rPr>
              <w:t>—</w:t>
            </w:r>
          </w:p>
        </w:tc>
        <w:tc>
          <w:tcPr>
            <w:tcW w:type="dxa" w:w="2120"/>
          </w:tcPr>
          <w:p>
            <w:pPr>
              <w:spacing w:after="20"/>
            </w:pPr>
            <w:r>
              <w:rPr>
                <w:sz w:val="17"/>
              </w:rPr>
              <w:t>—</w:t>
            </w:r>
          </w:p>
        </w:tc>
      </w:tr>
      <w:tr>
        <w:trPr>
          <w:cantSplit/>
        </w:trPr>
        <w:tc>
          <w:tcPr>
            <w:tcW w:type="dxa" w:w="3662"/>
          </w:tcPr>
          <w:p>
            <w:pPr>
              <w:spacing w:after="20"/>
            </w:pPr>
            <w:r>
              <w:rPr>
                <w:sz w:val="17"/>
              </w:rPr>
              <w:t>Custos de Defesa (adiantamento)</w:t>
            </w:r>
          </w:p>
        </w:tc>
        <w:tc>
          <w:tcPr>
            <w:tcW w:type="dxa" w:w="1349"/>
          </w:tcPr>
          <w:p>
            <w:pPr>
              <w:spacing w:after="20"/>
            </w:pPr>
            <w:r>
              <w:rPr>
                <w:sz w:val="17"/>
              </w:rPr>
              <w:t>Contratada</w:t>
            </w:r>
          </w:p>
        </w:tc>
        <w:tc>
          <w:tcPr>
            <w:tcW w:type="dxa" w:w="2506"/>
          </w:tcPr>
          <w:p>
            <w:pPr>
              <w:spacing w:after="20"/>
            </w:pPr>
            <w:r>
              <w:rPr>
                <w:sz w:val="17"/>
              </w:rPr>
              <w:t>Integrante do LMI</w:t>
            </w:r>
          </w:p>
        </w:tc>
        <w:tc>
          <w:tcPr>
            <w:tcW w:type="dxa" w:w="2120"/>
          </w:tcPr>
          <w:p>
            <w:pPr>
              <w:spacing w:after="20"/>
            </w:pPr>
            <w:r>
              <w:rPr>
                <w:sz w:val="17"/>
              </w:rPr>
              <w:t>Conforme Garantia B</w:t>
            </w:r>
          </w:p>
        </w:tc>
      </w:tr>
      <w:tr>
        <w:trPr>
          <w:cantSplit/>
        </w:trPr>
        <w:tc>
          <w:tcPr>
            <w:tcW w:type="dxa" w:w="3662"/>
          </w:tcPr>
          <w:p>
            <w:pPr>
              <w:spacing w:after="20"/>
            </w:pPr>
            <w:r>
              <w:rPr>
                <w:sz w:val="17"/>
              </w:rPr>
              <w:t>Custos de Defesa – Bens e Liberdade</w:t>
            </w:r>
          </w:p>
        </w:tc>
        <w:tc>
          <w:tcPr>
            <w:tcW w:type="dxa" w:w="1349"/>
          </w:tcPr>
          <w:p>
            <w:pPr>
              <w:spacing w:after="20"/>
            </w:pPr>
            <w:r>
              <w:rPr>
                <w:sz w:val="17"/>
              </w:rPr>
              <w:t>Não contratada</w:t>
            </w:r>
          </w:p>
        </w:tc>
        <w:tc>
          <w:tcPr>
            <w:tcW w:type="dxa" w:w="2506"/>
          </w:tcPr>
          <w:p>
            <w:pPr>
              <w:spacing w:after="20"/>
            </w:pPr>
            <w:r>
              <w:rPr>
                <w:sz w:val="17"/>
              </w:rPr>
              <w:t>—</w:t>
            </w:r>
          </w:p>
        </w:tc>
        <w:tc>
          <w:tcPr>
            <w:tcW w:type="dxa" w:w="2120"/>
          </w:tcPr>
          <w:p>
            <w:pPr>
              <w:spacing w:after="20"/>
            </w:pPr>
            <w:r>
              <w:rPr>
                <w:sz w:val="17"/>
              </w:rPr>
              <w:t>—</w:t>
            </w:r>
          </w:p>
        </w:tc>
      </w:tr>
      <w:tr>
        <w:trPr>
          <w:cantSplit/>
        </w:trPr>
        <w:tc>
          <w:tcPr>
            <w:tcW w:type="dxa" w:w="3662"/>
          </w:tcPr>
          <w:p>
            <w:pPr>
              <w:spacing w:after="20"/>
            </w:pPr>
            <w:r>
              <w:rPr>
                <w:sz w:val="17"/>
              </w:rPr>
              <w:t>Bloqueio e Indisponibilidade de Bens e Penhora On-line</w:t>
            </w:r>
          </w:p>
        </w:tc>
        <w:tc>
          <w:tcPr>
            <w:tcW w:type="dxa" w:w="1349"/>
          </w:tcPr>
          <w:p>
            <w:pPr>
              <w:spacing w:after="20"/>
            </w:pPr>
            <w:r>
              <w:rPr>
                <w:sz w:val="17"/>
              </w:rPr>
              <w:t>Não contratada</w:t>
            </w:r>
          </w:p>
        </w:tc>
        <w:tc>
          <w:tcPr>
            <w:tcW w:type="dxa" w:w="2506"/>
          </w:tcPr>
          <w:p>
            <w:pPr>
              <w:spacing w:after="20"/>
            </w:pPr>
            <w:r>
              <w:rPr>
                <w:sz w:val="17"/>
              </w:rPr>
              <w:t>—</w:t>
            </w:r>
          </w:p>
        </w:tc>
        <w:tc>
          <w:tcPr>
            <w:tcW w:type="dxa" w:w="2120"/>
          </w:tcPr>
          <w:p>
            <w:pPr>
              <w:spacing w:after="20"/>
            </w:pPr>
            <w:r>
              <w:rPr>
                <w:sz w:val="17"/>
              </w:rPr>
              <w:t>—</w:t>
            </w:r>
          </w:p>
        </w:tc>
      </w:tr>
      <w:tr>
        <w:trPr>
          <w:cantSplit/>
        </w:trPr>
        <w:tc>
          <w:tcPr>
            <w:tcW w:type="dxa" w:w="3662"/>
          </w:tcPr>
          <w:p>
            <w:pPr>
              <w:spacing w:after="20"/>
            </w:pPr>
            <w:r>
              <w:rPr>
                <w:sz w:val="17"/>
              </w:rPr>
              <w:t>Depósitos Recursais, Cauções e Garantias Judiciais</w:t>
            </w:r>
          </w:p>
        </w:tc>
        <w:tc>
          <w:tcPr>
            <w:tcW w:type="dxa" w:w="1349"/>
          </w:tcPr>
          <w:p>
            <w:pPr>
              <w:spacing w:after="20"/>
            </w:pPr>
            <w:r>
              <w:rPr>
                <w:sz w:val="17"/>
              </w:rPr>
              <w:t>Não contratada</w:t>
            </w:r>
          </w:p>
        </w:tc>
        <w:tc>
          <w:tcPr>
            <w:tcW w:type="dxa" w:w="2506"/>
          </w:tcPr>
          <w:p>
            <w:pPr>
              <w:spacing w:after="20"/>
            </w:pPr>
            <w:r>
              <w:rPr>
                <w:sz w:val="17"/>
              </w:rPr>
              <w:t>—</w:t>
            </w:r>
          </w:p>
        </w:tc>
        <w:tc>
          <w:tcPr>
            <w:tcW w:type="dxa" w:w="2120"/>
          </w:tcPr>
          <w:p>
            <w:pPr>
              <w:spacing w:after="20"/>
            </w:pPr>
            <w:r>
              <w:rPr>
                <w:sz w:val="17"/>
              </w:rPr>
              <w:t>—</w:t>
            </w:r>
          </w:p>
        </w:tc>
      </w:tr>
      <w:tr>
        <w:trPr>
          <w:cantSplit/>
        </w:trPr>
        <w:tc>
          <w:tcPr>
            <w:tcW w:type="dxa" w:w="3662"/>
          </w:tcPr>
          <w:p>
            <w:pPr>
              <w:spacing w:after="20"/>
            </w:pPr>
            <w:r>
              <w:rPr>
                <w:sz w:val="17"/>
              </w:rPr>
              <w:t>Custos Emergenciais de Defesa</w:t>
            </w:r>
          </w:p>
        </w:tc>
        <w:tc>
          <w:tcPr>
            <w:tcW w:type="dxa" w:w="1349"/>
          </w:tcPr>
          <w:p>
            <w:pPr>
              <w:spacing w:after="20"/>
            </w:pPr>
            <w:r>
              <w:rPr>
                <w:sz w:val="17"/>
              </w:rPr>
              <w:t>Contratada</w:t>
            </w:r>
          </w:p>
        </w:tc>
        <w:tc>
          <w:tcPr>
            <w:tcW w:type="dxa" w:w="2506"/>
          </w:tcPr>
          <w:p>
            <w:pPr>
              <w:spacing w:after="20"/>
            </w:pPr>
            <w:r>
              <w:rPr>
                <w:sz w:val="17"/>
              </w:rPr>
              <w:t>R$ 500.000,00</w:t>
            </w:r>
          </w:p>
        </w:tc>
        <w:tc>
          <w:tcPr>
            <w:tcW w:type="dxa" w:w="2120"/>
          </w:tcPr>
          <w:p>
            <w:pPr>
              <w:spacing w:after="20"/>
            </w:pPr>
            <w:r>
              <w:rPr>
                <w:sz w:val="17"/>
              </w:rPr>
              <w:t>Conforme Garantia B</w:t>
            </w:r>
          </w:p>
        </w:tc>
      </w:tr>
      <w:tr>
        <w:trPr>
          <w:cantSplit/>
        </w:trPr>
        <w:tc>
          <w:tcPr>
            <w:tcW w:type="dxa" w:w="3662"/>
          </w:tcPr>
          <w:p>
            <w:pPr>
              <w:spacing w:after="20"/>
            </w:pPr>
            <w:r>
              <w:rPr>
                <w:sz w:val="17"/>
              </w:rPr>
              <w:t>Custos de Investigação</w:t>
            </w:r>
          </w:p>
        </w:tc>
        <w:tc>
          <w:tcPr>
            <w:tcW w:type="dxa" w:w="1349"/>
          </w:tcPr>
          <w:p>
            <w:pPr>
              <w:spacing w:after="20"/>
            </w:pPr>
            <w:r>
              <w:rPr>
                <w:sz w:val="17"/>
              </w:rPr>
              <w:t>Contratada</w:t>
            </w:r>
          </w:p>
        </w:tc>
        <w:tc>
          <w:tcPr>
            <w:tcW w:type="dxa" w:w="2506"/>
          </w:tcPr>
          <w:p>
            <w:pPr>
              <w:spacing w:after="20"/>
            </w:pPr>
            <w:r>
              <w:rPr>
                <w:sz w:val="17"/>
              </w:rPr>
              <w:t>R$ 2.000.000,00</w:t>
            </w:r>
          </w:p>
        </w:tc>
        <w:tc>
          <w:tcPr>
            <w:tcW w:type="dxa" w:w="2120"/>
          </w:tcPr>
          <w:p>
            <w:pPr>
              <w:spacing w:after="20"/>
            </w:pPr>
            <w:r>
              <w:rPr>
                <w:sz w:val="17"/>
              </w:rPr>
              <w:t>Conforme Garantia B</w:t>
            </w:r>
          </w:p>
        </w:tc>
      </w:tr>
      <w:tr>
        <w:trPr>
          <w:cantSplit/>
        </w:trPr>
        <w:tc>
          <w:tcPr>
            <w:tcW w:type="dxa" w:w="3662"/>
          </w:tcPr>
          <w:p>
            <w:pPr>
              <w:spacing w:after="20"/>
            </w:pPr>
            <w:r>
              <w:rPr>
                <w:sz w:val="17"/>
              </w:rPr>
              <w:t>Salvamento e Contenção</w:t>
            </w:r>
          </w:p>
        </w:tc>
        <w:tc>
          <w:tcPr>
            <w:tcW w:type="dxa" w:w="1349"/>
          </w:tcPr>
          <w:p>
            <w:pPr>
              <w:spacing w:after="20"/>
            </w:pPr>
            <w:r>
              <w:rPr>
                <w:sz w:val="17"/>
              </w:rPr>
              <w:t>Não contratada</w:t>
            </w:r>
          </w:p>
        </w:tc>
        <w:tc>
          <w:tcPr>
            <w:tcW w:type="dxa" w:w="2506"/>
          </w:tcPr>
          <w:p>
            <w:pPr>
              <w:spacing w:after="20"/>
            </w:pPr>
            <w:r>
              <w:rPr>
                <w:sz w:val="17"/>
              </w:rPr>
              <w:t>—</w:t>
            </w:r>
          </w:p>
        </w:tc>
        <w:tc>
          <w:tcPr>
            <w:tcW w:type="dxa" w:w="2120"/>
          </w:tcPr>
          <w:p>
            <w:pPr>
              <w:spacing w:after="20"/>
            </w:pPr>
            <w:r>
              <w:rPr>
                <w:sz w:val="17"/>
              </w:rPr>
              <w:t>—</w:t>
            </w:r>
          </w:p>
        </w:tc>
      </w:tr>
      <w:tr>
        <w:trPr>
          <w:cantSplit/>
        </w:trPr>
        <w:tc>
          <w:tcPr>
            <w:tcW w:type="dxa" w:w="3662"/>
          </w:tcPr>
          <w:p>
            <w:pPr>
              <w:spacing w:after="20"/>
            </w:pPr>
            <w:r>
              <w:rPr>
                <w:sz w:val="17"/>
              </w:rPr>
              <w:t>Diretor de Entidade Externa</w:t>
            </w:r>
          </w:p>
        </w:tc>
        <w:tc>
          <w:tcPr>
            <w:tcW w:type="dxa" w:w="1349"/>
          </w:tcPr>
          <w:p>
            <w:pPr>
              <w:spacing w:after="20"/>
            </w:pPr>
            <w:r>
              <w:rPr>
                <w:sz w:val="17"/>
              </w:rPr>
              <w:t>Não contratada</w:t>
            </w:r>
          </w:p>
        </w:tc>
        <w:tc>
          <w:tcPr>
            <w:tcW w:type="dxa" w:w="2506"/>
          </w:tcPr>
          <w:p>
            <w:pPr>
              <w:spacing w:after="20"/>
            </w:pPr>
            <w:r>
              <w:rPr>
                <w:sz w:val="17"/>
              </w:rPr>
              <w:t>—</w:t>
            </w:r>
          </w:p>
        </w:tc>
        <w:tc>
          <w:tcPr>
            <w:tcW w:type="dxa" w:w="2120"/>
          </w:tcPr>
          <w:p>
            <w:pPr>
              <w:spacing w:after="20"/>
            </w:pPr>
            <w:r>
              <w:rPr>
                <w:sz w:val="17"/>
              </w:rPr>
              <w:t>—</w:t>
            </w:r>
          </w:p>
        </w:tc>
      </w:tr>
      <w:tr>
        <w:trPr>
          <w:cantSplit/>
        </w:trPr>
        <w:tc>
          <w:tcPr>
            <w:tcW w:type="dxa" w:w="3662"/>
          </w:tcPr>
          <w:p>
            <w:pPr>
              <w:spacing w:after="20"/>
            </w:pPr>
            <w:r>
              <w:rPr>
                <w:sz w:val="17"/>
              </w:rPr>
              <w:t>Extradição</w:t>
            </w:r>
          </w:p>
        </w:tc>
        <w:tc>
          <w:tcPr>
            <w:tcW w:type="dxa" w:w="1349"/>
          </w:tcPr>
          <w:p>
            <w:pPr>
              <w:spacing w:after="20"/>
            </w:pPr>
            <w:r>
              <w:rPr>
                <w:sz w:val="17"/>
              </w:rPr>
              <w:t>Não contratada</w:t>
            </w:r>
          </w:p>
        </w:tc>
        <w:tc>
          <w:tcPr>
            <w:tcW w:type="dxa" w:w="2506"/>
          </w:tcPr>
          <w:p>
            <w:pPr>
              <w:spacing w:after="20"/>
            </w:pPr>
            <w:r>
              <w:rPr>
                <w:sz w:val="17"/>
              </w:rPr>
              <w:t>—</w:t>
            </w:r>
          </w:p>
        </w:tc>
        <w:tc>
          <w:tcPr>
            <w:tcW w:type="dxa" w:w="2120"/>
          </w:tcPr>
          <w:p>
            <w:pPr>
              <w:spacing w:after="20"/>
            </w:pPr>
            <w:r>
              <w:rPr>
                <w:sz w:val="17"/>
              </w:rPr>
              <w:t>—</w:t>
            </w:r>
          </w:p>
        </w:tc>
      </w:tr>
      <w:tr>
        <w:trPr>
          <w:cantSplit/>
        </w:trPr>
        <w:tc>
          <w:tcPr>
            <w:tcW w:type="dxa" w:w="3662"/>
          </w:tcPr>
          <w:p>
            <w:pPr>
              <w:spacing w:after="20"/>
            </w:pPr>
            <w:r>
              <w:rPr>
                <w:sz w:val="17"/>
              </w:rPr>
              <w:t>Avalistas, Fiadores e Fiel Depositário</w:t>
            </w:r>
          </w:p>
        </w:tc>
        <w:tc>
          <w:tcPr>
            <w:tcW w:type="dxa" w:w="1349"/>
          </w:tcPr>
          <w:p>
            <w:pPr>
              <w:spacing w:after="20"/>
            </w:pPr>
            <w:r>
              <w:rPr>
                <w:sz w:val="17"/>
              </w:rPr>
              <w:t>Não contratada</w:t>
            </w:r>
          </w:p>
        </w:tc>
        <w:tc>
          <w:tcPr>
            <w:tcW w:type="dxa" w:w="2506"/>
          </w:tcPr>
          <w:p>
            <w:pPr>
              <w:spacing w:after="20"/>
            </w:pPr>
            <w:r>
              <w:rPr>
                <w:sz w:val="17"/>
              </w:rPr>
              <w:t>—</w:t>
            </w:r>
          </w:p>
        </w:tc>
        <w:tc>
          <w:tcPr>
            <w:tcW w:type="dxa" w:w="2120"/>
          </w:tcPr>
          <w:p>
            <w:pPr>
              <w:spacing w:after="20"/>
            </w:pPr>
            <w:r>
              <w:rPr>
                <w:sz w:val="17"/>
              </w:rPr>
              <w:t>—</w:t>
            </w:r>
          </w:p>
        </w:tc>
      </w:tr>
      <w:tr>
        <w:trPr>
          <w:cantSplit/>
        </w:trPr>
        <w:tc>
          <w:tcPr>
            <w:tcW w:type="dxa" w:w="3662"/>
          </w:tcPr>
          <w:p>
            <w:pPr>
              <w:spacing w:after="20"/>
            </w:pPr>
            <w:r>
              <w:rPr>
                <w:sz w:val="17"/>
              </w:rPr>
              <w:t>Inabilitação de Segurado</w:t>
            </w:r>
          </w:p>
        </w:tc>
        <w:tc>
          <w:tcPr>
            <w:tcW w:type="dxa" w:w="1349"/>
          </w:tcPr>
          <w:p>
            <w:pPr>
              <w:spacing w:after="20"/>
            </w:pPr>
            <w:r>
              <w:rPr>
                <w:sz w:val="17"/>
              </w:rPr>
              <w:t>Não contratada</w:t>
            </w:r>
          </w:p>
        </w:tc>
        <w:tc>
          <w:tcPr>
            <w:tcW w:type="dxa" w:w="2506"/>
          </w:tcPr>
          <w:p>
            <w:pPr>
              <w:spacing w:after="20"/>
            </w:pPr>
            <w:r>
              <w:rPr>
                <w:sz w:val="17"/>
              </w:rPr>
              <w:t>—</w:t>
            </w:r>
          </w:p>
        </w:tc>
        <w:tc>
          <w:tcPr>
            <w:tcW w:type="dxa" w:w="2120"/>
          </w:tcPr>
          <w:p>
            <w:pPr>
              <w:spacing w:after="20"/>
            </w:pPr>
            <w:r>
              <w:rPr>
                <w:sz w:val="17"/>
              </w:rPr>
              <w:t>—</w:t>
            </w:r>
          </w:p>
        </w:tc>
      </w:tr>
      <w:tr>
        <w:trPr>
          <w:cantSplit/>
        </w:trPr>
        <w:tc>
          <w:tcPr>
            <w:tcW w:type="dxa" w:w="3662"/>
          </w:tcPr>
          <w:p>
            <w:pPr>
              <w:spacing w:after="20"/>
            </w:pPr>
            <w:r>
              <w:rPr>
                <w:sz w:val="17"/>
              </w:rPr>
              <w:t>Multas e Penalidades</w:t>
            </w:r>
          </w:p>
        </w:tc>
        <w:tc>
          <w:tcPr>
            <w:tcW w:type="dxa" w:w="1349"/>
          </w:tcPr>
          <w:p>
            <w:pPr>
              <w:spacing w:after="20"/>
            </w:pPr>
            <w:r>
              <w:rPr>
                <w:sz w:val="17"/>
              </w:rPr>
              <w:t>Excluída</w:t>
            </w:r>
          </w:p>
        </w:tc>
        <w:tc>
          <w:tcPr>
            <w:tcW w:type="dxa" w:w="2506"/>
          </w:tcPr>
          <w:p>
            <w:pPr>
              <w:spacing w:after="20"/>
            </w:pPr>
            <w:r>
              <w:rPr>
                <w:sz w:val="17"/>
              </w:rPr>
              <w:t>—</w:t>
            </w:r>
          </w:p>
        </w:tc>
        <w:tc>
          <w:tcPr>
            <w:tcW w:type="dxa" w:w="2120"/>
          </w:tcPr>
          <w:p>
            <w:pPr>
              <w:spacing w:after="20"/>
            </w:pPr>
            <w:r>
              <w:rPr>
                <w:sz w:val="17"/>
              </w:rPr>
              <w:t>—</w:t>
            </w:r>
          </w:p>
        </w:tc>
      </w:tr>
      <w:tr>
        <w:trPr>
          <w:cantSplit/>
        </w:trPr>
        <w:tc>
          <w:tcPr>
            <w:tcW w:type="dxa" w:w="3662"/>
          </w:tcPr>
          <w:p>
            <w:pPr>
              <w:spacing w:after="20"/>
            </w:pPr>
            <w:r>
              <w:rPr>
                <w:sz w:val="17"/>
              </w:rPr>
              <w:t>Novas Subsidiárias</w:t>
            </w:r>
          </w:p>
        </w:tc>
        <w:tc>
          <w:tcPr>
            <w:tcW w:type="dxa" w:w="1349"/>
          </w:tcPr>
          <w:p>
            <w:pPr>
              <w:spacing w:after="20"/>
            </w:pPr>
            <w:r>
              <w:rPr>
                <w:sz w:val="17"/>
              </w:rPr>
              <w:t>Contratada</w:t>
            </w:r>
          </w:p>
        </w:tc>
        <w:tc>
          <w:tcPr>
            <w:tcW w:type="dxa" w:w="2506"/>
          </w:tcPr>
          <w:p>
            <w:pPr>
              <w:spacing w:after="20"/>
            </w:pPr>
            <w:r>
              <w:rPr>
                <w:sz w:val="17"/>
              </w:rPr>
              <w:t>Até o LMI</w:t>
            </w:r>
          </w:p>
        </w:tc>
        <w:tc>
          <w:tcPr>
            <w:tcW w:type="dxa" w:w="2120"/>
          </w:tcPr>
          <w:p>
            <w:pPr>
              <w:spacing w:after="20"/>
            </w:pPr>
            <w:r>
              <w:rPr>
                <w:sz w:val="17"/>
              </w:rPr>
              <w:t>Conforme Garantia B</w:t>
            </w:r>
          </w:p>
        </w:tc>
      </w:tr>
      <w:tr>
        <w:trPr>
          <w:cantSplit/>
        </w:trPr>
        <w:tc>
          <w:tcPr>
            <w:tcW w:type="dxa" w:w="3662"/>
          </w:tcPr>
          <w:p>
            <w:pPr>
              <w:spacing w:after="20"/>
            </w:pPr>
            <w:r>
              <w:rPr>
                <w:sz w:val="17"/>
              </w:rPr>
              <w:t>Práticas Trabalhistas Indevidas</w:t>
            </w:r>
          </w:p>
        </w:tc>
        <w:tc>
          <w:tcPr>
            <w:tcW w:type="dxa" w:w="1349"/>
          </w:tcPr>
          <w:p>
            <w:pPr>
              <w:spacing w:after="20"/>
            </w:pPr>
            <w:r>
              <w:rPr>
                <w:sz w:val="17"/>
              </w:rPr>
              <w:t>Contratada</w:t>
            </w:r>
          </w:p>
        </w:tc>
        <w:tc>
          <w:tcPr>
            <w:tcW w:type="dxa" w:w="2506"/>
          </w:tcPr>
          <w:p>
            <w:pPr>
              <w:spacing w:after="20"/>
            </w:pPr>
            <w:r>
              <w:rPr>
                <w:sz w:val="17"/>
              </w:rPr>
              <w:t>R$ 1.000.000,00 (somente Custos de Defesa)</w:t>
            </w:r>
          </w:p>
        </w:tc>
        <w:tc>
          <w:tcPr>
            <w:tcW w:type="dxa" w:w="2120"/>
          </w:tcPr>
          <w:p>
            <w:pPr>
              <w:spacing w:after="20"/>
            </w:pPr>
            <w:r>
              <w:rPr>
                <w:sz w:val="17"/>
              </w:rPr>
              <w:t>Conforme Garantia B</w:t>
            </w:r>
          </w:p>
        </w:tc>
      </w:tr>
      <w:tr>
        <w:trPr>
          <w:cantSplit/>
        </w:trPr>
        <w:tc>
          <w:tcPr>
            <w:tcW w:type="dxa" w:w="3662"/>
          </w:tcPr>
          <w:p>
            <w:pPr>
              <w:spacing w:after="20"/>
            </w:pPr>
            <w:r>
              <w:rPr>
                <w:sz w:val="17"/>
              </w:rPr>
              <w:t>Proteção da Imagem Pessoal e Relações Públicas</w:t>
            </w:r>
          </w:p>
        </w:tc>
        <w:tc>
          <w:tcPr>
            <w:tcW w:type="dxa" w:w="1349"/>
          </w:tcPr>
          <w:p>
            <w:pPr>
              <w:spacing w:after="20"/>
            </w:pPr>
            <w:r>
              <w:rPr>
                <w:sz w:val="17"/>
              </w:rPr>
              <w:t>Não contratada</w:t>
            </w:r>
          </w:p>
        </w:tc>
        <w:tc>
          <w:tcPr>
            <w:tcW w:type="dxa" w:w="2506"/>
          </w:tcPr>
          <w:p>
            <w:pPr>
              <w:spacing w:after="20"/>
            </w:pPr>
            <w:r>
              <w:rPr>
                <w:sz w:val="17"/>
              </w:rPr>
              <w:t>—</w:t>
            </w:r>
          </w:p>
        </w:tc>
        <w:tc>
          <w:tcPr>
            <w:tcW w:type="dxa" w:w="2120"/>
          </w:tcPr>
          <w:p>
            <w:pPr>
              <w:spacing w:after="20"/>
            </w:pPr>
            <w:r>
              <w:rPr>
                <w:sz w:val="17"/>
              </w:rPr>
              <w:t>—</w:t>
            </w:r>
          </w:p>
        </w:tc>
      </w:tr>
      <w:tr>
        <w:trPr>
          <w:cantSplit/>
        </w:trPr>
        <w:tc>
          <w:tcPr>
            <w:tcW w:type="dxa" w:w="3662"/>
          </w:tcPr>
          <w:p>
            <w:pPr>
              <w:spacing w:after="20"/>
            </w:pPr>
            <w:r>
              <w:rPr>
                <w:sz w:val="17"/>
              </w:rPr>
              <w:t>Responsabilidade Tributária e Previdenciária</w:t>
            </w:r>
          </w:p>
        </w:tc>
        <w:tc>
          <w:tcPr>
            <w:tcW w:type="dxa" w:w="1349"/>
          </w:tcPr>
          <w:p>
            <w:pPr>
              <w:spacing w:after="20"/>
            </w:pPr>
            <w:r>
              <w:rPr>
                <w:sz w:val="17"/>
              </w:rPr>
              <w:t>Contratada</w:t>
            </w:r>
          </w:p>
        </w:tc>
        <w:tc>
          <w:tcPr>
            <w:tcW w:type="dxa" w:w="2506"/>
          </w:tcPr>
          <w:p>
            <w:pPr>
              <w:spacing w:after="20"/>
            </w:pPr>
            <w:r>
              <w:rPr>
                <w:sz w:val="17"/>
              </w:rPr>
              <w:t>R$ 1.000.000,00 (somente Custos de Defesa)</w:t>
            </w:r>
          </w:p>
        </w:tc>
        <w:tc>
          <w:tcPr>
            <w:tcW w:type="dxa" w:w="2120"/>
          </w:tcPr>
          <w:p>
            <w:pPr>
              <w:spacing w:after="20"/>
            </w:pPr>
            <w:r>
              <w:rPr>
                <w:sz w:val="17"/>
              </w:rPr>
              <w:t>Conforme Garantia B</w:t>
            </w:r>
          </w:p>
        </w:tc>
      </w:tr>
      <w:tr>
        <w:trPr>
          <w:cantSplit/>
        </w:trPr>
        <w:tc>
          <w:tcPr>
            <w:tcW w:type="dxa" w:w="3662"/>
          </w:tcPr>
          <w:p>
            <w:pPr>
              <w:spacing w:after="20"/>
            </w:pPr>
            <w:r>
              <w:rPr>
                <w:sz w:val="17"/>
              </w:rPr>
              <w:t>Advogados Internos</w:t>
            </w:r>
          </w:p>
        </w:tc>
        <w:tc>
          <w:tcPr>
            <w:tcW w:type="dxa" w:w="1349"/>
          </w:tcPr>
          <w:p>
            <w:pPr>
              <w:spacing w:after="20"/>
            </w:pPr>
            <w:r>
              <w:rPr>
                <w:sz w:val="17"/>
              </w:rPr>
              <w:t>Não contratada</w:t>
            </w:r>
          </w:p>
        </w:tc>
        <w:tc>
          <w:tcPr>
            <w:tcW w:type="dxa" w:w="2506"/>
          </w:tcPr>
          <w:p>
            <w:pPr>
              <w:spacing w:after="20"/>
            </w:pPr>
            <w:r>
              <w:rPr>
                <w:sz w:val="17"/>
              </w:rPr>
              <w:t>—</w:t>
            </w:r>
          </w:p>
        </w:tc>
        <w:tc>
          <w:tcPr>
            <w:tcW w:type="dxa" w:w="2120"/>
          </w:tcPr>
          <w:p>
            <w:pPr>
              <w:spacing w:after="20"/>
            </w:pPr>
            <w:r>
              <w:rPr>
                <w:sz w:val="17"/>
              </w:rPr>
              <w:t>—</w:t>
            </w:r>
          </w:p>
        </w:tc>
      </w:tr>
      <w:tr>
        <w:trPr>
          <w:cantSplit/>
        </w:trPr>
        <w:tc>
          <w:tcPr>
            <w:tcW w:type="dxa" w:w="3662"/>
          </w:tcPr>
          <w:p>
            <w:pPr>
              <w:spacing w:after="20"/>
            </w:pPr>
            <w:r>
              <w:rPr>
                <w:sz w:val="17"/>
              </w:rPr>
              <w:t>Contadores, Gerentes de Riscos e Auditores Internos</w:t>
            </w:r>
          </w:p>
        </w:tc>
        <w:tc>
          <w:tcPr>
            <w:tcW w:type="dxa" w:w="1349"/>
          </w:tcPr>
          <w:p>
            <w:pPr>
              <w:spacing w:after="20"/>
            </w:pPr>
            <w:r>
              <w:rPr>
                <w:sz w:val="17"/>
              </w:rPr>
              <w:t>Não contratada</w:t>
            </w:r>
          </w:p>
        </w:tc>
        <w:tc>
          <w:tcPr>
            <w:tcW w:type="dxa" w:w="2506"/>
          </w:tcPr>
          <w:p>
            <w:pPr>
              <w:spacing w:after="20"/>
            </w:pPr>
            <w:r>
              <w:rPr>
                <w:sz w:val="17"/>
              </w:rPr>
              <w:t>—</w:t>
            </w:r>
          </w:p>
        </w:tc>
        <w:tc>
          <w:tcPr>
            <w:tcW w:type="dxa" w:w="2120"/>
          </w:tcPr>
          <w:p>
            <w:pPr>
              <w:spacing w:after="20"/>
            </w:pPr>
            <w:r>
              <w:rPr>
                <w:sz w:val="17"/>
              </w:rPr>
              <w:t>—</w:t>
            </w:r>
          </w:p>
        </w:tc>
      </w:tr>
      <w:tr>
        <w:trPr>
          <w:cantSplit/>
        </w:trPr>
        <w:tc>
          <w:tcPr>
            <w:tcW w:type="dxa" w:w="3662"/>
          </w:tcPr>
          <w:p>
            <w:pPr>
              <w:spacing w:after="20"/>
            </w:pPr>
            <w:r>
              <w:rPr>
                <w:sz w:val="17"/>
              </w:rPr>
              <w:t>Danos Corporais</w:t>
            </w:r>
          </w:p>
        </w:tc>
        <w:tc>
          <w:tcPr>
            <w:tcW w:type="dxa" w:w="1349"/>
          </w:tcPr>
          <w:p>
            <w:pPr>
              <w:spacing w:after="20"/>
            </w:pPr>
            <w:r>
              <w:rPr>
                <w:sz w:val="17"/>
              </w:rPr>
              <w:t>Excluída</w:t>
            </w:r>
          </w:p>
        </w:tc>
        <w:tc>
          <w:tcPr>
            <w:tcW w:type="dxa" w:w="2506"/>
          </w:tcPr>
          <w:p>
            <w:pPr>
              <w:spacing w:after="20"/>
            </w:pPr>
            <w:r>
              <w:rPr>
                <w:sz w:val="17"/>
              </w:rPr>
              <w:t>—</w:t>
            </w:r>
          </w:p>
        </w:tc>
        <w:tc>
          <w:tcPr>
            <w:tcW w:type="dxa" w:w="2120"/>
          </w:tcPr>
          <w:p>
            <w:pPr>
              <w:spacing w:after="20"/>
            </w:pPr>
            <w:r>
              <w:rPr>
                <w:sz w:val="17"/>
              </w:rPr>
              <w:t>—</w:t>
            </w:r>
          </w:p>
        </w:tc>
      </w:tr>
      <w:tr>
        <w:trPr>
          <w:cantSplit/>
        </w:trPr>
        <w:tc>
          <w:tcPr>
            <w:tcW w:type="dxa" w:w="3662"/>
          </w:tcPr>
          <w:p>
            <w:pPr>
              <w:spacing w:after="20"/>
            </w:pPr>
            <w:r>
              <w:rPr>
                <w:sz w:val="17"/>
              </w:rPr>
              <w:t>Danos Materiais</w:t>
            </w:r>
          </w:p>
        </w:tc>
        <w:tc>
          <w:tcPr>
            <w:tcW w:type="dxa" w:w="1349"/>
          </w:tcPr>
          <w:p>
            <w:pPr>
              <w:spacing w:after="20"/>
            </w:pPr>
            <w:r>
              <w:rPr>
                <w:sz w:val="17"/>
              </w:rPr>
              <w:t>Excluída</w:t>
            </w:r>
          </w:p>
        </w:tc>
        <w:tc>
          <w:tcPr>
            <w:tcW w:type="dxa" w:w="2506"/>
          </w:tcPr>
          <w:p>
            <w:pPr>
              <w:spacing w:after="20"/>
            </w:pPr>
            <w:r>
              <w:rPr>
                <w:sz w:val="17"/>
              </w:rPr>
              <w:t>—</w:t>
            </w:r>
          </w:p>
        </w:tc>
        <w:tc>
          <w:tcPr>
            <w:tcW w:type="dxa" w:w="2120"/>
          </w:tcPr>
          <w:p>
            <w:pPr>
              <w:spacing w:after="20"/>
            </w:pPr>
            <w:r>
              <w:rPr>
                <w:sz w:val="17"/>
              </w:rPr>
              <w:t>—</w:t>
            </w:r>
          </w:p>
        </w:tc>
      </w:tr>
      <w:tr>
        <w:trPr>
          <w:cantSplit/>
        </w:trPr>
        <w:tc>
          <w:tcPr>
            <w:tcW w:type="dxa" w:w="3662"/>
          </w:tcPr>
          <w:p>
            <w:pPr>
              <w:spacing w:after="20"/>
            </w:pPr>
            <w:r>
              <w:rPr>
                <w:sz w:val="17"/>
              </w:rPr>
              <w:t>Danos Morais</w:t>
            </w:r>
          </w:p>
        </w:tc>
        <w:tc>
          <w:tcPr>
            <w:tcW w:type="dxa" w:w="1349"/>
          </w:tcPr>
          <w:p>
            <w:pPr>
              <w:spacing w:after="20"/>
            </w:pPr>
            <w:r>
              <w:rPr>
                <w:sz w:val="17"/>
              </w:rPr>
              <w:t>Contratada</w:t>
            </w:r>
          </w:p>
        </w:tc>
        <w:tc>
          <w:tcPr>
            <w:tcW w:type="dxa" w:w="2506"/>
          </w:tcPr>
          <w:p>
            <w:pPr>
              <w:spacing w:after="20"/>
            </w:pPr>
            <w:r>
              <w:rPr>
                <w:sz w:val="17"/>
              </w:rPr>
              <w:t>R$ 2.000.000,00</w:t>
            </w:r>
          </w:p>
        </w:tc>
        <w:tc>
          <w:tcPr>
            <w:tcW w:type="dxa" w:w="2120"/>
          </w:tcPr>
          <w:p>
            <w:pPr>
              <w:spacing w:after="20"/>
            </w:pPr>
            <w:r>
              <w:rPr>
                <w:sz w:val="17"/>
              </w:rPr>
              <w:t>Conforme Garantia B</w:t>
            </w:r>
          </w:p>
        </w:tc>
      </w:tr>
      <w:tr>
        <w:trPr>
          <w:cantSplit/>
        </w:trPr>
        <w:tc>
          <w:tcPr>
            <w:tcW w:type="dxa" w:w="3662"/>
          </w:tcPr>
          <w:p>
            <w:pPr>
              <w:spacing w:after="20"/>
            </w:pPr>
            <w:r>
              <w:rPr>
                <w:sz w:val="17"/>
              </w:rPr>
              <w:t>Erros e Omissões – Prestação de Serviços Profissionais</w:t>
            </w:r>
          </w:p>
        </w:tc>
        <w:tc>
          <w:tcPr>
            <w:tcW w:type="dxa" w:w="1349"/>
          </w:tcPr>
          <w:p>
            <w:pPr>
              <w:spacing w:after="20"/>
            </w:pPr>
            <w:r>
              <w:rPr>
                <w:sz w:val="17"/>
              </w:rPr>
              <w:t>Excluída</w:t>
            </w:r>
          </w:p>
        </w:tc>
        <w:tc>
          <w:tcPr>
            <w:tcW w:type="dxa" w:w="2506"/>
          </w:tcPr>
          <w:p>
            <w:pPr>
              <w:spacing w:after="20"/>
            </w:pPr>
            <w:r>
              <w:rPr>
                <w:sz w:val="17"/>
              </w:rPr>
              <w:t>—</w:t>
            </w:r>
          </w:p>
        </w:tc>
        <w:tc>
          <w:tcPr>
            <w:tcW w:type="dxa" w:w="2120"/>
          </w:tcPr>
          <w:p>
            <w:pPr>
              <w:spacing w:after="20"/>
            </w:pPr>
            <w:r>
              <w:rPr>
                <w:sz w:val="17"/>
              </w:rPr>
              <w:t>—</w:t>
            </w:r>
          </w:p>
        </w:tc>
      </w:tr>
      <w:tr>
        <w:trPr>
          <w:cantSplit/>
        </w:trPr>
        <w:tc>
          <w:tcPr>
            <w:tcW w:type="dxa" w:w="3662"/>
          </w:tcPr>
          <w:p>
            <w:pPr>
              <w:spacing w:after="20"/>
            </w:pPr>
            <w:r>
              <w:rPr>
                <w:sz w:val="17"/>
              </w:rPr>
              <w:t>Eventos Extraordinários com Reguladores</w:t>
            </w:r>
          </w:p>
        </w:tc>
        <w:tc>
          <w:tcPr>
            <w:tcW w:type="dxa" w:w="1349"/>
          </w:tcPr>
          <w:p>
            <w:pPr>
              <w:spacing w:after="20"/>
            </w:pPr>
            <w:r>
              <w:rPr>
                <w:sz w:val="17"/>
              </w:rPr>
              <w:t>Não contratada</w:t>
            </w:r>
          </w:p>
        </w:tc>
        <w:tc>
          <w:tcPr>
            <w:tcW w:type="dxa" w:w="2506"/>
          </w:tcPr>
          <w:p>
            <w:pPr>
              <w:spacing w:after="20"/>
            </w:pPr>
            <w:r>
              <w:rPr>
                <w:sz w:val="17"/>
              </w:rPr>
              <w:t>—</w:t>
            </w:r>
          </w:p>
        </w:tc>
        <w:tc>
          <w:tcPr>
            <w:tcW w:type="dxa" w:w="2120"/>
          </w:tcPr>
          <w:p>
            <w:pPr>
              <w:spacing w:after="20"/>
            </w:pPr>
            <w:r>
              <w:rPr>
                <w:sz w:val="17"/>
              </w:rPr>
              <w:t>—</w:t>
            </w:r>
          </w:p>
        </w:tc>
      </w:tr>
      <w:tr>
        <w:trPr>
          <w:cantSplit/>
        </w:trPr>
        <w:tc>
          <w:tcPr>
            <w:tcW w:type="dxa" w:w="3662"/>
          </w:tcPr>
          <w:p>
            <w:pPr>
              <w:spacing w:after="20"/>
            </w:pPr>
            <w:r>
              <w:rPr>
                <w:sz w:val="17"/>
              </w:rPr>
              <w:t>Gerenciamento de Crise</w:t>
            </w:r>
          </w:p>
        </w:tc>
        <w:tc>
          <w:tcPr>
            <w:tcW w:type="dxa" w:w="1349"/>
          </w:tcPr>
          <w:p>
            <w:pPr>
              <w:spacing w:after="20"/>
            </w:pPr>
            <w:r>
              <w:rPr>
                <w:sz w:val="17"/>
              </w:rPr>
              <w:t>Não contratada</w:t>
            </w:r>
          </w:p>
        </w:tc>
        <w:tc>
          <w:tcPr>
            <w:tcW w:type="dxa" w:w="2506"/>
          </w:tcPr>
          <w:p>
            <w:pPr>
              <w:spacing w:after="20"/>
            </w:pPr>
            <w:r>
              <w:rPr>
                <w:sz w:val="17"/>
              </w:rPr>
              <w:t>—</w:t>
            </w:r>
          </w:p>
        </w:tc>
        <w:tc>
          <w:tcPr>
            <w:tcW w:type="dxa" w:w="2120"/>
          </w:tcPr>
          <w:p>
            <w:pPr>
              <w:spacing w:after="20"/>
            </w:pPr>
            <w:r>
              <w:rPr>
                <w:sz w:val="17"/>
              </w:rPr>
              <w:t>—</w:t>
            </w:r>
          </w:p>
        </w:tc>
      </w:tr>
      <w:tr>
        <w:trPr>
          <w:cantSplit/>
        </w:trPr>
        <w:tc>
          <w:tcPr>
            <w:tcW w:type="dxa" w:w="3662"/>
          </w:tcPr>
          <w:p>
            <w:pPr>
              <w:spacing w:after="20"/>
            </w:pPr>
            <w:r>
              <w:rPr>
                <w:sz w:val="17"/>
              </w:rPr>
              <w:t>Herdeiros, Sucessores, Espólio, Cônjuge e Companheiro</w:t>
            </w:r>
          </w:p>
        </w:tc>
        <w:tc>
          <w:tcPr>
            <w:tcW w:type="dxa" w:w="1349"/>
          </w:tcPr>
          <w:p>
            <w:pPr>
              <w:spacing w:after="20"/>
            </w:pPr>
            <w:r>
              <w:rPr>
                <w:sz w:val="17"/>
              </w:rPr>
              <w:t>Contratada</w:t>
            </w:r>
          </w:p>
        </w:tc>
        <w:tc>
          <w:tcPr>
            <w:tcW w:type="dxa" w:w="2506"/>
          </w:tcPr>
          <w:p>
            <w:pPr>
              <w:spacing w:after="20"/>
            </w:pPr>
            <w:r>
              <w:rPr>
                <w:sz w:val="17"/>
              </w:rPr>
              <w:t>Até o LMI</w:t>
            </w:r>
          </w:p>
        </w:tc>
        <w:tc>
          <w:tcPr>
            <w:tcW w:type="dxa" w:w="2120"/>
          </w:tcPr>
          <w:p>
            <w:pPr>
              <w:spacing w:after="20"/>
            </w:pPr>
            <w:r>
              <w:rPr>
                <w:sz w:val="17"/>
              </w:rPr>
              <w:t>Conforme Garantia B</w:t>
            </w:r>
          </w:p>
        </w:tc>
      </w:tr>
      <w:tr>
        <w:trPr>
          <w:cantSplit/>
        </w:trPr>
        <w:tc>
          <w:tcPr>
            <w:tcW w:type="dxa" w:w="3662"/>
          </w:tcPr>
          <w:p>
            <w:pPr>
              <w:spacing w:after="20"/>
            </w:pPr>
            <w:r>
              <w:rPr>
                <w:sz w:val="17"/>
              </w:rPr>
              <w:t>Responsabilidade Solidária sobre Bens</w:t>
            </w:r>
          </w:p>
        </w:tc>
        <w:tc>
          <w:tcPr>
            <w:tcW w:type="dxa" w:w="1349"/>
          </w:tcPr>
          <w:p>
            <w:pPr>
              <w:spacing w:after="20"/>
            </w:pPr>
            <w:r>
              <w:rPr>
                <w:sz w:val="17"/>
              </w:rPr>
              <w:t>Não contratada</w:t>
            </w:r>
          </w:p>
        </w:tc>
        <w:tc>
          <w:tcPr>
            <w:tcW w:type="dxa" w:w="2506"/>
          </w:tcPr>
          <w:p>
            <w:pPr>
              <w:spacing w:after="20"/>
            </w:pPr>
            <w:r>
              <w:rPr>
                <w:sz w:val="17"/>
              </w:rPr>
              <w:t>—</w:t>
            </w:r>
          </w:p>
        </w:tc>
        <w:tc>
          <w:tcPr>
            <w:tcW w:type="dxa" w:w="2120"/>
          </w:tcPr>
          <w:p>
            <w:pPr>
              <w:spacing w:after="20"/>
            </w:pPr>
            <w:r>
              <w:rPr>
                <w:sz w:val="17"/>
              </w:rPr>
              <w:t>—</w:t>
            </w:r>
          </w:p>
        </w:tc>
      </w:tr>
      <w:tr>
        <w:trPr>
          <w:cantSplit/>
        </w:trPr>
        <w:tc>
          <w:tcPr>
            <w:tcW w:type="dxa" w:w="3662"/>
          </w:tcPr>
          <w:p>
            <w:pPr>
              <w:spacing w:after="20"/>
            </w:pPr>
            <w:r>
              <w:rPr>
                <w:sz w:val="17"/>
              </w:rPr>
              <w:t>Responsabilidade Civil Ambiental</w:t>
            </w:r>
          </w:p>
        </w:tc>
        <w:tc>
          <w:tcPr>
            <w:tcW w:type="dxa" w:w="1349"/>
          </w:tcPr>
          <w:p>
            <w:pPr>
              <w:spacing w:after="20"/>
            </w:pPr>
            <w:r>
              <w:rPr>
                <w:sz w:val="17"/>
              </w:rPr>
              <w:t>Excluída</w:t>
            </w:r>
          </w:p>
        </w:tc>
        <w:tc>
          <w:tcPr>
            <w:tcW w:type="dxa" w:w="2506"/>
          </w:tcPr>
          <w:p>
            <w:pPr>
              <w:spacing w:after="20"/>
            </w:pPr>
            <w:r>
              <w:rPr>
                <w:sz w:val="17"/>
              </w:rPr>
              <w:t>—</w:t>
            </w:r>
          </w:p>
        </w:tc>
        <w:tc>
          <w:tcPr>
            <w:tcW w:type="dxa" w:w="2120"/>
          </w:tcPr>
          <w:p>
            <w:pPr>
              <w:spacing w:after="20"/>
            </w:pPr>
            <w:r>
              <w:rPr>
                <w:sz w:val="17"/>
              </w:rPr>
              <w:t>—</w:t>
            </w:r>
          </w:p>
        </w:tc>
      </w:tr>
      <w:tr>
        <w:trPr>
          <w:cantSplit/>
        </w:trPr>
        <w:tc>
          <w:tcPr>
            <w:tcW w:type="dxa" w:w="3662"/>
          </w:tcPr>
          <w:p>
            <w:pPr>
              <w:spacing w:after="20"/>
            </w:pPr>
            <w:r>
              <w:rPr>
                <w:sz w:val="17"/>
              </w:rPr>
              <w:t>Reclamações da Sociedade, Acionistas ou Sócios contra o Segurado</w:t>
            </w:r>
          </w:p>
        </w:tc>
        <w:tc>
          <w:tcPr>
            <w:tcW w:type="dxa" w:w="1349"/>
          </w:tcPr>
          <w:p>
            <w:pPr>
              <w:spacing w:after="20"/>
            </w:pPr>
            <w:r>
              <w:rPr>
                <w:sz w:val="17"/>
              </w:rPr>
              <w:t>Não contratada</w:t>
            </w:r>
          </w:p>
        </w:tc>
        <w:tc>
          <w:tcPr>
            <w:tcW w:type="dxa" w:w="2506"/>
          </w:tcPr>
          <w:p>
            <w:pPr>
              <w:spacing w:after="20"/>
            </w:pPr>
            <w:r>
              <w:rPr>
                <w:sz w:val="17"/>
              </w:rPr>
              <w:t>—</w:t>
            </w:r>
          </w:p>
        </w:tc>
        <w:tc>
          <w:tcPr>
            <w:tcW w:type="dxa" w:w="2120"/>
          </w:tcPr>
          <w:p>
            <w:pPr>
              <w:spacing w:after="20"/>
            </w:pPr>
            <w:r>
              <w:rPr>
                <w:sz w:val="17"/>
              </w:rPr>
              <w:t>—</w:t>
            </w:r>
          </w:p>
        </w:tc>
      </w:tr>
      <w:tr>
        <w:trPr>
          <w:cantSplit/>
        </w:trPr>
        <w:tc>
          <w:tcPr>
            <w:tcW w:type="dxa" w:w="3662"/>
          </w:tcPr>
          <w:p>
            <w:pPr>
              <w:spacing w:after="20"/>
            </w:pPr>
            <w:r>
              <w:rPr>
                <w:sz w:val="17"/>
              </w:rPr>
              <w:t>Reclamações entre Segurados</w:t>
            </w:r>
          </w:p>
        </w:tc>
        <w:tc>
          <w:tcPr>
            <w:tcW w:type="dxa" w:w="1349"/>
          </w:tcPr>
          <w:p>
            <w:pPr>
              <w:spacing w:after="20"/>
            </w:pPr>
            <w:r>
              <w:rPr>
                <w:sz w:val="17"/>
              </w:rPr>
              <w:t>Excluída</w:t>
            </w:r>
          </w:p>
        </w:tc>
        <w:tc>
          <w:tcPr>
            <w:tcW w:type="dxa" w:w="2506"/>
          </w:tcPr>
          <w:p>
            <w:pPr>
              <w:spacing w:after="20"/>
            </w:pPr>
            <w:r>
              <w:rPr>
                <w:sz w:val="17"/>
              </w:rPr>
              <w:t>—</w:t>
            </w:r>
          </w:p>
        </w:tc>
        <w:tc>
          <w:tcPr>
            <w:tcW w:type="dxa" w:w="2120"/>
          </w:tcPr>
          <w:p>
            <w:pPr>
              <w:spacing w:after="20"/>
            </w:pPr>
            <w:r>
              <w:rPr>
                <w:sz w:val="17"/>
              </w:rPr>
              <w:t>—</w:t>
            </w:r>
          </w:p>
        </w:tc>
      </w:tr>
      <w:tr>
        <w:trPr>
          <w:cantSplit/>
        </w:trPr>
        <w:tc>
          <w:tcPr>
            <w:tcW w:type="dxa" w:w="3662"/>
          </w:tcPr>
          <w:p>
            <w:pPr>
              <w:spacing w:after="20"/>
            </w:pPr>
            <w:r>
              <w:rPr>
                <w:sz w:val="17"/>
              </w:rPr>
              <w:t>TAC, Termos de Compromisso e Acordos com Autoridades</w:t>
            </w:r>
          </w:p>
        </w:tc>
        <w:tc>
          <w:tcPr>
            <w:tcW w:type="dxa" w:w="1349"/>
          </w:tcPr>
          <w:p>
            <w:pPr>
              <w:spacing w:after="20"/>
            </w:pPr>
            <w:r>
              <w:rPr>
                <w:sz w:val="17"/>
              </w:rPr>
              <w:t>Excluída</w:t>
            </w:r>
          </w:p>
        </w:tc>
        <w:tc>
          <w:tcPr>
            <w:tcW w:type="dxa" w:w="2506"/>
          </w:tcPr>
          <w:p>
            <w:pPr>
              <w:spacing w:after="20"/>
            </w:pPr>
            <w:r>
              <w:rPr>
                <w:sz w:val="17"/>
              </w:rPr>
              <w:t>—</w:t>
            </w:r>
          </w:p>
        </w:tc>
        <w:tc>
          <w:tcPr>
            <w:tcW w:type="dxa" w:w="2120"/>
          </w:tcPr>
          <w:p>
            <w:pPr>
              <w:spacing w:after="20"/>
            </w:pPr>
            <w:r>
              <w:rPr>
                <w:sz w:val="17"/>
              </w:rPr>
              <w:t>—</w:t>
            </w:r>
          </w:p>
        </w:tc>
      </w:tr>
      <w:tr>
        <w:trPr>
          <w:cantSplit/>
        </w:trPr>
        <w:tc>
          <w:tcPr>
            <w:tcW w:type="dxa" w:w="3662"/>
          </w:tcPr>
          <w:p>
            <w:pPr>
              <w:spacing w:after="20"/>
            </w:pPr>
            <w:r>
              <w:rPr>
                <w:sz w:val="17"/>
              </w:rPr>
              <w:t>Atos Lesivos à Administração Pública (Lei 12.846/2013)</w:t>
            </w:r>
          </w:p>
        </w:tc>
        <w:tc>
          <w:tcPr>
            <w:tcW w:type="dxa" w:w="1349"/>
          </w:tcPr>
          <w:p>
            <w:pPr>
              <w:spacing w:after="20"/>
            </w:pPr>
            <w:r>
              <w:rPr>
                <w:sz w:val="17"/>
              </w:rPr>
              <w:t>Excluída</w:t>
            </w:r>
          </w:p>
        </w:tc>
        <w:tc>
          <w:tcPr>
            <w:tcW w:type="dxa" w:w="2506"/>
          </w:tcPr>
          <w:p>
            <w:pPr>
              <w:spacing w:after="20"/>
            </w:pPr>
            <w:r>
              <w:rPr>
                <w:sz w:val="17"/>
              </w:rPr>
              <w:t>—</w:t>
            </w:r>
          </w:p>
        </w:tc>
        <w:tc>
          <w:tcPr>
            <w:tcW w:type="dxa" w:w="2120"/>
          </w:tcPr>
          <w:p>
            <w:pPr>
              <w:spacing w:after="20"/>
            </w:pPr>
            <w:r>
              <w:rPr>
                <w:sz w:val="17"/>
              </w:rPr>
              <w:t>—</w:t>
            </w:r>
          </w:p>
        </w:tc>
      </w:tr>
      <w:tr>
        <w:trPr>
          <w:cantSplit/>
        </w:trPr>
        <w:tc>
          <w:tcPr>
            <w:tcW w:type="dxa" w:w="3662"/>
          </w:tcPr>
          <w:p>
            <w:pPr>
              <w:spacing w:after="20"/>
            </w:pPr>
            <w:r>
              <w:rPr>
                <w:sz w:val="17"/>
              </w:rPr>
              <w:t>Processos no Exterior</w:t>
            </w:r>
          </w:p>
        </w:tc>
        <w:tc>
          <w:tcPr>
            <w:tcW w:type="dxa" w:w="1349"/>
          </w:tcPr>
          <w:p>
            <w:pPr>
              <w:spacing w:after="20"/>
            </w:pPr>
            <w:r>
              <w:rPr>
                <w:sz w:val="17"/>
              </w:rPr>
              <w:t>Excluída</w:t>
            </w:r>
          </w:p>
        </w:tc>
        <w:tc>
          <w:tcPr>
            <w:tcW w:type="dxa" w:w="2506"/>
          </w:tcPr>
          <w:p>
            <w:pPr>
              <w:spacing w:after="20"/>
            </w:pPr>
            <w:r>
              <w:rPr>
                <w:sz w:val="17"/>
              </w:rPr>
              <w:t>—</w:t>
            </w:r>
          </w:p>
        </w:tc>
        <w:tc>
          <w:tcPr>
            <w:tcW w:type="dxa" w:w="2120"/>
          </w:tcPr>
          <w:p>
            <w:pPr>
              <w:spacing w:after="20"/>
            </w:pPr>
            <w:r>
              <w:rPr>
                <w:sz w:val="17"/>
              </w:rPr>
              <w:t>—</w:t>
            </w:r>
          </w:p>
        </w:tc>
      </w:tr>
    </w:tbl>
    <w:p>
      <w:pPr>
        <w:spacing w:after="40"/>
      </w:pPr>
    </w:p>
    <w:p>
      <w:pPr>
        <w:keepNext/>
        <w:spacing w:before="160"/>
      </w:pPr>
      <w:r>
        <w:rPr>
          <w:b/>
          <w:color w:val="3B4A5A"/>
        </w:rPr>
        <w:t>Quadro 3 – Franquias, retenção e participação obrigatória</w:t>
      </w:r>
    </w:p>
    <w:tbl>
      <w:tblPr>
        <w:tblStyle w:val="TableGrid"/>
        <w:tblW w:type="auto" w:w="0"/>
        <w:tblLayout w:type="fixed"/>
        <w:tblLook w:firstColumn="1" w:firstRow="1" w:lastColumn="0" w:lastRow="0" w:noHBand="0" w:noVBand="1" w:val="04A0"/>
      </w:tblPr>
      <w:tblGrid>
        <w:gridCol w:w="4819"/>
        <w:gridCol w:w="4819"/>
      </w:tblGrid>
      <w:tr>
        <w:trPr>
          <w:tblHeader/>
        </w:trPr>
        <w:tc>
          <w:tcPr>
            <w:tcW w:type="dxa" w:w="3277"/>
            <w:shd w:val="clear" w:fill="E6EAEE"/>
          </w:tcPr>
          <w:p>
            <w:pPr>
              <w:spacing w:after="20"/>
            </w:pPr>
            <w:r>
              <w:rPr>
                <w:sz w:val="17"/>
              </w:rPr>
            </w:r>
            <w:r>
              <w:rPr>
                <w:b/>
                <w:sz w:val="17"/>
              </w:rPr>
              <w:t>Item</w:t>
            </w:r>
          </w:p>
        </w:tc>
        <w:tc>
          <w:tcPr>
            <w:tcW w:type="dxa" w:w="6361"/>
            <w:shd w:val="clear" w:fill="E6EAEE"/>
          </w:tcPr>
          <w:p>
            <w:pPr>
              <w:spacing w:after="20"/>
            </w:pPr>
            <w:r>
              <w:rPr>
                <w:sz w:val="17"/>
              </w:rPr>
            </w:r>
            <w:r>
              <w:rPr>
                <w:b/>
                <w:sz w:val="17"/>
              </w:rPr>
              <w:t>Condição</w:t>
            </w:r>
          </w:p>
        </w:tc>
      </w:tr>
      <w:tr>
        <w:trPr>
          <w:cantSplit/>
        </w:trPr>
        <w:tc>
          <w:tcPr>
            <w:tcW w:type="dxa" w:w="3277"/>
          </w:tcPr>
          <w:p>
            <w:pPr>
              <w:spacing w:after="20"/>
            </w:pPr>
            <w:r>
              <w:rPr>
                <w:sz w:val="17"/>
              </w:rPr>
              <w:t>Garantia A</w:t>
            </w:r>
          </w:p>
        </w:tc>
        <w:tc>
          <w:tcPr>
            <w:tcW w:type="dxa" w:w="6361"/>
          </w:tcPr>
          <w:p>
            <w:pPr>
              <w:spacing w:after="20"/>
            </w:pPr>
            <w:r>
              <w:rPr>
                <w:sz w:val="17"/>
              </w:rPr>
              <w:t>Sem franquia.</w:t>
            </w:r>
          </w:p>
        </w:tc>
      </w:tr>
      <w:tr>
        <w:trPr>
          <w:cantSplit/>
        </w:trPr>
        <w:tc>
          <w:tcPr>
            <w:tcW w:type="dxa" w:w="3277"/>
          </w:tcPr>
          <w:p>
            <w:pPr>
              <w:spacing w:after="20"/>
            </w:pPr>
            <w:r>
              <w:rPr>
                <w:sz w:val="17"/>
              </w:rPr>
              <w:t>Garantia B e adicionais</w:t>
            </w:r>
          </w:p>
        </w:tc>
        <w:tc>
          <w:tcPr>
            <w:tcW w:type="dxa" w:w="6361"/>
          </w:tcPr>
          <w:p>
            <w:pPr>
              <w:spacing w:after="20"/>
            </w:pPr>
            <w:r>
              <w:rPr>
                <w:sz w:val="17"/>
              </w:rPr>
              <w:t>R$ 250.000,00 por Reclamação.</w:t>
            </w:r>
          </w:p>
        </w:tc>
      </w:tr>
      <w:tr>
        <w:trPr>
          <w:cantSplit/>
        </w:trPr>
        <w:tc>
          <w:tcPr>
            <w:tcW w:type="dxa" w:w="3277"/>
          </w:tcPr>
          <w:p>
            <w:pPr>
              <w:spacing w:after="20"/>
            </w:pPr>
            <w:r>
              <w:rPr>
                <w:sz w:val="17"/>
              </w:rPr>
              <w:t>Garantia C</w:t>
            </w:r>
          </w:p>
        </w:tc>
        <w:tc>
          <w:tcPr>
            <w:tcW w:type="dxa" w:w="6361"/>
          </w:tcPr>
          <w:p>
            <w:pPr>
              <w:spacing w:after="20"/>
            </w:pPr>
            <w:r>
              <w:rPr>
                <w:sz w:val="17"/>
              </w:rPr>
              <w:t>Não se aplica (cobertura excluída).</w:t>
            </w:r>
          </w:p>
        </w:tc>
      </w:tr>
      <w:tr>
        <w:trPr>
          <w:cantSplit/>
        </w:trPr>
        <w:tc>
          <w:tcPr>
            <w:tcW w:type="dxa" w:w="3277"/>
          </w:tcPr>
          <w:p>
            <w:pPr>
              <w:spacing w:after="20"/>
            </w:pPr>
            <w:r>
              <w:rPr>
                <w:sz w:val="17"/>
              </w:rPr>
              <w:t>Participação obrigatória do Segurado</w:t>
            </w:r>
          </w:p>
        </w:tc>
        <w:tc>
          <w:tcPr>
            <w:tcW w:type="dxa" w:w="6361"/>
          </w:tcPr>
          <w:p>
            <w:pPr>
              <w:spacing w:after="20"/>
            </w:pPr>
            <w:r>
              <w:rPr>
                <w:sz w:val="17"/>
              </w:rPr>
              <w:t>Participação obrigatória de 10% (dez por cento) do Administrador Segurado nas Perdas Indenizáveis da Garantia A, limitada a R$ 100.000,00 por Reclamação.</w:t>
            </w:r>
          </w:p>
        </w:tc>
      </w:tr>
    </w:tbl>
    <w:p>
      <w:pPr>
        <w:spacing w:after="40"/>
      </w:pPr>
    </w:p>
    <w:p>
      <w:pPr>
        <w:keepNext/>
        <w:spacing w:before="160"/>
      </w:pPr>
      <w:r>
        <w:rPr>
          <w:b/>
          <w:color w:val="3B4A5A"/>
        </w:rPr>
        <w:t>Quadro 4 – Segurados</w:t>
      </w:r>
    </w:p>
    <w:tbl>
      <w:tblPr>
        <w:tblStyle w:val="TableGrid"/>
        <w:tblW w:type="auto" w:w="0"/>
        <w:tblLayout w:type="fixed"/>
        <w:tblLook w:firstColumn="1" w:firstRow="1" w:lastColumn="0" w:lastRow="0" w:noHBand="0" w:noVBand="1" w:val="04A0"/>
      </w:tblPr>
      <w:tblGrid>
        <w:gridCol w:w="4819"/>
        <w:gridCol w:w="4819"/>
      </w:tblGrid>
      <w:tr>
        <w:trPr>
          <w:tblHeader/>
        </w:trPr>
        <w:tc>
          <w:tcPr>
            <w:tcW w:type="dxa" w:w="3277"/>
            <w:shd w:val="clear" w:fill="E6EAEE"/>
          </w:tcPr>
          <w:p>
            <w:pPr>
              <w:spacing w:after="20"/>
            </w:pPr>
            <w:r>
              <w:rPr>
                <w:sz w:val="17"/>
              </w:rPr>
            </w:r>
            <w:r>
              <w:rPr>
                <w:b/>
                <w:sz w:val="17"/>
              </w:rPr>
              <w:t>Categoria de Segurado</w:t>
            </w:r>
          </w:p>
        </w:tc>
        <w:tc>
          <w:tcPr>
            <w:tcW w:type="dxa" w:w="6361"/>
            <w:shd w:val="clear" w:fill="E6EAEE"/>
          </w:tcPr>
          <w:p>
            <w:pPr>
              <w:spacing w:after="20"/>
            </w:pPr>
            <w:r>
              <w:rPr>
                <w:sz w:val="17"/>
              </w:rPr>
            </w:r>
            <w:r>
              <w:rPr>
                <w:b/>
                <w:sz w:val="17"/>
              </w:rPr>
              <w:t>Abrangência</w:t>
            </w:r>
          </w:p>
        </w:tc>
      </w:tr>
      <w:tr>
        <w:trPr>
          <w:cantSplit/>
        </w:trPr>
        <w:tc>
          <w:tcPr>
            <w:tcW w:type="dxa" w:w="3277"/>
          </w:tcPr>
          <w:p>
            <w:pPr>
              <w:spacing w:after="20"/>
            </w:pPr>
            <w:r>
              <w:rPr>
                <w:sz w:val="17"/>
              </w:rPr>
              <w:t>Conselho de Administração</w:t>
            </w:r>
          </w:p>
        </w:tc>
        <w:tc>
          <w:tcPr>
            <w:tcW w:type="dxa" w:w="6361"/>
          </w:tcPr>
          <w:p>
            <w:pPr>
              <w:spacing w:after="20"/>
            </w:pPr>
            <w:r>
              <w:rPr>
                <w:sz w:val="17"/>
              </w:rPr>
              <w:t>Membros titulares.</w:t>
            </w:r>
          </w:p>
        </w:tc>
      </w:tr>
      <w:tr>
        <w:trPr>
          <w:cantSplit/>
        </w:trPr>
        <w:tc>
          <w:tcPr>
            <w:tcW w:type="dxa" w:w="3277"/>
          </w:tcPr>
          <w:p>
            <w:pPr>
              <w:spacing w:after="20"/>
            </w:pPr>
            <w:r>
              <w:rPr>
                <w:sz w:val="17"/>
              </w:rPr>
              <w:t>Diretoria</w:t>
            </w:r>
          </w:p>
        </w:tc>
        <w:tc>
          <w:tcPr>
            <w:tcW w:type="dxa" w:w="6361"/>
          </w:tcPr>
          <w:p>
            <w:pPr>
              <w:spacing w:after="20"/>
            </w:pPr>
            <w:r>
              <w:rPr>
                <w:sz w:val="17"/>
              </w:rPr>
              <w:t>Diretores estatutários e diretor-presidente.</w:t>
            </w:r>
          </w:p>
        </w:tc>
      </w:tr>
      <w:tr>
        <w:trPr>
          <w:cantSplit/>
        </w:trPr>
        <w:tc>
          <w:tcPr>
            <w:tcW w:type="dxa" w:w="3277"/>
          </w:tcPr>
          <w:p>
            <w:pPr>
              <w:spacing w:after="20"/>
            </w:pPr>
            <w:r>
              <w:rPr>
                <w:sz w:val="17"/>
              </w:rPr>
              <w:t>Conselho Fiscal</w:t>
            </w:r>
          </w:p>
        </w:tc>
        <w:tc>
          <w:tcPr>
            <w:tcW w:type="dxa" w:w="6361"/>
          </w:tcPr>
          <w:p>
            <w:pPr>
              <w:spacing w:after="20"/>
            </w:pPr>
            <w:r>
              <w:rPr>
                <w:sz w:val="17"/>
              </w:rPr>
              <w:t>Membros titulares e suplentes.</w:t>
            </w:r>
          </w:p>
        </w:tc>
      </w:tr>
    </w:tbl>
    <w:p>
      <w:pPr>
        <w:spacing w:after="40"/>
      </w:pPr>
    </w:p>
    <w:p>
      <w:pPr>
        <w:keepNext/>
        <w:spacing w:before="160"/>
      </w:pPr>
      <w:r>
        <w:rPr>
          <w:b/>
          <w:color w:val="3B4A5A"/>
        </w:rPr>
        <w:t>Quadro 5 – Subsidiárias cobertas</w:t>
      </w:r>
    </w:p>
    <w:tbl>
      <w:tblPr>
        <w:tblStyle w:val="TableGrid"/>
        <w:tblW w:type="auto" w:w="0"/>
        <w:tblLayout w:type="fixed"/>
        <w:tblLook w:firstColumn="1" w:firstRow="1" w:lastColumn="0" w:lastRow="0" w:noHBand="0" w:noVBand="1" w:val="04A0"/>
      </w:tblPr>
      <w:tblGrid>
        <w:gridCol w:w="4819"/>
        <w:gridCol w:w="4819"/>
      </w:tblGrid>
      <w:tr>
        <w:trPr>
          <w:tblHeader/>
        </w:trPr>
        <w:tc>
          <w:tcPr>
            <w:tcW w:type="dxa" w:w="5783"/>
            <w:shd w:val="clear" w:fill="E6EAEE"/>
          </w:tcPr>
          <w:p>
            <w:pPr>
              <w:spacing w:after="20"/>
            </w:pPr>
            <w:r>
              <w:rPr>
                <w:sz w:val="17"/>
              </w:rPr>
            </w:r>
            <w:r>
              <w:rPr>
                <w:b/>
                <w:sz w:val="17"/>
              </w:rPr>
              <w:t>Subsidiária</w:t>
            </w:r>
          </w:p>
        </w:tc>
        <w:tc>
          <w:tcPr>
            <w:tcW w:type="dxa" w:w="3855"/>
            <w:shd w:val="clear" w:fill="E6EAEE"/>
          </w:tcPr>
          <w:p>
            <w:pPr>
              <w:spacing w:after="20"/>
            </w:pPr>
            <w:r>
              <w:rPr>
                <w:sz w:val="17"/>
              </w:rPr>
            </w:r>
            <w:r>
              <w:rPr>
                <w:b/>
                <w:sz w:val="17"/>
              </w:rPr>
              <w:t>Participação / país</w:t>
            </w:r>
          </w:p>
        </w:tc>
      </w:tr>
      <w:tr>
        <w:trPr>
          <w:cantSplit/>
        </w:trPr>
        <w:tc>
          <w:tcPr>
            <w:tcW w:type="dxa" w:w="5783"/>
          </w:tcPr>
          <w:p>
            <w:pPr>
              <w:spacing w:after="20"/>
            </w:pPr>
            <w:r>
              <w:rPr>
                <w:sz w:val="17"/>
              </w:rPr>
              <w:t>Ferrolar Forjaria Ltda.</w:t>
            </w:r>
          </w:p>
        </w:tc>
        <w:tc>
          <w:tcPr>
            <w:tcW w:type="dxa" w:w="3855"/>
          </w:tcPr>
          <w:p>
            <w:pPr>
              <w:spacing w:after="20"/>
            </w:pPr>
            <w:r>
              <w:rPr>
                <w:sz w:val="17"/>
              </w:rPr>
              <w:t>100%</w:t>
            </w:r>
          </w:p>
        </w:tc>
      </w:tr>
    </w:tbl>
    <w:p>
      <w:pPr>
        <w:spacing w:after="40"/>
      </w:pPr>
    </w:p>
    <w:p>
      <w:pPr>
        <w:keepNext/>
        <w:spacing w:before="160"/>
      </w:pPr>
      <w:r>
        <w:rPr>
          <w:b/>
          <w:color w:val="3B4A5A"/>
        </w:rPr>
        <w:t>Quadro 6 – Retroatividade, prazos, território e notificação</w:t>
      </w:r>
    </w:p>
    <w:tbl>
      <w:tblPr>
        <w:tblStyle w:val="TableGrid"/>
        <w:tblW w:type="auto" w:w="0"/>
        <w:tblLayout w:type="fixed"/>
        <w:tblLook w:firstColumn="1" w:firstRow="1" w:lastColumn="0" w:lastRow="0" w:noHBand="0" w:noVBand="1" w:val="04A0"/>
      </w:tblPr>
      <w:tblGrid>
        <w:gridCol w:w="4819"/>
        <w:gridCol w:w="4819"/>
      </w:tblGrid>
      <w:tr>
        <w:trPr>
          <w:tblHeader/>
        </w:trPr>
        <w:tc>
          <w:tcPr>
            <w:tcW w:type="dxa" w:w="2699"/>
            <w:shd w:val="clear" w:fill="E6EAEE"/>
          </w:tcPr>
          <w:p>
            <w:pPr>
              <w:spacing w:after="20"/>
            </w:pPr>
            <w:r>
              <w:rPr>
                <w:sz w:val="17"/>
              </w:rPr>
            </w:r>
            <w:r>
              <w:rPr>
                <w:b/>
                <w:sz w:val="17"/>
              </w:rPr>
              <w:t>Item</w:t>
            </w:r>
          </w:p>
        </w:tc>
        <w:tc>
          <w:tcPr>
            <w:tcW w:type="dxa" w:w="6939"/>
            <w:shd w:val="clear" w:fill="E6EAEE"/>
          </w:tcPr>
          <w:p>
            <w:pPr>
              <w:spacing w:after="20"/>
            </w:pPr>
            <w:r>
              <w:rPr>
                <w:sz w:val="17"/>
              </w:rPr>
            </w:r>
            <w:r>
              <w:rPr>
                <w:b/>
                <w:sz w:val="17"/>
              </w:rPr>
              <w:t>Condição</w:t>
            </w:r>
          </w:p>
        </w:tc>
      </w:tr>
      <w:tr>
        <w:trPr>
          <w:cantSplit/>
        </w:trPr>
        <w:tc>
          <w:tcPr>
            <w:tcW w:type="dxa" w:w="2699"/>
          </w:tcPr>
          <w:p>
            <w:pPr>
              <w:spacing w:after="20"/>
            </w:pPr>
            <w:r>
              <w:rPr>
                <w:sz w:val="17"/>
              </w:rPr>
              <w:t>Retroatividade</w:t>
            </w:r>
          </w:p>
        </w:tc>
        <w:tc>
          <w:tcPr>
            <w:tcW w:type="dxa" w:w="6939"/>
          </w:tcPr>
          <w:p>
            <w:pPr>
              <w:spacing w:after="20"/>
            </w:pPr>
            <w:r>
              <w:rPr>
                <w:sz w:val="17"/>
              </w:rPr>
              <w:t>Data de retroatividade: 01/03/2021 (início do primeiro seguro D&amp;O contínuo da Contratante). Atos anteriores a essa data não estão cobertos.</w:t>
            </w:r>
          </w:p>
        </w:tc>
      </w:tr>
      <w:tr>
        <w:trPr>
          <w:cantSplit/>
        </w:trPr>
        <w:tc>
          <w:tcPr>
            <w:tcW w:type="dxa" w:w="2699"/>
          </w:tcPr>
          <w:p>
            <w:pPr>
              <w:spacing w:after="20"/>
            </w:pPr>
            <w:r>
              <w:rPr>
                <w:sz w:val="17"/>
              </w:rPr>
              <w:t>Prazo complementar</w:t>
            </w:r>
          </w:p>
        </w:tc>
        <w:tc>
          <w:tcPr>
            <w:tcW w:type="dxa" w:w="6939"/>
          </w:tcPr>
          <w:p>
            <w:pPr>
              <w:spacing w:after="20"/>
            </w:pPr>
            <w:r>
              <w:rPr>
                <w:sz w:val="17"/>
              </w:rPr>
              <w:t>12 (doze) meses, automático e sem prêmio adicional, em caso de não renovação.</w:t>
            </w:r>
          </w:p>
        </w:tc>
      </w:tr>
      <w:tr>
        <w:trPr>
          <w:cantSplit/>
        </w:trPr>
        <w:tc>
          <w:tcPr>
            <w:tcW w:type="dxa" w:w="2699"/>
          </w:tcPr>
          <w:p>
            <w:pPr>
              <w:spacing w:after="20"/>
            </w:pPr>
            <w:r>
              <w:rPr>
                <w:sz w:val="17"/>
              </w:rPr>
              <w:t>Prazo suplementar</w:t>
            </w:r>
          </w:p>
        </w:tc>
        <w:tc>
          <w:tcPr>
            <w:tcW w:type="dxa" w:w="6939"/>
          </w:tcPr>
          <w:p>
            <w:pPr>
              <w:spacing w:after="20"/>
            </w:pPr>
            <w:r>
              <w:rPr>
                <w:sz w:val="17"/>
              </w:rPr>
              <w:t>Não disponível nesta apólice.</w:t>
            </w:r>
          </w:p>
        </w:tc>
      </w:tr>
      <w:tr>
        <w:trPr>
          <w:cantSplit/>
        </w:trPr>
        <w:tc>
          <w:tcPr>
            <w:tcW w:type="dxa" w:w="2699"/>
          </w:tcPr>
          <w:p>
            <w:pPr>
              <w:spacing w:after="20"/>
            </w:pPr>
            <w:r>
              <w:rPr>
                <w:sz w:val="17"/>
              </w:rPr>
              <w:t>Âmbito territorial</w:t>
            </w:r>
          </w:p>
        </w:tc>
        <w:tc>
          <w:tcPr>
            <w:tcW w:type="dxa" w:w="6939"/>
          </w:tcPr>
          <w:p>
            <w:pPr>
              <w:spacing w:after="20"/>
            </w:pPr>
            <w:r>
              <w:rPr>
                <w:sz w:val="17"/>
              </w:rPr>
              <w:t>Brasil.</w:t>
            </w:r>
          </w:p>
        </w:tc>
      </w:tr>
      <w:tr>
        <w:trPr>
          <w:cantSplit/>
        </w:trPr>
        <w:tc>
          <w:tcPr>
            <w:tcW w:type="dxa" w:w="2699"/>
          </w:tcPr>
          <w:p>
            <w:pPr>
              <w:spacing w:after="20"/>
            </w:pPr>
            <w:r>
              <w:rPr>
                <w:sz w:val="17"/>
              </w:rPr>
              <w:t>Jurisdição</w:t>
            </w:r>
          </w:p>
        </w:tc>
        <w:tc>
          <w:tcPr>
            <w:tcW w:type="dxa" w:w="6939"/>
          </w:tcPr>
          <w:p>
            <w:pPr>
              <w:spacing w:after="20"/>
            </w:pPr>
            <w:r>
              <w:rPr>
                <w:sz w:val="17"/>
              </w:rPr>
              <w:t>Exclusivamente tribunais e câmaras arbitrais brasileiros.</w:t>
            </w:r>
          </w:p>
        </w:tc>
      </w:tr>
      <w:tr>
        <w:trPr>
          <w:cantSplit/>
        </w:trPr>
        <w:tc>
          <w:tcPr>
            <w:tcW w:type="dxa" w:w="2699"/>
          </w:tcPr>
          <w:p>
            <w:pPr>
              <w:spacing w:after="20"/>
            </w:pPr>
            <w:r>
              <w:rPr>
                <w:sz w:val="17"/>
              </w:rPr>
              <w:t>Notificação de circunstâncias</w:t>
            </w:r>
          </w:p>
        </w:tc>
        <w:tc>
          <w:tcPr>
            <w:tcW w:type="dxa" w:w="6939"/>
          </w:tcPr>
          <w:p>
            <w:pPr>
              <w:spacing w:after="20"/>
            </w:pPr>
            <w:r>
              <w:rPr>
                <w:sz w:val="17"/>
              </w:rPr>
              <w:t>Até 60 (sessenta) dias após o conhecimento do fato ou circunstância, e sempre até o fim do prazo complementar.</w:t>
            </w:r>
          </w:p>
        </w:tc>
      </w:tr>
      <w:tr>
        <w:trPr>
          <w:cantSplit/>
        </w:trPr>
        <w:tc>
          <w:tcPr>
            <w:tcW w:type="dxa" w:w="2699"/>
          </w:tcPr>
          <w:p>
            <w:pPr>
              <w:spacing w:after="20"/>
            </w:pPr>
            <w:r>
              <w:rPr>
                <w:sz w:val="17"/>
              </w:rPr>
              <w:t>Foro / solução de disputas</w:t>
            </w:r>
          </w:p>
        </w:tc>
        <w:tc>
          <w:tcPr>
            <w:tcW w:type="dxa" w:w="6939"/>
          </w:tcPr>
          <w:p>
            <w:pPr>
              <w:spacing w:after="20"/>
            </w:pPr>
            <w:r>
              <w:rPr>
                <w:sz w:val="17"/>
              </w:rPr>
              <w:t>Foro do domicílio do Segurado ou Belo Horizonte/MG, nos termos da Cláusula 19.</w:t>
            </w:r>
          </w:p>
        </w:tc>
      </w:tr>
    </w:tbl>
    <w:p>
      <w:pPr>
        <w:spacing w:after="40"/>
      </w:pPr>
    </w:p>
    <w:p>
      <w:r>
        <w:br w:type="page"/>
      </w:r>
    </w:p>
    <w:p>
      <w:pPr>
        <w:pStyle w:val="Heading1"/>
      </w:pPr>
      <w:r>
        <w:t>SEÇÃO II – CONDIÇÕES GERAIS</w:t>
      </w:r>
    </w:p>
    <w:p>
      <w:pPr>
        <w:jc w:val="both"/>
      </w:pPr>
      <w:r>
        <w:t>Condições Gerais do Seguro de Responsabilidade Civil de Administradores e Diretores (D&amp;O), Processo SUSEP nº 15414.601245/2021-33.</w:t>
      </w:r>
    </w:p>
    <w:p>
      <w:pPr>
        <w:pStyle w:val="Heading2"/>
      </w:pPr>
      <w:r>
        <w:t>CLÁUSULA 1 – OBJETO DO SEGURO</w:t>
      </w:r>
    </w:p>
    <w:p>
      <w:pPr>
        <w:ind w:left="624" w:hanging="624"/>
        <w:jc w:val="both"/>
      </w:pPr>
      <w:r>
        <w:rPr>
          <w:b/>
        </w:rPr>
        <w:t xml:space="preserve">1.1  </w:t>
      </w:r>
      <w:r>
        <w:t>Este seguro garante, até o Limite Máximo de Indenização (LMI) indicado na Especificação, o pagamento das Perdas Indenizáveis decorrentes de Reclamações apresentadas contra o Administrador Segurado durante a vigência, o Prazo Complementar ou o Prazo Suplementar, por Ato de Gestão Danoso praticado no exercício de suas funções no Contratante ou em Subsidiária, a partir da data ou do período de retroatividade indicado nas Condições Particulares.</w:t>
      </w:r>
    </w:p>
    <w:p>
      <w:pPr>
        <w:ind w:left="624" w:hanging="624"/>
        <w:jc w:val="both"/>
      </w:pPr>
      <w:r>
        <w:rPr>
          <w:b/>
        </w:rPr>
        <w:t xml:space="preserve">1.2  </w:t>
      </w:r>
      <w:r>
        <w:t>O seguro é contratado na modalidade de base de reclamações (claims made), com notificação, e rege-se pelas Condições Particulares, por estas Condições Gerais, pelos endossos, pela Circular SUSEP nº 637/2021 e pelo Código Civil. Em caso de divergência, prevalecem os endossos, depois as Condições Particulares.</w:t>
      </w:r>
    </w:p>
    <w:p>
      <w:pPr>
        <w:ind w:left="624" w:hanging="624"/>
        <w:jc w:val="both"/>
      </w:pPr>
      <w:r>
        <w:rPr>
          <w:b/>
        </w:rPr>
        <w:t xml:space="preserve">1.3  </w:t>
      </w:r>
      <w:r>
        <w:t>A contratação de cada cobertura somente se comprova pela Especificação e pelas Condições Particulares. A previsão de uma cobertura nestas Condições Gerais não implica sua contratação.</w:t>
      </w:r>
    </w:p>
    <w:p>
      <w:pPr>
        <w:pStyle w:val="Heading2"/>
      </w:pPr>
      <w:r>
        <w:t>CLÁUSULA 2 – DEFINIÇÕES</w:t>
      </w:r>
    </w:p>
    <w:p>
      <w:pPr>
        <w:ind w:left="624" w:hanging="624"/>
        <w:jc w:val="both"/>
      </w:pPr>
      <w:r>
        <w:rPr>
          <w:b/>
        </w:rPr>
        <w:t xml:space="preserve">2.1  </w:t>
      </w:r>
      <w:r>
        <w:t>“Apólice”: instrumento que formaliza o contrato, composto pela proposta, Condições Particulares, Condições Gerais e endossos.</w:t>
      </w:r>
    </w:p>
    <w:p>
      <w:pPr>
        <w:ind w:left="624" w:hanging="624"/>
        <w:jc w:val="both"/>
      </w:pPr>
      <w:r>
        <w:rPr>
          <w:b/>
        </w:rPr>
        <w:t xml:space="preserve">2.2  </w:t>
      </w:r>
      <w:r>
        <w:t>“Contratante”: a pessoa jurídica indicada na capa da apólice, que contrata o seguro em favor dos Administradores Segurados e responde pelo pagamento do prêmio.</w:t>
      </w:r>
    </w:p>
    <w:p>
      <w:pPr>
        <w:ind w:left="624" w:hanging="624"/>
        <w:jc w:val="both"/>
      </w:pPr>
      <w:r>
        <w:rPr>
          <w:b/>
        </w:rPr>
        <w:t xml:space="preserve">2.3  </w:t>
      </w:r>
      <w:r>
        <w:t>“Subsidiária”: sociedade em que o Contratante detenha, direta ou indiretamente, mais de 50% (cinquenta por cento) do capital votante, ou o poder de eleger a maioria dos administradores, indicada no Quadro 5 ou incluída por endosso.</w:t>
      </w:r>
    </w:p>
    <w:p>
      <w:pPr>
        <w:ind w:left="624" w:hanging="624"/>
        <w:jc w:val="both"/>
      </w:pPr>
      <w:r>
        <w:rPr>
          <w:b/>
        </w:rPr>
        <w:t xml:space="preserve">2.4  </w:t>
      </w:r>
      <w:r>
        <w:t>“Administrador Segurado”: as pessoas físicas indicadas no Quadro 4, presentes, passadas ou futuras, que exerçam ou tenham exercido cargo de administração, em conselho, comitê estatutário ou função de gestão com poderes de representação no Contratante ou em Subsidiária, inclusive, quando previsto, o espólio e os herdeiros.</w:t>
      </w:r>
    </w:p>
    <w:p>
      <w:pPr>
        <w:ind w:left="624" w:hanging="624"/>
        <w:jc w:val="both"/>
      </w:pPr>
      <w:r>
        <w:rPr>
          <w:b/>
        </w:rPr>
        <w:t xml:space="preserve">2.5  </w:t>
      </w:r>
      <w:r>
        <w:t>“Ato de Gestão Danoso”: ato ou omissão culposa, erro, declaração inexata, violação de dever legal, estatutário ou fiduciário, real ou alegado, praticado pelo Administrador Segurado no exercício de suas funções.</w:t>
      </w:r>
    </w:p>
    <w:p>
      <w:pPr>
        <w:ind w:left="624" w:hanging="624"/>
        <w:jc w:val="both"/>
      </w:pPr>
      <w:r>
        <w:rPr>
          <w:b/>
        </w:rPr>
        <w:t xml:space="preserve">2.6  </w:t>
      </w:r>
      <w:r>
        <w:t>“Reclamação”: (a) citação ou notificação judicial em ação civil, criminal ou administrativa; (b) pedido escrito de indenização ou reparação; (c) instauração de processo arbitral; (d) Investigação Formal contra o Administrador Segurado.</w:t>
      </w:r>
    </w:p>
    <w:p>
      <w:pPr>
        <w:ind w:left="624" w:hanging="624"/>
        <w:jc w:val="both"/>
      </w:pPr>
      <w:r>
        <w:rPr>
          <w:b/>
        </w:rPr>
        <w:t xml:space="preserve">2.7  </w:t>
      </w:r>
      <w:r>
        <w:t>“Sinistro”: toda Reclamação, ou conjunto de Reclamações decorrentes do mesmo Ato de Gestão Danoso ou de Atos Danosos relacionados, considerado um único Sinistro na data da primeira Reclamação.</w:t>
      </w:r>
    </w:p>
    <w:p>
      <w:pPr>
        <w:ind w:left="624" w:hanging="624"/>
        <w:jc w:val="both"/>
      </w:pPr>
      <w:r>
        <w:rPr>
          <w:b/>
        </w:rPr>
        <w:t xml:space="preserve">2.8  </w:t>
      </w:r>
      <w:r>
        <w:t>“Perdas Indenizáveis”: valores que o Administrador Segurado for obrigado a pagar por decisão judicial, arbitral ou acordo aprovado pela Seguradora, inclusive Custos de Defesa, exceto tributos, multas e sanções que a lei aplicável proíba segurar, e as demais exclusões desta apólice.</w:t>
      </w:r>
    </w:p>
    <w:p>
      <w:pPr>
        <w:ind w:left="624" w:hanging="624"/>
        <w:jc w:val="both"/>
      </w:pPr>
      <w:r>
        <w:rPr>
          <w:b/>
        </w:rPr>
        <w:t xml:space="preserve">2.9  </w:t>
      </w:r>
      <w:r>
        <w:t>“Custos de Defesa”: honorários advocatícios e periciais, custas judiciais, cauções e demais despesas razoáveis e necessárias à defesa do Administrador Segurado, aprovadas pela Seguradora.</w:t>
      </w:r>
    </w:p>
    <w:p>
      <w:pPr>
        <w:ind w:left="624" w:hanging="624"/>
        <w:jc w:val="both"/>
      </w:pPr>
      <w:r>
        <w:rPr>
          <w:b/>
        </w:rPr>
        <w:t xml:space="preserve">2.10  </w:t>
      </w:r>
      <w:r>
        <w:t>“Investigação Formal”: procedimento formal de apuração instaurado por autoridade pública, regulador ou autorregulador, em que o Administrador Segurado seja intimado ou convocado.</w:t>
      </w:r>
    </w:p>
    <w:p>
      <w:pPr>
        <w:ind w:left="624" w:hanging="624"/>
        <w:jc w:val="both"/>
      </w:pPr>
      <w:r>
        <w:rPr>
          <w:b/>
        </w:rPr>
        <w:t xml:space="preserve">2.11  </w:t>
      </w:r>
      <w:r>
        <w:t>“Circunstância”: fato ou situação específica, conhecida durante a vigência, que possa razoavelmente originar uma Reclamação.</w:t>
      </w:r>
    </w:p>
    <w:p>
      <w:pPr>
        <w:ind w:left="624" w:hanging="624"/>
        <w:jc w:val="both"/>
      </w:pPr>
      <w:r>
        <w:rPr>
          <w:b/>
        </w:rPr>
        <w:t xml:space="preserve">2.12  </w:t>
      </w:r>
      <w:r>
        <w:t>“Limite Máximo de Indenização (LMI)”: valor máximo de responsabilidade da Seguradora por todas as Perdas Indenizáveis, Custos de Defesa e coberturas, na vigência.</w:t>
      </w:r>
    </w:p>
    <w:p>
      <w:pPr>
        <w:ind w:left="624" w:hanging="624"/>
        <w:jc w:val="both"/>
      </w:pPr>
      <w:r>
        <w:rPr>
          <w:b/>
        </w:rPr>
        <w:t xml:space="preserve">2.13  </w:t>
      </w:r>
      <w:r>
        <w:t>“Franquia”: parcela das Perdas Indenizáveis que fica a cargo do Contratante ou do Administrador Segurado, deduzida de cada Reclamação, conforme o Quadro 3.</w:t>
      </w:r>
    </w:p>
    <w:p>
      <w:pPr>
        <w:ind w:left="624" w:hanging="624"/>
        <w:jc w:val="both"/>
      </w:pPr>
      <w:r>
        <w:rPr>
          <w:b/>
        </w:rPr>
        <w:t xml:space="preserve">2.14  </w:t>
      </w:r>
      <w:r>
        <w:t>“Poluentes”: qualquer substância sólida, líquida, gasosa ou térmica irritante ou contaminante, inclusive fumaça, vapor, fuligem, resíduos, rejeitos, agrotóxicos e efluentes.</w:t>
      </w:r>
    </w:p>
    <w:p>
      <w:pPr>
        <w:ind w:left="624" w:hanging="624"/>
        <w:jc w:val="both"/>
      </w:pPr>
      <w:r>
        <w:rPr>
          <w:b/>
        </w:rPr>
        <w:t xml:space="preserve">2.15  </w:t>
      </w:r>
      <w:r>
        <w:t>“Entidade Externa”: pessoa jurídica sem fins lucrativos, que não seja Subsidiária, em que o Administrador Segurado ocupe cargo por indicação escrita do Contratante.</w:t>
      </w:r>
    </w:p>
    <w:p>
      <w:pPr>
        <w:ind w:left="624" w:hanging="624"/>
        <w:jc w:val="both"/>
      </w:pPr>
      <w:r>
        <w:rPr>
          <w:b/>
        </w:rPr>
        <w:t xml:space="preserve">2.16  </w:t>
      </w:r>
      <w:r>
        <w:t>“Evento de Crise”: fato que, a juízo razoável do Contratante, possa gerar Reclamação relevante ou dano grave à reputação do Contratante ou do Administrador Segurado.</w:t>
      </w:r>
    </w:p>
    <w:p>
      <w:pPr>
        <w:ind w:left="624" w:hanging="624"/>
        <w:jc w:val="both"/>
      </w:pPr>
      <w:r>
        <w:rPr>
          <w:b/>
        </w:rPr>
        <w:t xml:space="preserve">2.17  </w:t>
      </w:r>
      <w:r>
        <w:t>“Prazo Complementar”: período posterior ao fim da vigência, em que Reclamações por atos anteriores ao término podem ser apresentadas e notificadas.</w:t>
      </w:r>
    </w:p>
    <w:p>
      <w:pPr>
        <w:ind w:left="624" w:hanging="624"/>
        <w:jc w:val="both"/>
      </w:pPr>
      <w:r>
        <w:rPr>
          <w:b/>
        </w:rPr>
        <w:t xml:space="preserve">2.18  </w:t>
      </w:r>
      <w:r>
        <w:t>“Prazo Suplementar”: extensão contratável do período de apresentação de Reclamações após o fim da vigência, nas condições do Quadro 6.</w:t>
      </w:r>
    </w:p>
    <w:p>
      <w:pPr>
        <w:pStyle w:val="Heading2"/>
      </w:pPr>
      <w:r>
        <w:t>CLÁUSULA 3 – COBERTURAS BÁSICAS</w:t>
      </w:r>
    </w:p>
    <w:p>
      <w:pPr>
        <w:ind w:left="624" w:hanging="624"/>
        <w:jc w:val="both"/>
      </w:pPr>
      <w:r>
        <w:rPr>
          <w:b/>
        </w:rPr>
        <w:t xml:space="preserve">3.1  </w:t>
      </w:r>
      <w:r>
        <w:t>Garantia A – Proteção Individual dos Administradores. A Seguradora pagará diretamente ao Administrador Segurado, ou reembolsará quem o tiver feito, as Perdas Indenizáveis decorrentes de Reclamação por Ato de Gestão Danoso, quando o Contratante não puder ou não estiver legalmente autorizado a indenizá-lo (Side A), dentro do LMI.</w:t>
      </w:r>
    </w:p>
    <w:p>
      <w:pPr>
        <w:ind w:left="624" w:hanging="624"/>
        <w:jc w:val="both"/>
      </w:pPr>
      <w:r>
        <w:rPr>
          <w:b/>
        </w:rPr>
        <w:t xml:space="preserve">3.2  </w:t>
      </w:r>
      <w:r>
        <w:t>Garantia B – Reembolso à Sociedade. A Seguradora reembolsará ao Contratante as Perdas Indenizáveis que este, na forma da lei ou de seu estatuto, tenha pago ou adiantado em nome do Administrador Segurado em razão de Reclamação coberta (Side B), aplicada a franquia do Quadro 3.</w:t>
      </w:r>
    </w:p>
    <w:p>
      <w:pPr>
        <w:ind w:left="624" w:hanging="624"/>
        <w:jc w:val="both"/>
      </w:pPr>
      <w:r>
        <w:rPr>
          <w:b/>
        </w:rPr>
        <w:t xml:space="preserve">3.3  </w:t>
      </w:r>
      <w:r>
        <w:t>Não há Garantia C. Estão excluídas as Reclamações contra o Contratante como pessoa jurídica, bem como as decorrentes de oferta, emissão ou negociação de valores mobiliários.</w:t>
      </w:r>
    </w:p>
    <w:p>
      <w:pPr>
        <w:pStyle w:val="Heading2"/>
      </w:pPr>
      <w:r>
        <w:t>CLÁUSULA 4 – CUSTOS DE DEFESA E DESPESAS CORRELATAS</w:t>
      </w:r>
    </w:p>
    <w:p>
      <w:pPr>
        <w:ind w:left="624" w:hanging="624"/>
        <w:jc w:val="both"/>
      </w:pPr>
      <w:r>
        <w:rPr>
          <w:b/>
        </w:rPr>
        <w:t xml:space="preserve">4.1  </w:t>
      </w:r>
      <w:r>
        <w:t>Adiantamento de Custos de Defesa. A Seguradora adiantará, à medida que forem incorridos e em até 30 (trinta) dias da apresentação da documentação, os Custos de Defesa razoáveis do Administrador Segurado em Reclamação que possa ser coberta. Os Custos de Defesa integram o LMI e reduzem sua disponibilidade.</w:t>
      </w:r>
    </w:p>
    <w:p>
      <w:pPr>
        <w:ind w:left="624" w:hanging="624"/>
        <w:jc w:val="both"/>
      </w:pPr>
      <w:r>
        <w:rPr>
          <w:b/>
        </w:rPr>
        <w:t xml:space="preserve">4.2  </w:t>
      </w:r>
      <w:r>
        <w:t>O Administrador Segurado escolherá o advogado dentre os indicados pelo Contratante ou aprovados pela Seguradora, cuja anuência não será negada sem justo motivo. A Seguradora não responde por honorários acima de valores razoáveis de mercado para a matéria.</w:t>
      </w:r>
    </w:p>
    <w:p>
      <w:pPr>
        <w:ind w:left="624" w:hanging="624"/>
        <w:jc w:val="both"/>
      </w:pPr>
      <w:r>
        <w:rPr>
          <w:b/>
        </w:rPr>
        <w:t xml:space="preserve">4.3  </w:t>
      </w:r>
      <w:r>
        <w:t>Se, ao final, ficar demonstrado que a Reclamação não estava coberta, ou se houver decisão definitiva reconhecendo dolo, fraude ou vantagem indevida, o Administrador Segurado restituirá os valores adiantados corrigidos monetariamente, na forma da Cláusula 9.</w:t>
      </w:r>
    </w:p>
    <w:p>
      <w:pPr>
        <w:ind w:left="624" w:hanging="624"/>
        <w:jc w:val="both"/>
      </w:pPr>
      <w:r>
        <w:rPr>
          <w:b/>
        </w:rPr>
        <w:t xml:space="preserve">4.4  </w:t>
      </w:r>
      <w:r>
        <w:t>Custos Emergenciais de Defesa. A Seguradora aceita, sem anuência prévia, honorários de defesa urgente incorridos até 3 (três) dias após a citação, intimação ou medida de busca e apreensão, limitada ao sublimite de R$ 500.000,00, que integra e não se soma ao LMI.</w:t>
      </w:r>
    </w:p>
    <w:p>
      <w:pPr>
        <w:ind w:left="624" w:hanging="624"/>
        <w:jc w:val="both"/>
      </w:pPr>
      <w:r>
        <w:rPr>
          <w:b/>
        </w:rPr>
        <w:t xml:space="preserve">4.5  </w:t>
      </w:r>
      <w:r>
        <w:t>Custos de Investigação. Estão garantidos os custos de assessoria jurídica do Administrador Segurado para comparecimento e defesa em inquéritos, processos administrativos sancionadores e comissões parlamentares de inquérito, limitada ao sublimite de R$ 2.000.000,00, que integra e não se soma ao LMI, desde que a intimação seja notificada nos termos da Cláusula 11.</w:t>
      </w:r>
    </w:p>
    <w:p>
      <w:pPr>
        <w:ind w:left="624" w:hanging="624"/>
        <w:jc w:val="both"/>
      </w:pPr>
      <w:r>
        <w:rPr>
          <w:b/>
        </w:rPr>
        <w:t xml:space="preserve">4.6  </w:t>
      </w:r>
      <w:r>
        <w:t>As coberturas a seguir constam destas Condições Gerais apenas como opção. Não foram contratadas, não integram a Especificação e só passarão a vigorar mediante endosso específico e pagamento de prêmio adicional. A menção ao termo nestas Condições Gerais não gera direito a indenização:</w:t>
      </w:r>
    </w:p>
    <w:p>
      <w:pPr>
        <w:ind w:left="907"/>
        <w:jc w:val="both"/>
      </w:pPr>
      <w:r>
        <w:t>a) Custos de Defesa – Bens e Liberdade.</w:t>
      </w:r>
    </w:p>
    <w:p>
      <w:pPr>
        <w:ind w:left="907"/>
        <w:jc w:val="both"/>
      </w:pPr>
      <w:r>
        <w:t>b) Bloqueio e Indisponibilidade de Bens e Penhora On-line.</w:t>
      </w:r>
    </w:p>
    <w:p>
      <w:pPr>
        <w:ind w:left="907"/>
        <w:jc w:val="both"/>
      </w:pPr>
      <w:r>
        <w:t>c) Depósitos Recursais, Cauções e Garantias Judiciais.</w:t>
      </w:r>
    </w:p>
    <w:p>
      <w:pPr>
        <w:ind w:left="907"/>
        <w:jc w:val="both"/>
      </w:pPr>
      <w:r>
        <w:t>d) Salvamento e Contenção.</w:t>
      </w:r>
    </w:p>
    <w:p>
      <w:pPr>
        <w:pStyle w:val="Heading2"/>
      </w:pPr>
      <w:r>
        <w:t>CLÁUSULA 5 – EXTENSÕES DE COBERTURA</w:t>
      </w:r>
    </w:p>
    <w:p>
      <w:pPr>
        <w:ind w:left="624" w:hanging="624"/>
        <w:jc w:val="both"/>
      </w:pPr>
      <w:r>
        <w:rPr>
          <w:b/>
        </w:rPr>
        <w:t xml:space="preserve">5.1  </w:t>
      </w:r>
      <w:r>
        <w:t>Sujeitas ao LMI, às Franquias e às exclusões destas Condições Gerais, estão contratadas as extensões abaixo, nos limites do Quadro 2. Sublimites integram o LMI e não são adicionais a ele.</w:t>
      </w:r>
    </w:p>
    <w:p>
      <w:pPr>
        <w:ind w:left="624" w:hanging="624"/>
        <w:jc w:val="both"/>
      </w:pPr>
      <w:r>
        <w:rPr>
          <w:b/>
        </w:rPr>
        <w:t xml:space="preserve">5.2  </w:t>
      </w:r>
      <w:r>
        <w:t>Novas Subsidiárias. As sociedades adquiridas ou constituídas durante a vigência passam a ser cobertas por 90 (noventa) dias, por atos posteriores à aquisição, prazo em que o Contratante deverá requerer a inclusão definitiva, sob pena de cessação da cobertura. A extensão é concedida até o LMI, sem sublimite específico.</w:t>
      </w:r>
    </w:p>
    <w:p>
      <w:pPr>
        <w:ind w:left="907"/>
        <w:jc w:val="both"/>
      </w:pPr>
      <w:r>
        <w:t>A inclusão automática limita-se a 90 (noventa) dias.</w:t>
      </w:r>
    </w:p>
    <w:p>
      <w:pPr>
        <w:ind w:left="624" w:hanging="624"/>
        <w:jc w:val="both"/>
      </w:pPr>
      <w:r>
        <w:rPr>
          <w:b/>
        </w:rPr>
        <w:t xml:space="preserve">5.3  </w:t>
      </w:r>
      <w:r>
        <w:t>Práticas Trabalhistas Indevidas. Fica garantida a responsabilidade do Administrador Segurado por Reclamação de empregado, ex-empregado ou candidato a emprego fundada em assédio, discriminação ou dispensa discriminatória, limitada ao sublimite de R$ 1.000.000,00 (somente Custos de Defesa), que integra e não se soma ao LMI, excluídas as obrigações trabalhistas e previdenciárias próprias do empregador. A cobertura limita-se aos Custos de Defesa; não se pagam indenizações, multas ou condenações.</w:t>
      </w:r>
    </w:p>
    <w:p>
      <w:pPr>
        <w:ind w:left="624" w:hanging="624"/>
        <w:jc w:val="both"/>
      </w:pPr>
      <w:r>
        <w:rPr>
          <w:b/>
        </w:rPr>
        <w:t xml:space="preserve">5.4  </w:t>
      </w:r>
      <w:r>
        <w:t>Responsabilidade Tributária e Previdenciária. Fica garantida a defesa e a condenação do Administrador Segurado em redirecionamento de execução fiscal ou cobrança de contribuições previdenciárias por responsabilidade pessoal do administrador, limitada ao sublimite de R$ 1.000.000,00 (somente Custos de Defesa), que integra e não se soma ao LMI. A cobertura limita-se aos Custos de Defesa; não se pagam indenizações, multas ou condenações.</w:t>
      </w:r>
    </w:p>
    <w:p>
      <w:pPr>
        <w:ind w:left="624" w:hanging="624"/>
        <w:jc w:val="both"/>
      </w:pPr>
      <w:r>
        <w:rPr>
          <w:b/>
        </w:rPr>
        <w:t xml:space="preserve">5.5  </w:t>
      </w:r>
      <w:r>
        <w:t>Danos Morais. A expressão “Perdas Indenizáveis” compreende a condenação por dano moral, individual ou coletivo, imposta ao Administrador Segurado em Reclamação coberta, limitada ao sublimite de R$ 2.000.000,00, que integra e não se soma ao LMI.</w:t>
      </w:r>
    </w:p>
    <w:p>
      <w:pPr>
        <w:ind w:left="624" w:hanging="624"/>
        <w:jc w:val="both"/>
      </w:pPr>
      <w:r>
        <w:rPr>
          <w:b/>
        </w:rPr>
        <w:t xml:space="preserve">5.6  </w:t>
      </w:r>
      <w:r>
        <w:t>Herdeiros, Sucessores, Espólio, Cônjuge e Companheiro. Em caso de morte, incapacidade ou falência do Administrador Segurado, a cobertura beneficia seu espólio, herdeiros e representantes legais, bem como o cônjuge ou companheiro, em relação a bens comuns, até o LMI, sem sublimite específico.</w:t>
      </w:r>
    </w:p>
    <w:p>
      <w:pPr>
        <w:ind w:left="624" w:hanging="624"/>
        <w:jc w:val="both"/>
      </w:pPr>
      <w:r>
        <w:rPr>
          <w:b/>
        </w:rPr>
        <w:t xml:space="preserve">5.7  </w:t>
      </w:r>
      <w:r>
        <w:t>As coberturas a seguir constam destas Condições Gerais apenas como opção. Não foram contratadas, não integram a Especificação e só passarão a vigorar mediante endosso específico e pagamento de prêmio adicional. A menção ao termo nestas Condições Gerais não gera direito a indenização:</w:t>
      </w:r>
    </w:p>
    <w:p>
      <w:pPr>
        <w:ind w:left="907"/>
        <w:jc w:val="both"/>
      </w:pPr>
      <w:r>
        <w:t>a) Diretor de Entidade Externa.</w:t>
      </w:r>
    </w:p>
    <w:p>
      <w:pPr>
        <w:ind w:left="907"/>
        <w:jc w:val="both"/>
      </w:pPr>
      <w:r>
        <w:t>b) Extradição.</w:t>
      </w:r>
    </w:p>
    <w:p>
      <w:pPr>
        <w:ind w:left="907"/>
        <w:jc w:val="both"/>
      </w:pPr>
      <w:r>
        <w:t>c) Avalistas, Fiadores e Fiel Depositário.</w:t>
      </w:r>
    </w:p>
    <w:p>
      <w:pPr>
        <w:ind w:left="907"/>
        <w:jc w:val="both"/>
      </w:pPr>
      <w:r>
        <w:t>d) Inabilitação de Segurado.</w:t>
      </w:r>
    </w:p>
    <w:p>
      <w:pPr>
        <w:ind w:left="907"/>
        <w:jc w:val="both"/>
      </w:pPr>
      <w:r>
        <w:t>e) Proteção da Imagem Pessoal e Relações Públicas.</w:t>
      </w:r>
    </w:p>
    <w:p>
      <w:pPr>
        <w:ind w:left="907"/>
        <w:jc w:val="both"/>
      </w:pPr>
      <w:r>
        <w:t>f) Advogados Internos.</w:t>
      </w:r>
    </w:p>
    <w:p>
      <w:pPr>
        <w:ind w:left="907"/>
        <w:jc w:val="both"/>
      </w:pPr>
      <w:r>
        <w:t>g) Contadores, Gerentes de Riscos e Auditores Internos.</w:t>
      </w:r>
    </w:p>
    <w:p>
      <w:pPr>
        <w:ind w:left="907"/>
        <w:jc w:val="both"/>
      </w:pPr>
      <w:r>
        <w:t>h) Eventos Extraordinários com Reguladores.</w:t>
      </w:r>
    </w:p>
    <w:p>
      <w:pPr>
        <w:ind w:left="907"/>
        <w:jc w:val="both"/>
      </w:pPr>
      <w:r>
        <w:t>i) Gerenciamento de Crise.</w:t>
      </w:r>
    </w:p>
    <w:p>
      <w:pPr>
        <w:ind w:left="907"/>
        <w:jc w:val="both"/>
      </w:pPr>
      <w:r>
        <w:t>j) Responsabilidade Solidária sobre Bens.</w:t>
      </w:r>
    </w:p>
    <w:p>
      <w:pPr>
        <w:ind w:left="907"/>
        <w:jc w:val="both"/>
      </w:pPr>
      <w:r>
        <w:t>k) Reclamações da Sociedade, Acionistas ou Sócios contra o Segurado.</w:t>
      </w:r>
    </w:p>
    <w:p>
      <w:pPr>
        <w:pStyle w:val="Heading2"/>
      </w:pPr>
      <w:r>
        <w:t>CLÁUSULA 6 – LIMITES, SUBLIMITES, FRANQUIA E EROSÃO</w:t>
      </w:r>
    </w:p>
    <w:p>
      <w:pPr>
        <w:ind w:left="624" w:hanging="624"/>
        <w:jc w:val="both"/>
      </w:pPr>
      <w:r>
        <w:rPr>
          <w:b/>
        </w:rPr>
        <w:t xml:space="preserve">6.1  </w:t>
      </w:r>
      <w:r>
        <w:t>O LMI é o valor máximo agregado que a Seguradora pagará na vigência, incluindo o Prazo Complementar, para todas as Reclamações, Perdas e coberturas, independentemente do número de Segurados, Reclamações ou reclamantes.</w:t>
      </w:r>
    </w:p>
    <w:p>
      <w:pPr>
        <w:ind w:left="624" w:hanging="624"/>
        <w:jc w:val="both"/>
      </w:pPr>
      <w:r>
        <w:rPr>
          <w:b/>
        </w:rPr>
        <w:t xml:space="preserve">6.2  </w:t>
      </w:r>
      <w:r>
        <w:t>Sublimites, quando indicados no Quadro 2, são agregados por vigência, integram o LMI e não se somam a ele. O pagamento de um sublimite erode o LMI.</w:t>
      </w:r>
    </w:p>
    <w:p>
      <w:pPr>
        <w:ind w:left="624" w:hanging="624"/>
        <w:jc w:val="both"/>
      </w:pPr>
      <w:r>
        <w:rPr>
          <w:b/>
        </w:rPr>
        <w:t xml:space="preserve">6.3  </w:t>
      </w:r>
      <w:r>
        <w:t>A Franquia do Quadro 3 é deduzida de cada Reclamação. Quando mais de uma Franquia for aplicável a um mesmo Sinistro, prevalecerá a maior. Não se aplica Franquia aos Custos de Defesa da Garantia A.</w:t>
      </w:r>
    </w:p>
    <w:p>
      <w:pPr>
        <w:ind w:left="624" w:hanging="624"/>
        <w:jc w:val="both"/>
      </w:pPr>
      <w:r>
        <w:rPr>
          <w:b/>
        </w:rPr>
        <w:t xml:space="preserve">6.4  </w:t>
      </w:r>
      <w:r>
        <w:t>Ordem de pagamento. Existindo Reclamações simultâneas, a Seguradora pagará primeiro as Perdas Indenizáveis da Garantia A, depois as da Garantia B e, por último, as demais coberturas, podendo suspender pagamentos da Garantia B ou da Garantia C, para não comprometer o LMI em prejuízo dos Administradores Segurados.</w:t>
      </w:r>
    </w:p>
    <w:p>
      <w:pPr>
        <w:ind w:left="624" w:hanging="624"/>
        <w:jc w:val="both"/>
      </w:pPr>
      <w:r>
        <w:rPr>
          <w:b/>
        </w:rPr>
        <w:t xml:space="preserve">6.5  </w:t>
      </w:r>
      <w:r>
        <w:t>Esgotado o LMI, cessam todas as obrigações da Seguradora, inclusive o adiantamento de Custos de Defesa, salvo o Limite adicional da Garantia A, se contratado.</w:t>
      </w:r>
    </w:p>
    <w:p>
      <w:pPr>
        <w:ind w:left="624" w:hanging="624"/>
        <w:jc w:val="both"/>
      </w:pPr>
      <w:r>
        <w:rPr>
          <w:b/>
        </w:rPr>
        <w:t xml:space="preserve">6.6  </w:t>
      </w:r>
      <w:r>
        <w:t>Não há reinstalação de limite nem limite adicional exclusivo da Garantia A.</w:t>
      </w:r>
    </w:p>
    <w:p>
      <w:pPr>
        <w:pStyle w:val="Heading2"/>
      </w:pPr>
      <w:r>
        <w:t>CLÁUSULA 7 – VIGÊNCIA, RETROATIVIDADE, PRAZO COMPLEMENTAR E SUPLEMENTAR</w:t>
      </w:r>
    </w:p>
    <w:p>
      <w:pPr>
        <w:ind w:left="624" w:hanging="624"/>
        <w:jc w:val="both"/>
      </w:pPr>
      <w:r>
        <w:rPr>
          <w:b/>
        </w:rPr>
        <w:t xml:space="preserve">7.1  </w:t>
      </w:r>
      <w:r>
        <w:t>A vigência da apólice é a indicada na capa, com início e término às 24 horas das datas ali informadas.</w:t>
      </w:r>
    </w:p>
    <w:p>
      <w:pPr>
        <w:ind w:left="624" w:hanging="624"/>
        <w:jc w:val="both"/>
      </w:pPr>
      <w:r>
        <w:rPr>
          <w:b/>
        </w:rPr>
        <w:t xml:space="preserve">7.2  </w:t>
      </w:r>
      <w:r>
        <w:t>Retroatividade datada. Somente estão cobertas Reclamações por Ato de Gestão Danoso praticado em ou após 01/03/2021 (início do primeiro seguro D&amp;O contínuo da Contratante). Não se cobrem atos anteriores, ainda que desconhecidos, nem atos praticados por sociedades adquiridas antes de sua aquisição pelo Contratante.</w:t>
      </w:r>
    </w:p>
    <w:p>
      <w:pPr>
        <w:ind w:left="624" w:hanging="624"/>
        <w:jc w:val="both"/>
      </w:pPr>
      <w:r>
        <w:rPr>
          <w:b/>
        </w:rPr>
        <w:t xml:space="preserve">7.3  </w:t>
      </w:r>
      <w:r>
        <w:t>Prazo Complementar. Em caso de cancelamento por iniciativa da Seguradora, ou de não renovação sem substituição por apólice que preserve a retroatividade, aplica-se automaticamente, sem cobrança de prêmio adicional, Prazo Complementar de 12 (doze) meses, para Reclamações por atos anteriores ao término da vigência, notificadas nos termos da Cláusula 11.</w:t>
      </w:r>
    </w:p>
    <w:p>
      <w:pPr>
        <w:ind w:left="624" w:hanging="624"/>
        <w:jc w:val="both"/>
      </w:pPr>
      <w:r>
        <w:rPr>
          <w:b/>
        </w:rPr>
        <w:t xml:space="preserve">7.4  </w:t>
      </w:r>
      <w:r>
        <w:t>Prazo Suplementar. Esta apólice não oferece Prazo Suplementar ou extensão contratável pós-vigência. Encerrado o Prazo Complementar, cessa qualquer cobertura.</w:t>
      </w:r>
    </w:p>
    <w:p>
      <w:pPr>
        <w:ind w:left="624" w:hanging="624"/>
        <w:jc w:val="both"/>
      </w:pPr>
      <w:r>
        <w:rPr>
          <w:b/>
        </w:rPr>
        <w:t xml:space="preserve">7.5  </w:t>
      </w:r>
      <w:r>
        <w:t>Segurados aposentados. Não há prazo especial para segurados aposentados; aplica-se o Prazo Complementar geral, salvo endosso.</w:t>
      </w:r>
    </w:p>
    <w:p>
      <w:pPr>
        <w:ind w:left="624" w:hanging="624"/>
        <w:jc w:val="both"/>
      </w:pPr>
      <w:r>
        <w:rPr>
          <w:b/>
        </w:rPr>
        <w:t xml:space="preserve">7.6  </w:t>
      </w:r>
      <w:r>
        <w:t>Demissão voluntária e desligamento. Não há prazo especial para demissão voluntária e desligamento; aplica-se o Prazo Complementar geral, salvo endosso.</w:t>
      </w:r>
    </w:p>
    <w:p>
      <w:pPr>
        <w:pStyle w:val="Heading2"/>
      </w:pPr>
      <w:r>
        <w:t>CLÁUSULA 8 – ÂMBITO TERRITORIAL E JURISDIÇÃO</w:t>
      </w:r>
    </w:p>
    <w:p>
      <w:pPr>
        <w:ind w:left="624" w:hanging="624"/>
        <w:jc w:val="both"/>
      </w:pPr>
      <w:r>
        <w:rPr>
          <w:b/>
        </w:rPr>
        <w:t xml:space="preserve">8.1  </w:t>
      </w:r>
      <w:r>
        <w:t>A cobertura vale para Reclamações apresentadas no território brasileiro. Reclamações apresentadas fora do Brasil não estão cobertas.</w:t>
      </w:r>
    </w:p>
    <w:p>
      <w:pPr>
        <w:ind w:left="624" w:hanging="624"/>
        <w:jc w:val="both"/>
      </w:pPr>
      <w:r>
        <w:rPr>
          <w:b/>
        </w:rPr>
        <w:t xml:space="preserve">8.2  </w:t>
      </w:r>
      <w:r>
        <w:t>Jurisdição: Exclusivamente tribunais e câmaras arbitrais brasileiros.</w:t>
      </w:r>
    </w:p>
    <w:p>
      <w:pPr>
        <w:ind w:left="624" w:hanging="624"/>
        <w:jc w:val="both"/>
      </w:pPr>
      <w:r>
        <w:rPr>
          <w:b/>
        </w:rPr>
        <w:t xml:space="preserve">8.3  </w:t>
      </w:r>
      <w:r>
        <w:t>Sanções. A Seguradora não presta cobertura, nem paga sinistro ou benefício, se isso a expuser a sanção, proibição ou restrição decorrente de resoluções da ONU, ou de leis de sanções econômicas ou comerciais do Brasil, da União Europeia, do Reino Unido ou dos Estados Unidos da América.</w:t>
      </w:r>
    </w:p>
    <w:p>
      <w:pPr>
        <w:pStyle w:val="Heading2"/>
      </w:pPr>
      <w:r>
        <w:t>CLÁUSULA 9 – EXCLUSÕES GERAIS</w:t>
      </w:r>
    </w:p>
    <w:p>
      <w:pPr>
        <w:ind w:left="624" w:hanging="624"/>
        <w:jc w:val="both"/>
      </w:pPr>
      <w:r>
        <w:rPr>
          <w:b/>
        </w:rPr>
        <w:t xml:space="preserve">9.1  </w:t>
      </w:r>
      <w:r>
        <w:t>Além dos riscos excluídos por lei, a Seguradora não responde por Reclamações, Perdas Indenizáveis ou Custos de Defesa:</w:t>
      </w:r>
    </w:p>
    <w:p>
      <w:pPr>
        <w:ind w:left="907"/>
        <w:jc w:val="both"/>
      </w:pPr>
      <w:r>
        <w:t>a) decorrentes de ato doloso, fraude, ato de improbidade ou vantagem pessoal indevida do Administrador Segurado, reconhecidos em decisão judicial ou arbitral definitiva. Até a decisão, os Custos de Defesa serão adiantados, com restituição posterior;</w:t>
      </w:r>
    </w:p>
    <w:p>
      <w:pPr>
        <w:ind w:left="907"/>
        <w:jc w:val="both"/>
      </w:pPr>
      <w:r>
        <w:t>b) por lucro, remuneração ou vantagem a que o Administrador Segurado não tinha direito legal, inclusive operações com partes relacionadas em condições não equitativas;</w:t>
      </w:r>
    </w:p>
    <w:p>
      <w:pPr>
        <w:ind w:left="907"/>
        <w:jc w:val="both"/>
      </w:pPr>
      <w:r>
        <w:t>c) fundadas em fatos, atos ou Circunstâncias conhecidos pelo Contratante ou pelo Administrador Segurado antes do início da vigência, ou já notificados a outra apólice;</w:t>
      </w:r>
    </w:p>
    <w:p>
      <w:pPr>
        <w:ind w:left="907"/>
        <w:jc w:val="both"/>
      </w:pPr>
      <w:r>
        <w:t>d) decorrentes de processo judicial, arbitral ou administrativo pendente, ou de litígio anterior, ou de fatos neles alegados;</w:t>
      </w:r>
    </w:p>
    <w:p>
      <w:pPr>
        <w:ind w:left="907"/>
        <w:jc w:val="both"/>
      </w:pPr>
      <w:r>
        <w:t>e) por guerra, invasão, atos de inimigo estrangeiro, guerra civil, terrorismo, radiação, contaminação nuclear ou reação nuclear;</w:t>
      </w:r>
    </w:p>
    <w:p>
      <w:pPr>
        <w:ind w:left="907"/>
        <w:jc w:val="both"/>
      </w:pPr>
      <w:r>
        <w:t>f) por responsabilidade assumida por contrato, garantia ou promessa, salvo se a responsabilidade existisse independentemente do contrato;</w:t>
      </w:r>
    </w:p>
    <w:p>
      <w:pPr>
        <w:ind w:left="907"/>
        <w:jc w:val="both"/>
      </w:pPr>
      <w:r>
        <w:t>g) por Reclamação relativa a benefícios de previdência complementar, Lei ERISA ou administração de plano de benefícios;</w:t>
      </w:r>
    </w:p>
    <w:p>
      <w:pPr>
        <w:ind w:left="907"/>
        <w:jc w:val="both"/>
      </w:pPr>
      <w:r>
        <w:t>h) por multa, sanção ou penalidade que a lei proíba segurar, ou de caráter punitivo ou exemplar;</w:t>
      </w:r>
    </w:p>
    <w:p>
      <w:pPr>
        <w:ind w:left="907"/>
        <w:jc w:val="both"/>
      </w:pPr>
      <w:r>
        <w:t>i) por descumprimento de obrigação de pagar prêmios, tributos, encargos ou verbas trabalhistas próprios do Contratante;</w:t>
      </w:r>
    </w:p>
    <w:p>
      <w:pPr>
        <w:ind w:left="907"/>
        <w:jc w:val="both"/>
      </w:pPr>
      <w:r>
        <w:t>j) por propriedade intelectual, patentes, marcas, segredos industriais ou direitos autorais, salvo Custos de Defesa;</w:t>
      </w:r>
    </w:p>
    <w:p>
      <w:pPr>
        <w:ind w:left="907"/>
        <w:jc w:val="both"/>
      </w:pPr>
      <w:r>
        <w:t>k) por atos do Administrador Segurado em outra sociedade não indicada como Subsidiária ou Entidade Externa coberta;</w:t>
      </w:r>
    </w:p>
    <w:p>
      <w:pPr>
        <w:ind w:left="907"/>
        <w:jc w:val="both"/>
      </w:pPr>
      <w:r>
        <w:t>l) por Reclamação apresentada em jurisdição ou por pessoa sujeita a sanção que impeça o pagamento (Cláusula 8).</w:t>
      </w:r>
    </w:p>
    <w:p>
      <w:pPr>
        <w:ind w:left="624" w:hanging="624"/>
        <w:jc w:val="both"/>
      </w:pPr>
      <w:r>
        <w:rPr>
          <w:b/>
        </w:rPr>
        <w:t xml:space="preserve">9.2  </w:t>
      </w:r>
      <w:r>
        <w:t>Sócio controlador. Ficam excluídas as Reclamações movidas por sócio ou acionista titular de 10% (dez por cento) ou mais do capital da Contratante, ou por seus parentes até o segundo grau, salvo Custos de Defesa da Garantia A.</w:t>
      </w:r>
    </w:p>
    <w:p>
      <w:pPr>
        <w:pStyle w:val="Heading2"/>
      </w:pPr>
      <w:r>
        <w:t>CLÁUSULA 10 – EXCLUSÕES ESPECÍFICAS</w:t>
      </w:r>
    </w:p>
    <w:p>
      <w:pPr>
        <w:ind w:left="624" w:hanging="624"/>
        <w:jc w:val="both"/>
      </w:pPr>
      <w:r>
        <w:rPr>
          <w:b/>
        </w:rPr>
        <w:t xml:space="preserve">10.1  </w:t>
      </w:r>
      <w:r>
        <w:t>Poluição. Fica excluída, de forma absoluta, toda Reclamação direta ou indiretamente decorrente de, baseada em, atribuível a ou relacionada com poluição, contaminação, emissão, descarga, dispersão, liberação ou vazamento de Poluentes, real, suposto ou ameaçado, bem como qualquer ordem, exigência ou pedido de limpeza, remoção, remediação, contenção ou tratamento de Poluentes.</w:t>
      </w:r>
    </w:p>
    <w:p>
      <w:pPr>
        <w:ind w:left="624" w:hanging="624"/>
        <w:jc w:val="both"/>
      </w:pPr>
      <w:r>
        <w:rPr>
          <w:b/>
        </w:rPr>
        <w:t xml:space="preserve">10.2  </w:t>
      </w:r>
      <w:r>
        <w:t>A exclusão do item anterior prevalece sobre qualquer outra disposição desta apólice e alcança, inclusive, os Custos de Defesa, as Coberturas A e B e qualquer endosso, ainda que a Reclamação seja fundada em falha de gestão, de supervisão ou de divulgação de informações sobre o risco ambiental.</w:t>
      </w:r>
    </w:p>
    <w:p>
      <w:pPr>
        <w:ind w:left="624" w:hanging="624"/>
        <w:jc w:val="both"/>
      </w:pPr>
      <w:r>
        <w:rPr>
          <w:b/>
        </w:rPr>
        <w:t xml:space="preserve">10.3  </w:t>
      </w:r>
      <w:r>
        <w:t>Multas e Penalidades. Ficam excluídas multas, penalidades e sanções pecuniárias de qualquer natureza impostas ao Administrador Segurado, restando garantidos apenas os Custos de Defesa do respectivo processo, se contratados.</w:t>
      </w:r>
    </w:p>
    <w:p>
      <w:pPr>
        <w:ind w:left="624" w:hanging="624"/>
        <w:jc w:val="both"/>
      </w:pPr>
      <w:r>
        <w:rPr>
          <w:b/>
        </w:rPr>
        <w:t xml:space="preserve">10.4  </w:t>
      </w:r>
      <w:r>
        <w:t>Danos Corporais. Ficam excluídas Reclamações por lesão corporal, doença, sofrimento físico ou morte de qualquer pessoa, salvo Custos de Defesa se houver sublimite indicado no Quadro 2.</w:t>
      </w:r>
    </w:p>
    <w:p>
      <w:pPr>
        <w:ind w:left="624" w:hanging="624"/>
        <w:jc w:val="both"/>
      </w:pPr>
      <w:r>
        <w:rPr>
          <w:b/>
        </w:rPr>
        <w:t xml:space="preserve">10.5  </w:t>
      </w:r>
      <w:r>
        <w:t>Danos Materiais. Ficam excluídas Reclamações por danos ou perda de bens tangíveis, inclusive sua privação de uso, salvo Custos de Defesa se houver sublimite indicado no Quadro 2.</w:t>
      </w:r>
    </w:p>
    <w:p>
      <w:pPr>
        <w:ind w:left="624" w:hanging="624"/>
        <w:jc w:val="both"/>
      </w:pPr>
      <w:r>
        <w:rPr>
          <w:b/>
        </w:rPr>
        <w:t xml:space="preserve">10.6  </w:t>
      </w:r>
      <w:r>
        <w:t>Erros e Omissões – Prestação de Serviços Profissionais. Ficam excluídas Reclamações decorrentes da prestação ou da omissão de prestação de serviços profissionais a terceiros, em qualquer atividade (erros e omissões), ressalvada a cobertura de administradores por falha de supervisão, se contratada.</w:t>
      </w:r>
    </w:p>
    <w:p>
      <w:pPr>
        <w:ind w:left="624" w:hanging="624"/>
        <w:jc w:val="both"/>
      </w:pPr>
      <w:r>
        <w:rPr>
          <w:b/>
        </w:rPr>
        <w:t xml:space="preserve">10.7  </w:t>
      </w:r>
      <w:r>
        <w:t>Reclamações entre Segurados. Ficam excluídas as Reclamações apresentadas por um Administrador Segurado contra outro Administrador Segurado, salvo as originadas de denúncia de irregularidade (whistleblower) ou de ação derivada.</w:t>
      </w:r>
    </w:p>
    <w:p>
      <w:pPr>
        <w:ind w:left="624" w:hanging="624"/>
        <w:jc w:val="both"/>
      </w:pPr>
      <w:r>
        <w:rPr>
          <w:b/>
        </w:rPr>
        <w:t xml:space="preserve">10.8  </w:t>
      </w:r>
      <w:r>
        <w:t>TAC, Termos de Compromisso e Acordos com Autoridades. Ficam excluídos os valores pagos em TAC, TC, acordos de leniência e congêneres.</w:t>
      </w:r>
    </w:p>
    <w:p>
      <w:pPr>
        <w:ind w:left="624" w:hanging="624"/>
        <w:jc w:val="both"/>
      </w:pPr>
      <w:r>
        <w:rPr>
          <w:b/>
        </w:rPr>
        <w:t xml:space="preserve">10.9  </w:t>
      </w:r>
      <w:r>
        <w:t>Atos Lesivos à Administração Pública (Lei 12.846/2013). Ficam excluídas Reclamações e Investigações relacionadas a Atos Lesivos à Administração Pública, corrupção, suborno ou lavagem de dinheiro, inclusive os Custos de Defesa, até decisão final que afaste a ocorrência.</w:t>
      </w:r>
    </w:p>
    <w:p>
      <w:pPr>
        <w:ind w:left="624" w:hanging="624"/>
        <w:jc w:val="both"/>
      </w:pPr>
      <w:r>
        <w:rPr>
          <w:b/>
        </w:rPr>
        <w:t xml:space="preserve">10.10  </w:t>
      </w:r>
      <w:r>
        <w:t>Processos no Exterior. Ficam excluídas Reclamações e Investigações apresentadas ou processadas fora do território brasileiro, ainda que decorrentes de Ato de Gestão Danoso praticado no Brasil.</w:t>
      </w:r>
    </w:p>
    <w:p>
      <w:pPr>
        <w:ind w:left="624" w:hanging="624"/>
        <w:jc w:val="both"/>
      </w:pPr>
      <w:r>
        <w:rPr>
          <w:b/>
        </w:rPr>
        <w:t xml:space="preserve">10.11  </w:t>
      </w:r>
      <w:r>
        <w:t>Dados e sistemas. Ficam excluídas Reclamações por violação de segurança de sistemas, vazamento ou tratamento indevido de dados pessoais (Lei 13.709/2018 – LGPD), ataque cibernético e falha de tecnologia, salvo Custos de Defesa do Administrador Segurado pela Garantia A, quando decorrentes de falha de supervisão da administração.</w:t>
      </w:r>
    </w:p>
    <w:p>
      <w:pPr>
        <w:ind w:left="624" w:hanging="624"/>
        <w:jc w:val="both"/>
      </w:pPr>
      <w:r>
        <w:rPr>
          <w:b/>
        </w:rPr>
        <w:t xml:space="preserve">10.12  </w:t>
      </w:r>
      <w:r>
        <w:t>Valores mobiliários. Não estão cobertas Reclamações relativas à oferta pública ou privada de valores mobiliários do Contratante, ressalvada a Garantia A do Administrador Segurado.</w:t>
      </w:r>
    </w:p>
    <w:p>
      <w:pPr>
        <w:pStyle w:val="Heading2"/>
      </w:pPr>
      <w:r>
        <w:t>CLÁUSULA 11 – NOTIFICAÇÃO DE RECLAMAÇÕES E CIRCUNSTÂNCIAS</w:t>
      </w:r>
    </w:p>
    <w:p>
      <w:pPr>
        <w:ind w:left="624" w:hanging="624"/>
        <w:jc w:val="both"/>
      </w:pPr>
      <w:r>
        <w:rPr>
          <w:b/>
        </w:rPr>
        <w:t xml:space="preserve">11.1  </w:t>
      </w:r>
      <w:r>
        <w:t>O Contratante ou o Administrador Segurado deverá notificar a Seguradora, por escrito, de qualquer Reclamação assim que dela tomar conhecimento e em até 60 (sessenta) dias, e sempre até o fim da vigência ou do Prazo Complementar, o que ocorrer primeiro.</w:t>
      </w:r>
    </w:p>
    <w:p>
      <w:pPr>
        <w:ind w:left="624" w:hanging="624"/>
        <w:jc w:val="both"/>
      </w:pPr>
      <w:r>
        <w:rPr>
          <w:b/>
        </w:rPr>
        <w:t xml:space="preserve">11.2  </w:t>
      </w:r>
      <w:r>
        <w:t>Notificação de Circunstâncias. Se, durante a vigência, o Contratante ou o Administrador Segurado tiver conhecimento de Circunstância que possa originar Reclamação, poderá notificá-la à Seguradora com descrição dos fatos, das pessoas envolvidas, da data e dos possíveis reclamantes. A Reclamação posterior será tratada como apresentada na vigência em que a Circunstância foi notificada.</w:t>
      </w:r>
    </w:p>
    <w:p>
      <w:pPr>
        <w:ind w:left="624" w:hanging="624"/>
        <w:jc w:val="both"/>
      </w:pPr>
      <w:r>
        <w:rPr>
          <w:b/>
        </w:rPr>
        <w:t xml:space="preserve">11.3  </w:t>
      </w:r>
      <w:r>
        <w:t>A notificação tardia não prejudica a cobertura se realizada dentro da vigência ou do Prazo Complementar, mas a Seguradora não responde por Custos de Defesa incorridos antes da notificação sem sua anuência.</w:t>
      </w:r>
    </w:p>
    <w:p>
      <w:pPr>
        <w:pStyle w:val="Heading2"/>
      </w:pPr>
      <w:r>
        <w:t>CLÁUSULA 12 – SINISTRO, DEFESA E COOPERAÇÃO</w:t>
      </w:r>
    </w:p>
    <w:p>
      <w:pPr>
        <w:ind w:left="624" w:hanging="624"/>
        <w:jc w:val="both"/>
      </w:pPr>
      <w:r>
        <w:rPr>
          <w:b/>
        </w:rPr>
        <w:t xml:space="preserve">12.1  </w:t>
      </w:r>
      <w:r>
        <w:t>O Administrador Segurado e o Contratante cooperarão com a Seguradora, fornecendo documentos e informações, e não admitirão responsabilidade, não firmarão acordo nem incorrerão em despesas sem prévia anuência da Seguradora, que não a negará sem justo motivo.</w:t>
      </w:r>
    </w:p>
    <w:p>
      <w:pPr>
        <w:ind w:left="624" w:hanging="624"/>
        <w:jc w:val="both"/>
      </w:pPr>
      <w:r>
        <w:rPr>
          <w:b/>
        </w:rPr>
        <w:t xml:space="preserve">12.2  </w:t>
      </w:r>
      <w:r>
        <w:t>A Seguradora tem o direito de participar da defesa e das negociações. Se o Administrador Segurado recusar acordo recomendado pela Seguradora e aceito pelo reclamante, a Seguradora responde apenas até o valor do acordo recusado mais os Custos de Defesa razoáveis até então incorridos.</w:t>
      </w:r>
    </w:p>
    <w:p>
      <w:pPr>
        <w:ind w:left="624" w:hanging="624"/>
        <w:jc w:val="both"/>
      </w:pPr>
      <w:r>
        <w:rPr>
          <w:b/>
        </w:rPr>
        <w:t xml:space="preserve">12.3  </w:t>
      </w:r>
      <w:r>
        <w:t>A Seguradora tem 30 (trinta) dias, contados da entrega de todos os documentos, para se manifestar sobre a cobertura. O pedido de documentos complementares suspende esse prazo uma única vez. O pagamento será feito em até 30 (trinta) dias da decisão, sob pena de atualização monetária pelo IPCA e juros moratórios de 1% (um por cento) ao mês.</w:t>
      </w:r>
    </w:p>
    <w:p>
      <w:pPr>
        <w:pStyle w:val="Heading2"/>
      </w:pPr>
      <w:r>
        <w:t>CLÁUSULA 13 – DIREITO DE REGRESSO E SUB-ROGAÇÃO</w:t>
      </w:r>
    </w:p>
    <w:p>
      <w:pPr>
        <w:ind w:left="624" w:hanging="624"/>
        <w:jc w:val="both"/>
      </w:pPr>
      <w:r>
        <w:rPr>
          <w:b/>
        </w:rPr>
        <w:t xml:space="preserve">13.1  </w:t>
      </w:r>
      <w:r>
        <w:t>Paga a indenização, a Seguradora fica sub-rogada, até o limite do valor pago, nos direitos e ações do Administrador Segurado ou do Contratante contra terceiros, nos termos do art. 786 do Código Civil, obrigando-se o Administrador Segurado a colaborar e a não praticar ato que os prejudique.</w:t>
      </w:r>
    </w:p>
    <w:p>
      <w:pPr>
        <w:ind w:left="624" w:hanging="624"/>
        <w:jc w:val="both"/>
      </w:pPr>
      <w:r>
        <w:rPr>
          <w:b/>
        </w:rPr>
        <w:t xml:space="preserve">13.2  </w:t>
      </w:r>
      <w:r>
        <w:t>A Seguradora não exercerá direito de regresso contra o Administrador Segurado, exceto se a Reclamação for excluída por dolo ou fraude, hipótese em que poderá cobrar os valores pagos, atualizados. Não haverá regresso contra o Administrador Segurado por culpa, ainda que grave.</w:t>
      </w:r>
    </w:p>
    <w:p>
      <w:pPr>
        <w:ind w:left="624" w:hanging="624"/>
        <w:jc w:val="both"/>
      </w:pPr>
      <w:r>
        <w:rPr>
          <w:b/>
        </w:rPr>
        <w:t xml:space="preserve">13.3  </w:t>
      </w:r>
      <w:r>
        <w:t>Também não haverá sub-rogação contra herdeiros, cônjuge ou companheiro do Administrador Segurado, salvo nas hipóteses de dolo ou fraude.</w:t>
      </w:r>
    </w:p>
    <w:p>
      <w:pPr>
        <w:pStyle w:val="Heading2"/>
      </w:pPr>
      <w:r>
        <w:t>CLÁUSULA 14 – RATEIO, ALOCAÇÃO E OUTROS SEGUROS</w:t>
      </w:r>
    </w:p>
    <w:p>
      <w:pPr>
        <w:ind w:left="624" w:hanging="624"/>
        <w:jc w:val="both"/>
      </w:pPr>
      <w:r>
        <w:rPr>
          <w:b/>
        </w:rPr>
        <w:t xml:space="preserve">14.1  </w:t>
      </w:r>
      <w:r>
        <w:t>Quando a Reclamação envolver Perdas cobertas e não cobertas, ou Segurados cobertos e não cobertos, aplicar-se-á alocação justa e proporcional às exposições, envidando as partes seus melhores esforços para acordá-la. Os Custos de Defesa serão alocados integralmente à parte coberta quando a defesa beneficiar ambas.</w:t>
      </w:r>
    </w:p>
    <w:p>
      <w:pPr>
        <w:ind w:left="624" w:hanging="624"/>
        <w:jc w:val="both"/>
      </w:pPr>
      <w:r>
        <w:rPr>
          <w:b/>
        </w:rPr>
        <w:t xml:space="preserve">14.2  </w:t>
      </w:r>
      <w:r>
        <w:t>Este seguro é excedente a qualquer outro seguro válido e cobrável, inclusive de Entidade Externa, salvo o seguro contratado especificamente como excedente desta apólice.</w:t>
      </w:r>
    </w:p>
    <w:p>
      <w:pPr>
        <w:ind w:left="624" w:hanging="624"/>
        <w:jc w:val="both"/>
      </w:pPr>
      <w:r>
        <w:rPr>
          <w:b/>
        </w:rPr>
        <w:t xml:space="preserve">14.3  </w:t>
      </w:r>
      <w:r>
        <w:t>Havendo mais de uma apólice da Seguradora que cubra a mesma Reclamação, a responsabilidade total da Seguradora não excederá o maior limite aplicável.</w:t>
      </w:r>
    </w:p>
    <w:p>
      <w:pPr>
        <w:pStyle w:val="Heading2"/>
      </w:pPr>
      <w:r>
        <w:t>CLÁUSULA 15 – DECLARAÇÕES, AGRAVAMENTO DO RISCO E PERDA DE DIREITOS</w:t>
      </w:r>
    </w:p>
    <w:p>
      <w:pPr>
        <w:ind w:left="624" w:hanging="624"/>
        <w:jc w:val="both"/>
      </w:pPr>
      <w:r>
        <w:rPr>
          <w:b/>
        </w:rPr>
        <w:t xml:space="preserve">15.1  </w:t>
      </w:r>
      <w:r>
        <w:t>O Contratante e o Administrador Segurado declaram ser verdadeiras as informações da proposta, base desta apólice. Nos termos dos arts. 765 e 766 do Código Civil, a omissão ou inexatidão de má-fé, ou que influa na aceitação ou no prêmio, implica perda do direito à garantia. Se sem má-fé, a indenização será reduzida proporcionalmente à diferença de prêmio.</w:t>
      </w:r>
    </w:p>
    <w:p>
      <w:pPr>
        <w:ind w:left="624" w:hanging="624"/>
        <w:jc w:val="both"/>
      </w:pPr>
      <w:r>
        <w:rPr>
          <w:b/>
        </w:rPr>
        <w:t xml:space="preserve">15.2  </w:t>
      </w:r>
      <w:r>
        <w:t>O Contratante comunicará à Seguradora, em até 15 (quinze) dias, fusão, incorporação, cisão, alienação de controle, liquidação, recuperação judicial ou extrajudicial ou falência, de que resulte mudança do risco, nos termos do art. 769 do Código Civil.</w:t>
      </w:r>
    </w:p>
    <w:p>
      <w:pPr>
        <w:ind w:left="624" w:hanging="624"/>
        <w:jc w:val="both"/>
      </w:pPr>
      <w:r>
        <w:rPr>
          <w:b/>
        </w:rPr>
        <w:t xml:space="preserve">15.3  </w:t>
      </w:r>
      <w:r>
        <w:t>Perde direito à indenização quem agravar intencionalmente o risco, nos termos do art. 768 do Código Civil, ou quem prestar declaração falsa na notificação do Sinistro.</w:t>
      </w:r>
    </w:p>
    <w:p>
      <w:pPr>
        <w:pStyle w:val="Heading2"/>
      </w:pPr>
      <w:r>
        <w:t>CLÁUSULA 16 – PRÊMIO E PAGAMENTO</w:t>
      </w:r>
    </w:p>
    <w:p>
      <w:pPr>
        <w:ind w:left="624" w:hanging="624"/>
        <w:jc w:val="both"/>
      </w:pPr>
      <w:r>
        <w:rPr>
          <w:b/>
        </w:rPr>
        <w:t xml:space="preserve">16.1  </w:t>
      </w:r>
      <w:r>
        <w:t>O prêmio será pago em 6 parcelas mensais nas datas indicadas na proposta. O atraso de pagamento de qualquer parcela sujeita o valor a atualização monetária e juros de 1% (um por cento) ao mês e multa de 2% (dois por cento).</w:t>
      </w:r>
    </w:p>
    <w:p>
      <w:pPr>
        <w:ind w:left="624" w:hanging="624"/>
        <w:jc w:val="both"/>
      </w:pPr>
      <w:r>
        <w:rPr>
          <w:b/>
        </w:rPr>
        <w:t xml:space="preserve">16.2  </w:t>
      </w:r>
      <w:r>
        <w:t>A falta de pagamento de parcela, após notificação do Contratante, por 30 (trinta) dias, poderá levar ao cancelamento da apólice, conforme a Circular SUSEP nº 637/2021. Ocorrido o sinistro, as parcelas vincendas serão deduzidas da indenização.</w:t>
      </w:r>
    </w:p>
    <w:p>
      <w:pPr>
        <w:pStyle w:val="Heading2"/>
      </w:pPr>
      <w:r>
        <w:t>CLÁUSULA 17 – CANCELAMENTO E RENOVAÇÃO</w:t>
      </w:r>
    </w:p>
    <w:p>
      <w:pPr>
        <w:ind w:left="624" w:hanging="624"/>
        <w:jc w:val="both"/>
      </w:pPr>
      <w:r>
        <w:rPr>
          <w:b/>
        </w:rPr>
        <w:t xml:space="preserve">17.1  </w:t>
      </w:r>
      <w:r>
        <w:t>A apólice poderá ser cancelada pelo Contratante, a qualquer tempo, com devolução do prêmio proporcional ao prazo a decorrer, deduzida a parcela relativa às despesas de emissão, salvo se houver Reclamação notificada, caso em que o prêmio não será devolvido.</w:t>
      </w:r>
    </w:p>
    <w:p>
      <w:pPr>
        <w:ind w:left="624" w:hanging="624"/>
        <w:jc w:val="both"/>
      </w:pPr>
      <w:r>
        <w:rPr>
          <w:b/>
        </w:rPr>
        <w:t xml:space="preserve">17.2  </w:t>
      </w:r>
      <w:r>
        <w:t>A Seguradora somente poderá cancelar por falta de pagamento (Cláusula 16), por fraude ou por agravamento do risco (Cláusula 15), mediante aviso prévio de 30 (trinta) dias.</w:t>
      </w:r>
    </w:p>
    <w:p>
      <w:pPr>
        <w:ind w:left="624" w:hanging="624"/>
        <w:jc w:val="both"/>
      </w:pPr>
      <w:r>
        <w:rPr>
          <w:b/>
        </w:rPr>
        <w:t xml:space="preserve">17.3  </w:t>
      </w:r>
      <w:r>
        <w:t>A renovação depende de nova proposta e de aceitação pela Seguradora, que informará eventuais alterações com antecedência mínima de 60 (sessenta) dias. Não há renovação automática.</w:t>
      </w:r>
    </w:p>
    <w:p>
      <w:pPr>
        <w:pStyle w:val="Heading2"/>
      </w:pPr>
      <w:r>
        <w:t>CLÁUSULA 18 – PRESCRIÇÃO</w:t>
      </w:r>
    </w:p>
    <w:p>
      <w:pPr>
        <w:ind w:left="624" w:hanging="624"/>
        <w:jc w:val="both"/>
      </w:pPr>
      <w:r>
        <w:rPr>
          <w:b/>
        </w:rPr>
        <w:t xml:space="preserve">18.1  </w:t>
      </w:r>
      <w:r>
        <w:t>Os prazos prescricionais são os previstos em lei. A pretensão do Administrador Segurado ou do Contratante contra a Seguradora prescreve em 1 (um) ano, contado da ciência do fato gerador da pretensão (art. 206, § 1º, inciso II, do Código Civil).</w:t>
      </w:r>
    </w:p>
    <w:p>
      <w:pPr>
        <w:ind w:left="624" w:hanging="624"/>
        <w:jc w:val="both"/>
      </w:pPr>
      <w:r>
        <w:rPr>
          <w:b/>
        </w:rPr>
        <w:t xml:space="preserve">18.2  </w:t>
      </w:r>
      <w:r>
        <w:t>O pedido de indenização à Seguradora suspende o prazo prescricional até a ciência do Administrador Segurado ou do Contratante da decisão, nos termos da Súmula 229 do Superior Tribunal de Justiça.</w:t>
      </w:r>
    </w:p>
    <w:p>
      <w:pPr>
        <w:pStyle w:val="Heading2"/>
      </w:pPr>
      <w:r>
        <w:t>CLÁUSULA 19 – FORO</w:t>
      </w:r>
    </w:p>
    <w:p>
      <w:pPr>
        <w:ind w:left="624" w:hanging="624"/>
        <w:jc w:val="both"/>
      </w:pPr>
      <w:r>
        <w:rPr>
          <w:b/>
        </w:rPr>
        <w:t xml:space="preserve">19.1  </w:t>
      </w:r>
      <w:r>
        <w:t>As controvérsias decorrentes desta apólice serão submetidas ao foro do domicílio do Administrador Segurado ou do Contratante, com renúncia a qualquer outro. Na execução por uma das partes, será competente o foro de Belo Horizonte/MG.</w:t>
      </w:r>
    </w:p>
    <w:p>
      <w:pPr>
        <w:ind w:left="624" w:hanging="624"/>
        <w:jc w:val="both"/>
      </w:pPr>
      <w:r>
        <w:rPr>
          <w:b/>
        </w:rPr>
        <w:t xml:space="preserve">19.2  </w:t>
      </w:r>
      <w:r>
        <w:t>As partes poderão, de comum acordo e após a controvérsia, optar por mediação ou arbitragem.</w:t>
      </w:r>
    </w:p>
    <w:p>
      <w:pPr>
        <w:pStyle w:val="Heading2"/>
      </w:pPr>
      <w:r>
        <w:t>CLÁUSULA 20 – DISPOSIÇÕES FINAIS</w:t>
      </w:r>
    </w:p>
    <w:p>
      <w:pPr>
        <w:ind w:left="624" w:hanging="624"/>
        <w:jc w:val="both"/>
      </w:pPr>
      <w:r>
        <w:rPr>
          <w:b/>
        </w:rPr>
        <w:t xml:space="preserve">20.1  </w:t>
      </w:r>
      <w:r>
        <w:t>Os dados pessoais são tratados nos termos da Lei 13.709/2018 (LGPD), exclusivamente para a gestão desta apólice e de eventuais sinistros.</w:t>
      </w:r>
    </w:p>
    <w:p>
      <w:pPr>
        <w:ind w:left="624" w:hanging="624"/>
        <w:jc w:val="both"/>
      </w:pPr>
      <w:r>
        <w:rPr>
          <w:b/>
        </w:rPr>
        <w:t xml:space="preserve">20.2  </w:t>
      </w:r>
      <w:r>
        <w:t>Reclamações, dúvidas e sugestões: SAC da Seguradora e Ouvidoria (0800 600 3105, ouvidoria@boreal.example). Sem solução, o segurado pode consultar a SUSEP pelo telefone 0800 021 8484 ou em www.gov.br/susep.</w:t>
      </w:r>
    </w:p>
    <w:p>
      <w:pPr>
        <w:ind w:left="624" w:hanging="624"/>
        <w:jc w:val="both"/>
      </w:pPr>
      <w:r>
        <w:rPr>
          <w:b/>
        </w:rPr>
        <w:t xml:space="preserve">20.3  </w:t>
      </w:r>
      <w:r>
        <w:t>Corretor: Alvorada Corretagem de Seguros S/S Ltda.. O corretor indicado é o intermediário da contratação, sem poderes para alterar estas Condições.</w:t>
      </w:r>
    </w:p>
    <w:p>
      <w:r>
        <w:br w:type="page"/>
      </w:r>
    </w:p>
    <w:p>
      <w:pPr>
        <w:pStyle w:val="Heading1"/>
      </w:pPr>
      <w:r>
        <w:t>SEÇÃO III – ENDOSSOS E CLÁUSULAS ESPECIAIS</w:t>
      </w:r>
    </w:p>
    <w:p>
      <w:pPr>
        <w:pStyle w:val="Heading2"/>
      </w:pPr>
      <w:r>
        <w:t>ENDOSSO Nº 001 – CLÁUSULA DE SANÇÕES ECONÔMICAS</w:t>
      </w:r>
    </w:p>
    <w:p>
      <w:pPr>
        <w:jc w:val="both"/>
      </w:pPr>
      <w:r>
        <w:t>Fica entendido e acordado que nenhuma cobertura, pagamento de sinistro ou benefício será devido se sua prestação expuser a Seguradora, ou qualquer de suas resseguradoras, a sanção, proibição ou restrição imposta por resolução das Nações Unidas ou por leis e regulamentos de sanções econômicas ou comerciais aplicáveis.</w:t>
      </w:r>
    </w:p>
    <w:p>
      <w:pPr>
        <w:jc w:val="both"/>
      </w:pPr>
      <w:r>
        <w:t>Permanecem inalteradas as demais disposições da apólice não alteradas por este endosso.</w:t>
      </w:r>
    </w:p>
    <w:p>
      <w:pPr>
        <w:pStyle w:val="Heading2"/>
      </w:pPr>
      <w:r>
        <w:t>ENDOSSO Nº 002 – EXCLUSÃO DE DADOS PESSOAIS E SISTEMAS</w:t>
      </w:r>
    </w:p>
    <w:p>
      <w:pPr>
        <w:jc w:val="both"/>
      </w:pPr>
      <w:r>
        <w:t>Ficam excluídas Reclamações decorrentes de incidente de segurança, acesso indevido ou tratamento de dados pessoais, na forma da Lei 13.709/2018.</w:t>
      </w:r>
    </w:p>
    <w:p>
      <w:pPr>
        <w:pStyle w:val="Heading2"/>
      </w:pPr>
      <w:r>
        <w:t>ENDOSSO Nº 003 – EXCLUSÃO DE FATOS E PROCESSOS CONHECIDOS</w:t>
      </w:r>
    </w:p>
    <w:p>
      <w:pPr>
        <w:jc w:val="both"/>
      </w:pPr>
      <w:r>
        <w:t>Ficam excluídas, com efeito a partir de 01/10/2026, as Reclamações decorrentes de, baseadas em ou relacionadas com a ação trabalhista coletiva nº 0010455-82.2024.5.03.0055, em curso perante o TRT da 3ª Região, e a autuação fiscal nº 10680.720411/2024-19, bem como qualquer processo ou circunstância nele descrito, ainda que a Reclamação seja apresentada durante a vigência desta apólice.</w:t>
      </w:r>
    </w:p>
    <w:p>
      <w:pPr>
        <w:jc w:val="both"/>
      </w:pPr>
      <w:r>
        <w:t>Local e data: Belo Horizonte, 15/09/2026. Boreal Proteção Seguros S.A. – Diretoria Técnica. Corretor: Alvorada Corretagem de Seguros S/S Ltda..</w:t>
      </w:r>
    </w:p>
    <w:p>
      <w:r>
        <w:rPr>
          <w:color w:val="3B4A5A"/>
          <w:sz w:val="16"/>
        </w:rPr>
        <w:t>Nota final: esta apólice é fictícia e não tem valor contratual; foi criada apenas para testes do ClauseAI.</w:t>
      </w:r>
    </w:p>
    <w:sectPr w:rsidR="00FC693F" w:rsidRPr="0006063C" w:rsidSect="00034616">
      <w:headerReference w:type="default" r:id="rId4"/>
      <w:footerReference w:type="default" r:id="rId9"/>
      <w:pgSz w:w="11906" w:h="16838"/>
      <w:pgMar w:top="1361" w:right="1134" w:bottom="124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Boreal Proteção Seguros S.A. · Apólice nº BOR-0351-2026-004512 · Página </w:t>
    </w:r>
    <w:r>
      <w:rPr>
        <w:sz w:val="16"/>
      </w:rPr>
      <w:fldChar w:fldCharType="begin"/>
      <w:instrText xml:space="preserve"> PAGE </w:instrText>
      <w:fldChar w:fldCharType="separate"/>
      <w:t>1</w:t>
      <w:fldChar w:fldCharType="end"/>
    </w:r>
    <w:r>
      <w:rPr>
        <w:sz w:val="16"/>
      </w:rPr>
      <w:t xml:space="preserve"> de </w:t>
    </w:r>
    <w:r>
      <w:rPr>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BOREAL PROTEÇÃO SEGUROS S.A. · Seguro D&amp;O · Apólice nº BOR-0351-2026-004512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B4A5A"/>
      <w:sz w:val="28"/>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Arial" w:hAnsi="Arial"/>
      <w:b/>
      <w:bCs/>
      <w:color w:val="3B4A5A"/>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3B4A5A"/>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4"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Apólice D&amp;O BOR-0351-2026-004512</dc:title>
  <dc:subject>Seguro de Responsabilidade Civil de Administradores e Diretores (D&amp;O)</dc:subject>
  <dc:creator>Boreal Proteção Seguros S.A.</dc:creator>
  <cp:keywords/>
  <dc:description>generated by python-docx</dc:description>
  <cp:lastModifiedBy>Boreal Proteção Seguros S.A.</cp:lastModifiedBy>
  <cp:revision>1</cp:revision>
  <dcterms:created xsi:type="dcterms:W3CDTF">2026-09-29T12:00:00Z</dcterms:created>
  <dcterms:modified xsi:type="dcterms:W3CDTF">2026-09-29T12:00:00Z</dcterms:modified>
  <cp:category/>
</cp:coreProperties>
</file>